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4467B4">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outlineLvl w:val="9"/>
        <w:rPr>
          <w:rFonts w:hint="eastAsia" w:ascii="Times New Roman" w:cs="宋体"/>
          <w:b/>
          <w:bCs/>
          <w:color w:val="auto"/>
          <w:sz w:val="32"/>
          <w:szCs w:val="32"/>
        </w:rPr>
      </w:pPr>
      <w:r>
        <w:rPr>
          <w:rFonts w:hint="eastAsia" w:ascii="Times New Roman" w:cs="宋体"/>
          <w:b/>
          <w:bCs/>
          <w:color w:val="auto"/>
          <w:sz w:val="32"/>
          <w:szCs w:val="32"/>
        </w:rPr>
        <w:t>前言</w:t>
      </w:r>
    </w:p>
    <w:p w14:paraId="2C7FA4FF">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随着我国法制化的日趋健全和完善，安全生产监督管理体系也逐步向科学化、规范化、制度化发展，安全评价作为现代先进安全生产管理模式的主要内容之一越来越受到重视。“安全第一、预防为主、综合治理”是我们党和国家始终不渝的安全生产方针，开展安全评价正是突出“安全第一”、体现“预防为主”的一项重要工作，是“安全第一、预防为主、综合治理”安全生产方针在企业安全生产中的具体体现。安全评价不仅能有效地提高企业和生产设备的本质安全程度，而且可以为各级安全生产监督管理部门的决策和监督检查提供有力的技术支撑。</w:t>
      </w:r>
    </w:p>
    <w:p w14:paraId="6A52C342">
      <w:pPr>
        <w:keepNext w:val="0"/>
        <w:keepLines w:val="0"/>
        <w:pageBreakBefore w:val="0"/>
        <w:widowControl w:val="0"/>
        <w:kinsoku w:val="0"/>
        <w:wordWrap/>
        <w:overflowPunct w:val="0"/>
        <w:topLinePunct w:val="0"/>
        <w:autoSpaceDE/>
        <w:autoSpaceDN/>
        <w:bidi w:val="0"/>
        <w:adjustRightInd/>
        <w:snapToGrid/>
        <w:spacing w:line="500" w:lineRule="exact"/>
        <w:ind w:firstLine="560" w:firstLineChars="200"/>
        <w:textAlignment w:val="auto"/>
        <w:rPr>
          <w:rFonts w:hint="default" w:ascii="宋体" w:hAnsi="宋体" w:eastAsia="宋体" w:cs="宋体"/>
          <w:color w:val="auto"/>
          <w:sz w:val="28"/>
          <w:szCs w:val="28"/>
          <w:lang w:val="en-US" w:eastAsia="zh-CN"/>
        </w:rPr>
      </w:pPr>
      <w:r>
        <w:rPr>
          <w:rFonts w:hint="eastAsia" w:hAnsi="宋体" w:cs="宋体"/>
          <w:color w:val="auto"/>
          <w:sz w:val="28"/>
          <w:szCs w:val="28"/>
          <w:lang w:val="en-US" w:eastAsia="zh-CN"/>
        </w:rPr>
        <w:t>云南普菲特数控机械有限公司成立于2014年</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注册资本1</w:t>
      </w:r>
      <w:r>
        <w:rPr>
          <w:rFonts w:hint="eastAsia" w:hAnsi="宋体" w:cs="宋体"/>
          <w:color w:val="auto"/>
          <w:sz w:val="28"/>
          <w:szCs w:val="28"/>
          <w:lang w:val="en-US" w:eastAsia="zh-CN"/>
        </w:rPr>
        <w:t>5</w:t>
      </w:r>
      <w:r>
        <w:rPr>
          <w:rFonts w:hint="eastAsia" w:ascii="宋体" w:hAnsi="宋体" w:eastAsia="宋体" w:cs="宋体"/>
          <w:color w:val="auto"/>
          <w:sz w:val="28"/>
          <w:szCs w:val="28"/>
          <w:lang w:val="en-US" w:eastAsia="zh-CN"/>
        </w:rPr>
        <w:t>0</w:t>
      </w:r>
      <w:r>
        <w:rPr>
          <w:rFonts w:hint="eastAsia" w:hAnsi="宋体" w:cs="宋体"/>
          <w:color w:val="auto"/>
          <w:sz w:val="28"/>
          <w:szCs w:val="28"/>
          <w:lang w:val="en-US" w:eastAsia="zh-CN"/>
        </w:rPr>
        <w:t>0</w:t>
      </w:r>
      <w:r>
        <w:rPr>
          <w:rFonts w:hint="eastAsia" w:ascii="宋体" w:hAnsi="宋体" w:eastAsia="宋体" w:cs="宋体"/>
          <w:color w:val="auto"/>
          <w:sz w:val="28"/>
          <w:szCs w:val="28"/>
          <w:lang w:val="en-US" w:eastAsia="zh-CN"/>
        </w:rPr>
        <w:t>万元，</w:t>
      </w:r>
      <w:r>
        <w:rPr>
          <w:rFonts w:hint="eastAsia" w:ascii="宋体" w:hAnsi="宋体" w:eastAsia="宋体" w:cs="宋体"/>
          <w:color w:val="auto"/>
          <w:sz w:val="28"/>
          <w:szCs w:val="28"/>
        </w:rPr>
        <w:t>是一家从事机床、车床、汽车配件、机械设备、通信设备、机电设备、工艺品生产、加工、销售；机床相关技术服务；机床附件及配件加工、销售；数控机床及数控系统的制作、安装、研发</w:t>
      </w:r>
      <w:r>
        <w:rPr>
          <w:rFonts w:hint="eastAsia" w:hAnsi="宋体" w:cs="宋体"/>
          <w:color w:val="auto"/>
          <w:sz w:val="28"/>
          <w:szCs w:val="28"/>
          <w:lang w:val="en-US" w:eastAsia="zh-CN"/>
        </w:rPr>
        <w:t>的综合性机械公司。</w:t>
      </w:r>
    </w:p>
    <w:p w14:paraId="6BC09656">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根据《中华人民共和国安全生产法》等国家相关安全生产法律、法规的规定，并</w:t>
      </w:r>
      <w:r>
        <w:rPr>
          <w:rFonts w:hint="eastAsia" w:ascii="宋体" w:hAnsi="宋体" w:eastAsia="宋体" w:cs="宋体"/>
          <w:snapToGrid w:val="0"/>
          <w:color w:val="auto"/>
          <w:sz w:val="28"/>
          <w:szCs w:val="28"/>
        </w:rPr>
        <w:t>按照安全生产监督管理部门的要求，</w:t>
      </w:r>
      <w:r>
        <w:rPr>
          <w:rFonts w:hint="eastAsia" w:ascii="宋体" w:hAnsi="宋体" w:eastAsia="宋体" w:cs="宋体"/>
          <w:color w:val="auto"/>
          <w:sz w:val="28"/>
          <w:szCs w:val="28"/>
        </w:rPr>
        <w:t>该公司为</w:t>
      </w:r>
      <w:r>
        <w:rPr>
          <w:rFonts w:hint="eastAsia" w:ascii="宋体" w:hAnsi="宋体" w:eastAsia="宋体" w:cs="宋体"/>
          <w:snapToGrid w:val="0"/>
          <w:color w:val="auto"/>
          <w:sz w:val="28"/>
          <w:szCs w:val="28"/>
        </w:rPr>
        <w:t>了向安全生产监督管理部门提供安全监管依</w:t>
      </w:r>
      <w:r>
        <w:rPr>
          <w:rFonts w:hint="eastAsia" w:ascii="宋体" w:hAnsi="宋体" w:eastAsia="宋体" w:cs="宋体"/>
          <w:color w:val="auto"/>
          <w:sz w:val="28"/>
          <w:szCs w:val="28"/>
        </w:rPr>
        <w:t>据，特委</w:t>
      </w:r>
      <w:r>
        <w:rPr>
          <w:rFonts w:hint="eastAsia" w:ascii="宋体" w:hAnsi="宋体" w:eastAsia="宋体" w:cs="宋体"/>
          <w:color w:val="auto"/>
          <w:sz w:val="28"/>
          <w:szCs w:val="28"/>
          <w:highlight w:val="none"/>
        </w:rPr>
        <w:t>托</w:t>
      </w:r>
      <w:r>
        <w:rPr>
          <w:rFonts w:hint="eastAsia" w:ascii="宋体" w:hAnsi="宋体" w:eastAsia="宋体" w:cs="宋体"/>
          <w:color w:val="auto"/>
          <w:sz w:val="28"/>
          <w:szCs w:val="28"/>
          <w:highlight w:val="none"/>
          <w:lang w:eastAsia="zh-CN"/>
        </w:rPr>
        <w:t>昭通市鼎安科技有限公司</w:t>
      </w:r>
      <w:r>
        <w:rPr>
          <w:rFonts w:hint="eastAsia" w:ascii="宋体" w:hAnsi="宋体" w:eastAsia="宋体" w:cs="宋体"/>
          <w:color w:val="auto"/>
          <w:sz w:val="28"/>
          <w:szCs w:val="28"/>
        </w:rPr>
        <w:t>承担该企业</w:t>
      </w:r>
      <w:r>
        <w:rPr>
          <w:rFonts w:hint="eastAsia" w:ascii="宋体" w:hAnsi="宋体" w:eastAsia="宋体" w:cs="宋体"/>
          <w:color w:val="auto"/>
          <w:sz w:val="28"/>
          <w:szCs w:val="28"/>
          <w:lang w:val="en-US" w:eastAsia="zh-CN"/>
        </w:rPr>
        <w:t>机床制造</w:t>
      </w:r>
      <w:r>
        <w:rPr>
          <w:rFonts w:hint="eastAsia" w:ascii="宋体" w:hAnsi="宋体" w:eastAsia="宋体" w:cs="宋体"/>
          <w:color w:val="auto"/>
          <w:sz w:val="28"/>
          <w:szCs w:val="28"/>
        </w:rPr>
        <w:t>安全评价工作。</w:t>
      </w:r>
    </w:p>
    <w:p w14:paraId="1E62981B">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在接受</w:t>
      </w:r>
      <w:r>
        <w:rPr>
          <w:rFonts w:hint="eastAsia" w:hAnsi="宋体" w:cs="宋体"/>
          <w:color w:val="auto"/>
          <w:sz w:val="28"/>
          <w:szCs w:val="28"/>
          <w:lang w:val="en-US" w:eastAsia="zh-CN"/>
        </w:rPr>
        <w:t>云南普菲特数控机械有限公司</w:t>
      </w:r>
      <w:r>
        <w:rPr>
          <w:rFonts w:hint="eastAsia" w:ascii="宋体" w:hAnsi="宋体" w:eastAsia="宋体" w:cs="宋体"/>
          <w:color w:val="auto"/>
          <w:sz w:val="28"/>
          <w:szCs w:val="28"/>
        </w:rPr>
        <w:t>的安全现状评价工作的委托之后，我公司立即组成安全评价组，组织评价人员投入到该项目的安全评价工作中。经过评价组现场的情况调查和资料调研，编写了本安全现状评价报告。</w:t>
      </w:r>
    </w:p>
    <w:p w14:paraId="7D187389">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rPr>
        <w:t>在本安全现状评价报告的编写过程中，得到</w:t>
      </w:r>
      <w:r>
        <w:rPr>
          <w:rFonts w:hint="eastAsia" w:ascii="宋体" w:hAnsi="宋体" w:eastAsia="宋体" w:cs="宋体"/>
          <w:color w:val="auto"/>
          <w:sz w:val="28"/>
          <w:szCs w:val="28"/>
          <w:lang w:val="en-US" w:eastAsia="zh-CN"/>
        </w:rPr>
        <w:t>红塔区应急管理局、</w:t>
      </w:r>
      <w:r>
        <w:rPr>
          <w:rFonts w:hint="eastAsia" w:hAnsi="宋体" w:cs="宋体"/>
          <w:color w:val="auto"/>
          <w:sz w:val="28"/>
          <w:szCs w:val="28"/>
          <w:lang w:val="en-US" w:eastAsia="zh-CN"/>
        </w:rPr>
        <w:t>云南普菲特数控机械有限公司</w:t>
      </w:r>
      <w:r>
        <w:rPr>
          <w:rFonts w:hint="eastAsia" w:ascii="宋体" w:hAnsi="宋体" w:eastAsia="宋体" w:cs="宋体"/>
          <w:color w:val="auto"/>
          <w:sz w:val="28"/>
          <w:szCs w:val="28"/>
        </w:rPr>
        <w:t>有关领导和技术人员的大力支持，同时引用了一些专家学者的研究成果和技术资料，在此一并表示感谢</w:t>
      </w:r>
      <w:r>
        <w:rPr>
          <w:rFonts w:hint="eastAsia" w:ascii="宋体" w:hAnsi="宋体" w:eastAsia="宋体" w:cs="宋体"/>
          <w:color w:val="auto"/>
          <w:sz w:val="28"/>
          <w:szCs w:val="28"/>
          <w:lang w:eastAsia="zh-CN"/>
        </w:rPr>
        <w:t>！</w:t>
      </w:r>
    </w:p>
    <w:p w14:paraId="5CA64B5B">
      <w:pPr>
        <w:bidi w:val="0"/>
        <w:rPr>
          <w:rFonts w:hint="eastAsia"/>
        </w:rPr>
        <w:sectPr>
          <w:headerReference r:id="rId3" w:type="default"/>
          <w:footerReference r:id="rId4" w:type="default"/>
          <w:pgSz w:w="11906" w:h="16838"/>
          <w:pgMar w:top="1417" w:right="1134" w:bottom="1134" w:left="1587" w:header="851" w:footer="992" w:gutter="0"/>
          <w:cols w:space="0" w:num="1"/>
          <w:rtlGutter w:val="0"/>
          <w:docGrid w:type="lines" w:linePitch="312" w:charSpace="0"/>
        </w:sectPr>
      </w:pPr>
    </w:p>
    <w:p w14:paraId="570DDF4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lang w:val="en-US" w:eastAsia="zh-CN"/>
        </w:rPr>
      </w:pPr>
      <w:bookmarkStart w:id="0" w:name="_Toc9553"/>
      <w:r>
        <w:rPr>
          <w:rFonts w:hint="eastAsia" w:ascii="宋体" w:hAnsi="宋体" w:eastAsia="宋体" w:cs="宋体"/>
          <w:b/>
          <w:bCs/>
          <w:lang w:val="en-US" w:eastAsia="zh-CN"/>
        </w:rPr>
        <w:t>评价人员及现场照片</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4"/>
        <w:gridCol w:w="4677"/>
      </w:tblGrid>
      <w:tr w14:paraId="12B5D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4" w:hRule="atLeast"/>
        </w:trPr>
        <w:tc>
          <w:tcPr>
            <w:tcW w:w="2512" w:type="pct"/>
            <w:vAlign w:val="top"/>
          </w:tcPr>
          <w:p w14:paraId="00338BA9">
            <w:pPr>
              <w:rPr>
                <w:rFonts w:hint="eastAsia" w:eastAsia="宋体"/>
                <w:vertAlign w:val="baseline"/>
                <w:lang w:eastAsia="zh-CN"/>
              </w:rPr>
            </w:pPr>
            <w:r>
              <w:rPr>
                <w:rFonts w:hint="eastAsia" w:eastAsia="宋体"/>
                <w:vertAlign w:val="baseline"/>
                <w:lang w:eastAsia="zh-CN"/>
              </w:rPr>
              <w:drawing>
                <wp:inline distT="0" distB="0" distL="114300" distR="114300">
                  <wp:extent cx="2853055" cy="2139950"/>
                  <wp:effectExtent l="0" t="0" r="4445" b="6350"/>
                  <wp:docPr id="3" name="图片 3" descr="普菲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普菲特1"/>
                          <pic:cNvPicPr>
                            <a:picLocks noChangeAspect="1"/>
                          </pic:cNvPicPr>
                        </pic:nvPicPr>
                        <pic:blipFill>
                          <a:blip r:embed="rId7"/>
                          <a:stretch>
                            <a:fillRect/>
                          </a:stretch>
                        </pic:blipFill>
                        <pic:spPr>
                          <a:xfrm>
                            <a:off x="0" y="0"/>
                            <a:ext cx="2853055" cy="2139950"/>
                          </a:xfrm>
                          <a:prstGeom prst="rect">
                            <a:avLst/>
                          </a:prstGeom>
                        </pic:spPr>
                      </pic:pic>
                    </a:graphicData>
                  </a:graphic>
                </wp:inline>
              </w:drawing>
            </w:r>
          </w:p>
        </w:tc>
        <w:tc>
          <w:tcPr>
            <w:tcW w:w="2487" w:type="pct"/>
            <w:vAlign w:val="center"/>
          </w:tcPr>
          <w:p w14:paraId="5ED09B87">
            <w:pPr>
              <w:rPr>
                <w:rFonts w:hint="eastAsia" w:eastAsia="宋体"/>
                <w:vertAlign w:val="baseline"/>
                <w:lang w:eastAsia="zh-CN"/>
              </w:rPr>
            </w:pPr>
            <w:r>
              <w:rPr>
                <w:rFonts w:hint="eastAsia" w:eastAsia="宋体"/>
                <w:vertAlign w:val="baseline"/>
                <w:lang w:eastAsia="zh-CN"/>
              </w:rPr>
              <w:drawing>
                <wp:inline distT="0" distB="0" distL="114300" distR="114300">
                  <wp:extent cx="2830830" cy="2123440"/>
                  <wp:effectExtent l="0" t="0" r="1270" b="10160"/>
                  <wp:docPr id="7" name="图片 7" descr="8e2780ec3e4c1c290b2d38a382ae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e2780ec3e4c1c290b2d38a382ae5c0"/>
                          <pic:cNvPicPr>
                            <a:picLocks noChangeAspect="1"/>
                          </pic:cNvPicPr>
                        </pic:nvPicPr>
                        <pic:blipFill>
                          <a:blip r:embed="rId8"/>
                          <a:stretch>
                            <a:fillRect/>
                          </a:stretch>
                        </pic:blipFill>
                        <pic:spPr>
                          <a:xfrm>
                            <a:off x="0" y="0"/>
                            <a:ext cx="2830830" cy="2123440"/>
                          </a:xfrm>
                          <a:prstGeom prst="rect">
                            <a:avLst/>
                          </a:prstGeom>
                        </pic:spPr>
                      </pic:pic>
                    </a:graphicData>
                  </a:graphic>
                </wp:inline>
              </w:drawing>
            </w:r>
          </w:p>
        </w:tc>
      </w:tr>
      <w:tr w14:paraId="31B36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12" w:type="pct"/>
            <w:shd w:val="clear" w:color="auto" w:fill="auto"/>
            <w:vAlign w:val="top"/>
          </w:tcPr>
          <w:p w14:paraId="2BCE41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4"/>
                <w:szCs w:val="24"/>
                <w:vertAlign w:val="baseline"/>
                <w:lang w:val="en-US" w:eastAsia="zh-CN" w:bidi="ar-SA"/>
              </w:rPr>
            </w:pPr>
            <w:r>
              <w:rPr>
                <w:rFonts w:hint="default" w:ascii="宋体" w:hAnsi="宋体" w:cs="宋体"/>
                <w:sz w:val="24"/>
                <w:szCs w:val="24"/>
                <w:vertAlign w:val="baseline"/>
                <w:lang w:val="en-US" w:eastAsia="zh-CN"/>
              </w:rPr>
              <w:t>评价师现场踏勘照片（</w:t>
            </w:r>
            <w:r>
              <w:rPr>
                <w:rFonts w:hint="eastAsia" w:ascii="宋体" w:hAnsi="宋体" w:cs="宋体"/>
                <w:sz w:val="24"/>
                <w:szCs w:val="24"/>
                <w:vertAlign w:val="baseline"/>
                <w:lang w:val="en-US" w:eastAsia="zh-CN"/>
              </w:rPr>
              <w:t>左</w:t>
            </w:r>
            <w:r>
              <w:rPr>
                <w:rFonts w:hint="default" w:ascii="宋体" w:hAnsi="宋体" w:cs="宋体"/>
                <w:sz w:val="24"/>
                <w:szCs w:val="24"/>
                <w:vertAlign w:val="baseline"/>
                <w:lang w:val="en-US" w:eastAsia="zh-CN"/>
              </w:rPr>
              <w:t>边李毅雄）</w:t>
            </w:r>
          </w:p>
        </w:tc>
        <w:tc>
          <w:tcPr>
            <w:tcW w:w="2487" w:type="pct"/>
            <w:shd w:val="clear" w:color="auto" w:fill="auto"/>
            <w:vAlign w:val="top"/>
          </w:tcPr>
          <w:p w14:paraId="222DA1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cs="宋体"/>
                <w:color w:val="auto"/>
                <w:sz w:val="24"/>
                <w:szCs w:val="24"/>
                <w:vertAlign w:val="baseline"/>
                <w:lang w:val="en-US" w:eastAsia="zh-CN"/>
              </w:rPr>
              <w:t>评价师现场踏勘照片（左边周忠菊）</w:t>
            </w:r>
          </w:p>
        </w:tc>
      </w:tr>
      <w:tr w14:paraId="0BCFD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4" w:hRule="atLeast"/>
        </w:trPr>
        <w:tc>
          <w:tcPr>
            <w:tcW w:w="2512" w:type="pct"/>
          </w:tcPr>
          <w:p w14:paraId="5307B63C">
            <w:pPr>
              <w:rPr>
                <w:rFonts w:hint="eastAsia" w:eastAsia="宋体"/>
                <w:vertAlign w:val="baseline"/>
                <w:lang w:eastAsia="zh-CN"/>
              </w:rPr>
            </w:pPr>
            <w:r>
              <w:rPr>
                <w:rFonts w:hint="eastAsia" w:eastAsia="宋体"/>
                <w:vertAlign w:val="baseline"/>
                <w:lang w:eastAsia="zh-CN"/>
              </w:rPr>
              <w:drawing>
                <wp:inline distT="0" distB="0" distL="114300" distR="114300">
                  <wp:extent cx="2854960" cy="2138680"/>
                  <wp:effectExtent l="0" t="0" r="2540" b="7620"/>
                  <wp:docPr id="10" name="图片 10" descr="P20241029-150628"/>
                  <wp:cNvGraphicFramePr/>
                  <a:graphic xmlns:a="http://schemas.openxmlformats.org/drawingml/2006/main">
                    <a:graphicData uri="http://schemas.openxmlformats.org/drawingml/2006/picture">
                      <pic:pic xmlns:pic="http://schemas.openxmlformats.org/drawingml/2006/picture">
                        <pic:nvPicPr>
                          <pic:cNvPr id="10" name="图片 10" descr="P20241029-150628"/>
                          <pic:cNvPicPr/>
                        </pic:nvPicPr>
                        <pic:blipFill>
                          <a:blip r:embed="rId9"/>
                          <a:srcRect b="7902"/>
                          <a:stretch>
                            <a:fillRect/>
                          </a:stretch>
                        </pic:blipFill>
                        <pic:spPr>
                          <a:xfrm>
                            <a:off x="0" y="0"/>
                            <a:ext cx="2854960" cy="2138680"/>
                          </a:xfrm>
                          <a:prstGeom prst="rect">
                            <a:avLst/>
                          </a:prstGeom>
                        </pic:spPr>
                      </pic:pic>
                    </a:graphicData>
                  </a:graphic>
                </wp:inline>
              </w:drawing>
            </w:r>
          </w:p>
        </w:tc>
        <w:tc>
          <w:tcPr>
            <w:tcW w:w="2487" w:type="pct"/>
          </w:tcPr>
          <w:p w14:paraId="2695964C">
            <w:pPr>
              <w:rPr>
                <w:rFonts w:hint="eastAsia" w:eastAsia="宋体"/>
                <w:vertAlign w:val="baseline"/>
                <w:lang w:eastAsia="zh-CN"/>
              </w:rPr>
            </w:pPr>
            <w:r>
              <w:rPr>
                <w:rFonts w:hint="eastAsia" w:eastAsia="宋体"/>
                <w:vertAlign w:val="baseline"/>
                <w:lang w:eastAsia="zh-CN"/>
              </w:rPr>
              <w:drawing>
                <wp:inline distT="0" distB="0" distL="114300" distR="114300">
                  <wp:extent cx="2854960" cy="2138680"/>
                  <wp:effectExtent l="0" t="0" r="2540" b="7620"/>
                  <wp:docPr id="12" name="图片 12" descr="P20241029-150832"/>
                  <wp:cNvGraphicFramePr/>
                  <a:graphic xmlns:a="http://schemas.openxmlformats.org/drawingml/2006/main">
                    <a:graphicData uri="http://schemas.openxmlformats.org/drawingml/2006/picture">
                      <pic:pic xmlns:pic="http://schemas.openxmlformats.org/drawingml/2006/picture">
                        <pic:nvPicPr>
                          <pic:cNvPr id="12" name="图片 12" descr="P20241029-150832"/>
                          <pic:cNvPicPr/>
                        </pic:nvPicPr>
                        <pic:blipFill>
                          <a:blip r:embed="rId10"/>
                          <a:srcRect t="1061" b="4732"/>
                          <a:stretch>
                            <a:fillRect/>
                          </a:stretch>
                        </pic:blipFill>
                        <pic:spPr>
                          <a:xfrm>
                            <a:off x="0" y="0"/>
                            <a:ext cx="2854960" cy="2138680"/>
                          </a:xfrm>
                          <a:prstGeom prst="rect">
                            <a:avLst/>
                          </a:prstGeom>
                        </pic:spPr>
                      </pic:pic>
                    </a:graphicData>
                  </a:graphic>
                </wp:inline>
              </w:drawing>
            </w:r>
          </w:p>
        </w:tc>
      </w:tr>
      <w:tr w14:paraId="4BEE5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512" w:type="pct"/>
            <w:shd w:val="clear" w:color="auto" w:fill="auto"/>
            <w:vAlign w:val="top"/>
          </w:tcPr>
          <w:p w14:paraId="51E479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4"/>
                <w:szCs w:val="24"/>
                <w:vertAlign w:val="baseline"/>
                <w:lang w:val="en-US" w:eastAsia="zh-CN" w:bidi="ar-SA"/>
              </w:rPr>
            </w:pPr>
            <w:r>
              <w:rPr>
                <w:rFonts w:hint="eastAsia" w:hAnsi="宋体" w:cs="宋体"/>
                <w:kern w:val="2"/>
                <w:sz w:val="24"/>
                <w:szCs w:val="24"/>
                <w:vertAlign w:val="baseline"/>
                <w:lang w:val="en-US" w:eastAsia="zh-CN" w:bidi="ar-SA"/>
              </w:rPr>
              <w:t>门式起重机</w:t>
            </w:r>
          </w:p>
        </w:tc>
        <w:tc>
          <w:tcPr>
            <w:tcW w:w="2487" w:type="pct"/>
            <w:shd w:val="clear" w:color="auto" w:fill="auto"/>
            <w:vAlign w:val="top"/>
          </w:tcPr>
          <w:p w14:paraId="657D06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4"/>
                <w:szCs w:val="24"/>
                <w:vertAlign w:val="baseline"/>
                <w:lang w:val="en-US" w:eastAsia="zh-CN" w:bidi="ar-SA"/>
              </w:rPr>
            </w:pPr>
            <w:r>
              <w:rPr>
                <w:rFonts w:hint="eastAsia" w:hAnsi="宋体" w:cs="宋体"/>
                <w:kern w:val="2"/>
                <w:sz w:val="24"/>
                <w:szCs w:val="24"/>
                <w:vertAlign w:val="baseline"/>
                <w:lang w:val="en-US" w:eastAsia="zh-CN" w:bidi="ar-SA"/>
              </w:rPr>
              <w:t>桥式起重机</w:t>
            </w:r>
          </w:p>
        </w:tc>
      </w:tr>
      <w:tr w14:paraId="39CA5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4" w:hRule="atLeast"/>
        </w:trPr>
        <w:tc>
          <w:tcPr>
            <w:tcW w:w="2512" w:type="pct"/>
          </w:tcPr>
          <w:p w14:paraId="0050F946">
            <w:pPr>
              <w:rPr>
                <w:rFonts w:hint="eastAsia" w:eastAsia="宋体"/>
                <w:vertAlign w:val="baseline"/>
                <w:lang w:eastAsia="zh-CN"/>
              </w:rPr>
            </w:pPr>
            <w:r>
              <w:rPr>
                <w:rFonts w:hint="eastAsia" w:eastAsia="宋体"/>
                <w:vertAlign w:val="baseline"/>
                <w:lang w:eastAsia="zh-CN"/>
              </w:rPr>
              <w:drawing>
                <wp:inline distT="0" distB="0" distL="114300" distR="114300">
                  <wp:extent cx="2854960" cy="2138680"/>
                  <wp:effectExtent l="0" t="0" r="2540" b="7620"/>
                  <wp:docPr id="8" name="图片 8" descr="P20241029-150712"/>
                  <wp:cNvGraphicFramePr/>
                  <a:graphic xmlns:a="http://schemas.openxmlformats.org/drawingml/2006/main">
                    <a:graphicData uri="http://schemas.openxmlformats.org/drawingml/2006/picture">
                      <pic:pic xmlns:pic="http://schemas.openxmlformats.org/drawingml/2006/picture">
                        <pic:nvPicPr>
                          <pic:cNvPr id="8" name="图片 8" descr="P20241029-150712"/>
                          <pic:cNvPicPr/>
                        </pic:nvPicPr>
                        <pic:blipFill>
                          <a:blip r:embed="rId11"/>
                          <a:srcRect b="6205"/>
                          <a:stretch>
                            <a:fillRect/>
                          </a:stretch>
                        </pic:blipFill>
                        <pic:spPr>
                          <a:xfrm>
                            <a:off x="0" y="0"/>
                            <a:ext cx="2854960" cy="2138680"/>
                          </a:xfrm>
                          <a:prstGeom prst="rect">
                            <a:avLst/>
                          </a:prstGeom>
                        </pic:spPr>
                      </pic:pic>
                    </a:graphicData>
                  </a:graphic>
                </wp:inline>
              </w:drawing>
            </w:r>
          </w:p>
        </w:tc>
        <w:tc>
          <w:tcPr>
            <w:tcW w:w="2487" w:type="pct"/>
          </w:tcPr>
          <w:p w14:paraId="5B710FA2">
            <w:pPr>
              <w:rPr>
                <w:rFonts w:hint="eastAsia" w:eastAsia="宋体"/>
                <w:vertAlign w:val="baseline"/>
                <w:lang w:eastAsia="zh-CN"/>
              </w:rPr>
            </w:pPr>
            <w:r>
              <w:rPr>
                <w:rFonts w:hint="eastAsia" w:eastAsia="宋体"/>
                <w:vertAlign w:val="baseline"/>
                <w:lang w:eastAsia="zh-CN"/>
              </w:rPr>
              <w:drawing>
                <wp:inline distT="0" distB="0" distL="114300" distR="114300">
                  <wp:extent cx="2816225" cy="2112010"/>
                  <wp:effectExtent l="0" t="0" r="3175" b="8890"/>
                  <wp:docPr id="17" name="图片 17" descr="7aa707914ae0e14706a64c2220a4a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aa707914ae0e14706a64c2220a4a84"/>
                          <pic:cNvPicPr>
                            <a:picLocks noChangeAspect="1"/>
                          </pic:cNvPicPr>
                        </pic:nvPicPr>
                        <pic:blipFill>
                          <a:blip r:embed="rId12"/>
                          <a:stretch>
                            <a:fillRect/>
                          </a:stretch>
                        </pic:blipFill>
                        <pic:spPr>
                          <a:xfrm>
                            <a:off x="0" y="0"/>
                            <a:ext cx="2816225" cy="2112010"/>
                          </a:xfrm>
                          <a:prstGeom prst="rect">
                            <a:avLst/>
                          </a:prstGeom>
                        </pic:spPr>
                      </pic:pic>
                    </a:graphicData>
                  </a:graphic>
                </wp:inline>
              </w:drawing>
            </w:r>
          </w:p>
        </w:tc>
      </w:tr>
      <w:tr w14:paraId="327DB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512" w:type="pct"/>
            <w:shd w:val="clear" w:color="auto" w:fill="auto"/>
            <w:vAlign w:val="top"/>
          </w:tcPr>
          <w:p w14:paraId="5109B0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cs="宋体"/>
                <w:kern w:val="2"/>
                <w:sz w:val="24"/>
                <w:szCs w:val="24"/>
                <w:vertAlign w:val="baseline"/>
                <w:lang w:val="en-US" w:eastAsia="zh-CN" w:bidi="ar-SA"/>
              </w:rPr>
              <w:t>厂房</w:t>
            </w:r>
          </w:p>
        </w:tc>
        <w:tc>
          <w:tcPr>
            <w:tcW w:w="2487" w:type="pct"/>
            <w:shd w:val="clear" w:color="auto" w:fill="auto"/>
            <w:vAlign w:val="top"/>
          </w:tcPr>
          <w:p w14:paraId="0BA53F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cs="宋体"/>
                <w:kern w:val="2"/>
                <w:sz w:val="24"/>
                <w:szCs w:val="24"/>
                <w:vertAlign w:val="baseline"/>
                <w:lang w:val="en-US" w:eastAsia="zh-CN" w:bidi="ar-SA"/>
              </w:rPr>
              <w:t>厂房</w:t>
            </w:r>
          </w:p>
        </w:tc>
      </w:tr>
      <w:tr w14:paraId="55387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3" w:hRule="atLeast"/>
        </w:trPr>
        <w:tc>
          <w:tcPr>
            <w:tcW w:w="2512" w:type="pct"/>
          </w:tcPr>
          <w:p w14:paraId="2728300A">
            <w:pPr>
              <w:rPr>
                <w:rFonts w:hint="eastAsia" w:eastAsia="宋体"/>
                <w:vertAlign w:val="baseline"/>
                <w:lang w:eastAsia="zh-CN"/>
              </w:rPr>
            </w:pPr>
            <w:r>
              <w:rPr>
                <w:rFonts w:hint="eastAsia" w:eastAsia="宋体"/>
                <w:vertAlign w:val="baseline"/>
                <w:lang w:eastAsia="zh-CN"/>
              </w:rPr>
              <w:drawing>
                <wp:inline distT="0" distB="0" distL="114300" distR="114300">
                  <wp:extent cx="2842260" cy="2131695"/>
                  <wp:effectExtent l="0" t="0" r="2540" b="1905"/>
                  <wp:docPr id="14" name="图片 14" descr="dedbd9881056bef9d9849b9d0321b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edbd9881056bef9d9849b9d0321bf5"/>
                          <pic:cNvPicPr>
                            <a:picLocks noChangeAspect="1"/>
                          </pic:cNvPicPr>
                        </pic:nvPicPr>
                        <pic:blipFill>
                          <a:blip r:embed="rId13"/>
                          <a:stretch>
                            <a:fillRect/>
                          </a:stretch>
                        </pic:blipFill>
                        <pic:spPr>
                          <a:xfrm>
                            <a:off x="0" y="0"/>
                            <a:ext cx="2842260" cy="2131695"/>
                          </a:xfrm>
                          <a:prstGeom prst="rect">
                            <a:avLst/>
                          </a:prstGeom>
                        </pic:spPr>
                      </pic:pic>
                    </a:graphicData>
                  </a:graphic>
                </wp:inline>
              </w:drawing>
            </w:r>
          </w:p>
        </w:tc>
        <w:tc>
          <w:tcPr>
            <w:tcW w:w="2487" w:type="pct"/>
          </w:tcPr>
          <w:p w14:paraId="4701C96F">
            <w:pPr>
              <w:rPr>
                <w:rFonts w:hint="eastAsia" w:eastAsia="宋体"/>
                <w:vertAlign w:val="baseline"/>
                <w:lang w:eastAsia="zh-CN"/>
              </w:rPr>
            </w:pPr>
            <w:r>
              <w:rPr>
                <w:rFonts w:hint="eastAsia" w:eastAsia="宋体"/>
                <w:vertAlign w:val="baseline"/>
                <w:lang w:eastAsia="zh-CN"/>
              </w:rPr>
              <w:drawing>
                <wp:inline distT="0" distB="0" distL="114300" distR="114300">
                  <wp:extent cx="2816225" cy="2112010"/>
                  <wp:effectExtent l="0" t="0" r="3175" b="8890"/>
                  <wp:docPr id="15" name="图片 15" descr="8ddff4f6995ca9b29b3345914320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ddff4f6995ca9b29b3345914320b11"/>
                          <pic:cNvPicPr>
                            <a:picLocks noChangeAspect="1"/>
                          </pic:cNvPicPr>
                        </pic:nvPicPr>
                        <pic:blipFill>
                          <a:blip r:embed="rId14"/>
                          <a:stretch>
                            <a:fillRect/>
                          </a:stretch>
                        </pic:blipFill>
                        <pic:spPr>
                          <a:xfrm>
                            <a:off x="0" y="0"/>
                            <a:ext cx="2816225" cy="2112010"/>
                          </a:xfrm>
                          <a:prstGeom prst="rect">
                            <a:avLst/>
                          </a:prstGeom>
                        </pic:spPr>
                      </pic:pic>
                    </a:graphicData>
                  </a:graphic>
                </wp:inline>
              </w:drawing>
            </w:r>
          </w:p>
        </w:tc>
      </w:tr>
      <w:tr w14:paraId="2419D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512" w:type="pct"/>
            <w:shd w:val="clear" w:color="auto" w:fill="auto"/>
            <w:vAlign w:val="top"/>
          </w:tcPr>
          <w:p w14:paraId="2230B7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4"/>
                <w:szCs w:val="24"/>
                <w:vertAlign w:val="baseline"/>
                <w:lang w:val="en-US" w:eastAsia="zh-CN" w:bidi="ar-SA"/>
              </w:rPr>
            </w:pPr>
            <w:r>
              <w:rPr>
                <w:rFonts w:hint="eastAsia" w:hAnsi="宋体" w:cs="宋体"/>
                <w:kern w:val="2"/>
                <w:sz w:val="24"/>
                <w:szCs w:val="24"/>
                <w:vertAlign w:val="baseline"/>
                <w:lang w:val="en-US" w:eastAsia="zh-CN" w:bidi="ar-SA"/>
              </w:rPr>
              <w:t>车床</w:t>
            </w:r>
          </w:p>
        </w:tc>
        <w:tc>
          <w:tcPr>
            <w:tcW w:w="2487" w:type="pct"/>
            <w:shd w:val="clear" w:color="auto" w:fill="auto"/>
            <w:vAlign w:val="top"/>
          </w:tcPr>
          <w:p w14:paraId="0768C5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4"/>
                <w:szCs w:val="24"/>
                <w:vertAlign w:val="baseline"/>
                <w:lang w:val="en-US" w:eastAsia="zh-CN" w:bidi="ar-SA"/>
              </w:rPr>
            </w:pPr>
            <w:r>
              <w:rPr>
                <w:rFonts w:hint="eastAsia" w:hAnsi="宋体" w:cs="宋体"/>
                <w:kern w:val="2"/>
                <w:sz w:val="24"/>
                <w:szCs w:val="24"/>
                <w:vertAlign w:val="baseline"/>
                <w:lang w:val="en-US" w:eastAsia="zh-CN" w:bidi="ar-SA"/>
              </w:rPr>
              <w:t>铣床</w:t>
            </w:r>
          </w:p>
        </w:tc>
      </w:tr>
      <w:tr w14:paraId="5F948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3" w:hRule="atLeast"/>
        </w:trPr>
        <w:tc>
          <w:tcPr>
            <w:tcW w:w="2512" w:type="pct"/>
          </w:tcPr>
          <w:p w14:paraId="3BFACCB8">
            <w:pPr>
              <w:rPr>
                <w:rFonts w:hint="eastAsia" w:eastAsia="宋体"/>
                <w:vertAlign w:val="baseline"/>
                <w:lang w:eastAsia="zh-CN"/>
              </w:rPr>
            </w:pPr>
            <w:r>
              <w:rPr>
                <w:rFonts w:hint="eastAsia" w:eastAsia="宋体"/>
                <w:vertAlign w:val="baseline"/>
                <w:lang w:eastAsia="zh-CN"/>
              </w:rPr>
              <w:drawing>
                <wp:inline distT="0" distB="0" distL="114300" distR="114300">
                  <wp:extent cx="2842260" cy="2131695"/>
                  <wp:effectExtent l="0" t="0" r="2540" b="1905"/>
                  <wp:docPr id="18" name="图片 18" descr="733ea21d235052bb62371c1220fa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33ea21d235052bb62371c1220fabed"/>
                          <pic:cNvPicPr>
                            <a:picLocks noChangeAspect="1"/>
                          </pic:cNvPicPr>
                        </pic:nvPicPr>
                        <pic:blipFill>
                          <a:blip r:embed="rId15"/>
                          <a:stretch>
                            <a:fillRect/>
                          </a:stretch>
                        </pic:blipFill>
                        <pic:spPr>
                          <a:xfrm>
                            <a:off x="0" y="0"/>
                            <a:ext cx="2842260" cy="2131695"/>
                          </a:xfrm>
                          <a:prstGeom prst="rect">
                            <a:avLst/>
                          </a:prstGeom>
                        </pic:spPr>
                      </pic:pic>
                    </a:graphicData>
                  </a:graphic>
                </wp:inline>
              </w:drawing>
            </w:r>
          </w:p>
        </w:tc>
        <w:tc>
          <w:tcPr>
            <w:tcW w:w="2487" w:type="pct"/>
          </w:tcPr>
          <w:p w14:paraId="4843126D">
            <w:pPr>
              <w:rPr>
                <w:rFonts w:hint="eastAsia" w:eastAsia="宋体"/>
                <w:vertAlign w:val="baseline"/>
                <w:lang w:eastAsia="zh-CN"/>
              </w:rPr>
            </w:pPr>
            <w:r>
              <w:rPr>
                <w:rFonts w:hint="eastAsia" w:eastAsia="宋体"/>
                <w:vertAlign w:val="baseline"/>
                <w:lang w:eastAsia="zh-CN"/>
              </w:rPr>
              <w:drawing>
                <wp:inline distT="0" distB="0" distL="114300" distR="114300">
                  <wp:extent cx="2842260" cy="2131695"/>
                  <wp:effectExtent l="0" t="0" r="2540" b="1905"/>
                  <wp:docPr id="16" name="图片 16" descr="84a2c52cfb301b422c3f6c578eb51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4a2c52cfb301b422c3f6c578eb51bf"/>
                          <pic:cNvPicPr>
                            <a:picLocks noChangeAspect="1"/>
                          </pic:cNvPicPr>
                        </pic:nvPicPr>
                        <pic:blipFill>
                          <a:blip r:embed="rId16"/>
                          <a:stretch>
                            <a:fillRect/>
                          </a:stretch>
                        </pic:blipFill>
                        <pic:spPr>
                          <a:xfrm>
                            <a:off x="0" y="0"/>
                            <a:ext cx="2842260" cy="2131695"/>
                          </a:xfrm>
                          <a:prstGeom prst="rect">
                            <a:avLst/>
                          </a:prstGeom>
                        </pic:spPr>
                      </pic:pic>
                    </a:graphicData>
                  </a:graphic>
                </wp:inline>
              </w:drawing>
            </w:r>
          </w:p>
        </w:tc>
      </w:tr>
      <w:tr w14:paraId="756C0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512" w:type="pct"/>
            <w:shd w:val="clear" w:color="auto" w:fill="auto"/>
            <w:vAlign w:val="top"/>
          </w:tcPr>
          <w:p w14:paraId="1F4596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4"/>
                <w:szCs w:val="24"/>
                <w:vertAlign w:val="baseline"/>
                <w:lang w:val="en-US" w:eastAsia="zh-CN" w:bidi="ar-SA"/>
              </w:rPr>
            </w:pPr>
            <w:r>
              <w:rPr>
                <w:rFonts w:hint="eastAsia" w:hAnsi="宋体" w:cs="宋体"/>
                <w:kern w:val="2"/>
                <w:sz w:val="24"/>
                <w:szCs w:val="24"/>
                <w:vertAlign w:val="baseline"/>
                <w:lang w:val="en-US" w:eastAsia="zh-CN" w:bidi="ar-SA"/>
              </w:rPr>
              <w:t>磨床</w:t>
            </w:r>
          </w:p>
        </w:tc>
        <w:tc>
          <w:tcPr>
            <w:tcW w:w="2487" w:type="pct"/>
            <w:shd w:val="clear" w:color="auto" w:fill="auto"/>
            <w:vAlign w:val="top"/>
          </w:tcPr>
          <w:p w14:paraId="352C4D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2"/>
                <w:sz w:val="24"/>
                <w:szCs w:val="24"/>
                <w:vertAlign w:val="baseline"/>
                <w:lang w:val="en-US" w:eastAsia="zh-CN" w:bidi="ar-SA"/>
              </w:rPr>
            </w:pPr>
            <w:r>
              <w:rPr>
                <w:rFonts w:hint="eastAsia" w:hAnsi="宋体" w:cs="宋体"/>
                <w:kern w:val="2"/>
                <w:sz w:val="24"/>
                <w:szCs w:val="24"/>
                <w:vertAlign w:val="baseline"/>
                <w:lang w:val="en-US" w:eastAsia="zh-CN" w:bidi="ar-SA"/>
              </w:rPr>
              <w:t>库房</w:t>
            </w:r>
          </w:p>
        </w:tc>
      </w:tr>
    </w:tbl>
    <w:p w14:paraId="508F0101">
      <w:pPr>
        <w:bidi w:val="0"/>
        <w:jc w:val="center"/>
        <w:rPr>
          <w:rFonts w:hint="eastAsia" w:ascii="宋体" w:hAnsi="宋体" w:eastAsia="宋体" w:cs="宋体"/>
          <w:b/>
          <w:bCs/>
          <w:color w:val="auto"/>
          <w:sz w:val="36"/>
          <w:szCs w:val="36"/>
        </w:rPr>
        <w:sectPr>
          <w:pgSz w:w="11906" w:h="16838"/>
          <w:pgMar w:top="1417" w:right="1134" w:bottom="1134" w:left="1587" w:header="851" w:footer="992" w:gutter="0"/>
          <w:cols w:space="0" w:num="1"/>
          <w:rtlGutter w:val="0"/>
          <w:docGrid w:type="lines" w:linePitch="312" w:charSpace="0"/>
        </w:sectPr>
      </w:pPr>
    </w:p>
    <w:sdt>
      <w:sdtPr>
        <w:rPr>
          <w:rFonts w:ascii="宋体" w:hAnsi="宋体" w:eastAsia="宋体" w:cs="Times New Roman"/>
          <w:sz w:val="21"/>
          <w:lang w:val="en-US" w:eastAsia="zh-CN" w:bidi="ar-SA"/>
        </w:rPr>
        <w:id w:val="147482135"/>
        <w15:color w:val="DBDBDB"/>
        <w:docPartObj>
          <w:docPartGallery w:val="Table of Contents"/>
          <w:docPartUnique/>
        </w:docPartObj>
      </w:sdtPr>
      <w:sdtEndPr>
        <w:rPr>
          <w:rFonts w:hint="eastAsia" w:ascii="宋体" w:hAnsi="宋体" w:eastAsia="宋体" w:cs="宋体"/>
          <w:bCs/>
          <w:color w:val="auto"/>
          <w:sz w:val="24"/>
          <w:szCs w:val="36"/>
          <w:lang w:val="en-US" w:eastAsia="zh-CN" w:bidi="ar-SA"/>
        </w:rPr>
      </w:sdtEndPr>
      <w:sdtContent>
        <w:p w14:paraId="1506D8BF">
          <w:pPr>
            <w:spacing w:before="0" w:beforeLines="0" w:after="0" w:afterLines="0" w:line="240" w:lineRule="auto"/>
            <w:ind w:left="0" w:leftChars="0" w:right="0" w:rightChars="0" w:firstLine="0" w:firstLineChars="0"/>
            <w:jc w:val="center"/>
            <w:rPr>
              <w:b/>
              <w:bCs/>
              <w:sz w:val="28"/>
              <w:szCs w:val="28"/>
            </w:rPr>
          </w:pPr>
          <w:r>
            <w:rPr>
              <w:rFonts w:ascii="宋体" w:hAnsi="宋体" w:eastAsia="宋体"/>
              <w:b/>
              <w:bCs/>
              <w:sz w:val="28"/>
              <w:szCs w:val="28"/>
            </w:rPr>
            <w:t>目录</w:t>
          </w:r>
        </w:p>
        <w:p w14:paraId="0C0DC0F9">
          <w:pPr>
            <w:pStyle w:val="17"/>
            <w:tabs>
              <w:tab w:val="right" w:leader="dot" w:pos="9185"/>
            </w:tabs>
          </w:pPr>
          <w:r>
            <w:rPr>
              <w:rFonts w:hint="eastAsia" w:ascii="宋体" w:hAnsi="宋体" w:eastAsia="宋体" w:cs="宋体"/>
              <w:b/>
              <w:bCs/>
              <w:color w:val="auto"/>
              <w:sz w:val="36"/>
              <w:szCs w:val="36"/>
            </w:rPr>
            <w:fldChar w:fldCharType="begin"/>
          </w:r>
          <w:r>
            <w:rPr>
              <w:rFonts w:hint="eastAsia" w:ascii="宋体" w:hAnsi="宋体" w:eastAsia="宋体" w:cs="宋体"/>
              <w:b/>
              <w:bCs/>
              <w:color w:val="auto"/>
              <w:sz w:val="36"/>
              <w:szCs w:val="36"/>
            </w:rPr>
            <w:instrText xml:space="preserve">TOC \o "1-3" \h \u </w:instrText>
          </w:r>
          <w:r>
            <w:rPr>
              <w:rFonts w:hint="eastAsia" w:ascii="宋体" w:hAnsi="宋体" w:eastAsia="宋体" w:cs="宋体"/>
              <w:b/>
              <w:bCs/>
              <w:color w:val="auto"/>
              <w:sz w:val="36"/>
              <w:szCs w:val="36"/>
            </w:rPr>
            <w:fldChar w:fldCharType="separate"/>
          </w: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_Toc14792 </w:instrText>
          </w:r>
          <w:r>
            <w:rPr>
              <w:rFonts w:hint="eastAsia" w:ascii="宋体" w:hAnsi="宋体" w:eastAsia="宋体" w:cs="宋体"/>
              <w:bCs/>
              <w:szCs w:val="36"/>
            </w:rPr>
            <w:fldChar w:fldCharType="separate"/>
          </w:r>
          <w:r>
            <w:rPr>
              <w:rFonts w:hint="eastAsia" w:ascii="宋体" w:hAnsi="宋体" w:eastAsia="宋体" w:cs="宋体"/>
              <w:bCs/>
              <w:szCs w:val="36"/>
            </w:rPr>
            <w:t>第1章编制说明</w:t>
          </w:r>
          <w:r>
            <w:tab/>
          </w:r>
          <w:r>
            <w:fldChar w:fldCharType="begin"/>
          </w:r>
          <w:r>
            <w:instrText xml:space="preserve"> PAGEREF _Toc14792 \h </w:instrText>
          </w:r>
          <w:r>
            <w:fldChar w:fldCharType="separate"/>
          </w:r>
          <w:r>
            <w:t>- 1 -</w:t>
          </w:r>
          <w:r>
            <w:fldChar w:fldCharType="end"/>
          </w:r>
          <w:r>
            <w:rPr>
              <w:rFonts w:hint="eastAsia" w:ascii="宋体" w:hAnsi="宋体" w:eastAsia="宋体" w:cs="宋体"/>
              <w:bCs/>
              <w:color w:val="auto"/>
              <w:szCs w:val="36"/>
            </w:rPr>
            <w:fldChar w:fldCharType="end"/>
          </w:r>
        </w:p>
        <w:p w14:paraId="73F4BE20">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_Toc26914 </w:instrText>
          </w:r>
          <w:r>
            <w:rPr>
              <w:rFonts w:hint="eastAsia" w:ascii="宋体" w:hAnsi="宋体" w:eastAsia="宋体" w:cs="宋体"/>
              <w:bCs/>
              <w:szCs w:val="36"/>
            </w:rPr>
            <w:fldChar w:fldCharType="separate"/>
          </w:r>
          <w:r>
            <w:rPr>
              <w:rFonts w:hint="eastAsia" w:ascii="宋体" w:hAnsi="宋体" w:eastAsia="宋体" w:cs="宋体"/>
              <w:kern w:val="0"/>
              <w:szCs w:val="30"/>
            </w:rPr>
            <w:t>1.1安全评价的目的</w:t>
          </w:r>
          <w:r>
            <w:tab/>
          </w:r>
          <w:r>
            <w:fldChar w:fldCharType="begin"/>
          </w:r>
          <w:r>
            <w:instrText xml:space="preserve"> PAGEREF _Toc26914 \h </w:instrText>
          </w:r>
          <w:r>
            <w:fldChar w:fldCharType="separate"/>
          </w:r>
          <w:r>
            <w:t>- 1 -</w:t>
          </w:r>
          <w:r>
            <w:fldChar w:fldCharType="end"/>
          </w:r>
          <w:r>
            <w:rPr>
              <w:rFonts w:hint="eastAsia" w:ascii="宋体" w:hAnsi="宋体" w:eastAsia="宋体" w:cs="宋体"/>
              <w:bCs/>
              <w:color w:val="auto"/>
              <w:szCs w:val="36"/>
            </w:rPr>
            <w:fldChar w:fldCharType="end"/>
          </w:r>
        </w:p>
        <w:p w14:paraId="40FC0D38">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_Toc15353 </w:instrText>
          </w:r>
          <w:r>
            <w:rPr>
              <w:rFonts w:hint="eastAsia" w:ascii="宋体" w:hAnsi="宋体" w:eastAsia="宋体" w:cs="宋体"/>
              <w:bCs/>
              <w:szCs w:val="36"/>
            </w:rPr>
            <w:fldChar w:fldCharType="separate"/>
          </w:r>
          <w:r>
            <w:rPr>
              <w:rFonts w:hint="eastAsia" w:ascii="宋体" w:hAnsi="宋体" w:eastAsia="宋体" w:cs="宋体"/>
              <w:bCs/>
              <w:kern w:val="0"/>
              <w:szCs w:val="30"/>
            </w:rPr>
            <w:t>1.2安全评价依据</w:t>
          </w:r>
          <w:r>
            <w:tab/>
          </w:r>
          <w:r>
            <w:fldChar w:fldCharType="begin"/>
          </w:r>
          <w:r>
            <w:instrText xml:space="preserve"> PAGEREF _Toc15353 \h </w:instrText>
          </w:r>
          <w:r>
            <w:fldChar w:fldCharType="separate"/>
          </w:r>
          <w:r>
            <w:t>- 1 -</w:t>
          </w:r>
          <w:r>
            <w:fldChar w:fldCharType="end"/>
          </w:r>
          <w:r>
            <w:rPr>
              <w:rFonts w:hint="eastAsia" w:ascii="宋体" w:hAnsi="宋体" w:eastAsia="宋体" w:cs="宋体"/>
              <w:bCs/>
              <w:color w:val="auto"/>
              <w:szCs w:val="36"/>
            </w:rPr>
            <w:fldChar w:fldCharType="end"/>
          </w:r>
        </w:p>
        <w:p w14:paraId="1324D66F">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_Toc7156 </w:instrText>
          </w:r>
          <w:r>
            <w:rPr>
              <w:rFonts w:hint="eastAsia" w:ascii="宋体" w:hAnsi="宋体" w:eastAsia="宋体" w:cs="宋体"/>
              <w:bCs/>
              <w:szCs w:val="36"/>
            </w:rPr>
            <w:fldChar w:fldCharType="separate"/>
          </w:r>
          <w:r>
            <w:rPr>
              <w:rFonts w:hint="eastAsia" w:ascii="宋体" w:hAnsi="宋体" w:eastAsia="宋体" w:cs="宋体"/>
              <w:snapToGrid w:val="0"/>
              <w:kern w:val="0"/>
              <w:szCs w:val="28"/>
            </w:rPr>
            <w:t>1</w:t>
          </w:r>
          <w:r>
            <w:rPr>
              <w:rFonts w:hint="eastAsia" w:ascii="宋体" w:hAnsi="宋体" w:eastAsia="宋体" w:cs="宋体"/>
              <w:kern w:val="0"/>
              <w:szCs w:val="28"/>
            </w:rPr>
            <w:t>.</w:t>
          </w:r>
          <w:r>
            <w:rPr>
              <w:rFonts w:hint="eastAsia" w:ascii="宋体" w:hAnsi="宋体" w:eastAsia="宋体" w:cs="宋体"/>
              <w:snapToGrid w:val="0"/>
              <w:kern w:val="0"/>
              <w:szCs w:val="28"/>
            </w:rPr>
            <w:t>2</w:t>
          </w:r>
          <w:r>
            <w:rPr>
              <w:rFonts w:hint="eastAsia" w:ascii="宋体" w:hAnsi="宋体" w:eastAsia="宋体" w:cs="宋体"/>
              <w:kern w:val="0"/>
              <w:szCs w:val="28"/>
            </w:rPr>
            <w:t>.</w:t>
          </w:r>
          <w:r>
            <w:rPr>
              <w:rFonts w:hint="eastAsia" w:ascii="宋体" w:hAnsi="宋体" w:eastAsia="宋体" w:cs="宋体"/>
              <w:snapToGrid w:val="0"/>
              <w:kern w:val="0"/>
              <w:szCs w:val="28"/>
            </w:rPr>
            <w:t>1法律法规</w:t>
          </w:r>
          <w:r>
            <w:tab/>
          </w:r>
          <w:r>
            <w:fldChar w:fldCharType="begin"/>
          </w:r>
          <w:r>
            <w:instrText xml:space="preserve"> PAGEREF _Toc7156 \h </w:instrText>
          </w:r>
          <w:r>
            <w:fldChar w:fldCharType="separate"/>
          </w:r>
          <w:r>
            <w:t>- 1 -</w:t>
          </w:r>
          <w:r>
            <w:fldChar w:fldCharType="end"/>
          </w:r>
          <w:r>
            <w:rPr>
              <w:rFonts w:hint="eastAsia" w:ascii="宋体" w:hAnsi="宋体" w:eastAsia="宋体" w:cs="宋体"/>
              <w:bCs/>
              <w:color w:val="auto"/>
              <w:szCs w:val="36"/>
            </w:rPr>
            <w:fldChar w:fldCharType="end"/>
          </w:r>
        </w:p>
        <w:p w14:paraId="06216A0C">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_Toc16623 </w:instrText>
          </w:r>
          <w:r>
            <w:rPr>
              <w:rFonts w:hint="eastAsia" w:ascii="宋体" w:hAnsi="宋体" w:eastAsia="宋体" w:cs="宋体"/>
              <w:bCs/>
              <w:szCs w:val="36"/>
            </w:rPr>
            <w:fldChar w:fldCharType="separate"/>
          </w:r>
          <w:r>
            <w:rPr>
              <w:rFonts w:hint="eastAsia" w:hAnsi="宋体"/>
              <w:snapToGrid w:val="0"/>
              <w:kern w:val="0"/>
              <w:szCs w:val="28"/>
            </w:rPr>
            <w:t>1.2.2行政法规</w:t>
          </w:r>
          <w:r>
            <w:tab/>
          </w:r>
          <w:r>
            <w:fldChar w:fldCharType="begin"/>
          </w:r>
          <w:r>
            <w:instrText xml:space="preserve"> PAGEREF _Toc16623 \h </w:instrText>
          </w:r>
          <w:r>
            <w:fldChar w:fldCharType="separate"/>
          </w:r>
          <w:r>
            <w:t>- 2 -</w:t>
          </w:r>
          <w:r>
            <w:fldChar w:fldCharType="end"/>
          </w:r>
          <w:r>
            <w:rPr>
              <w:rFonts w:hint="eastAsia" w:ascii="宋体" w:hAnsi="宋体" w:eastAsia="宋体" w:cs="宋体"/>
              <w:bCs/>
              <w:color w:val="auto"/>
              <w:szCs w:val="36"/>
            </w:rPr>
            <w:fldChar w:fldCharType="end"/>
          </w:r>
        </w:p>
        <w:p w14:paraId="52023F50">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_Toc22503 </w:instrText>
          </w:r>
          <w:r>
            <w:rPr>
              <w:rFonts w:hint="eastAsia" w:ascii="宋体" w:hAnsi="宋体" w:eastAsia="宋体" w:cs="宋体"/>
              <w:bCs/>
              <w:szCs w:val="36"/>
            </w:rPr>
            <w:fldChar w:fldCharType="separate"/>
          </w:r>
          <w:r>
            <w:rPr>
              <w:rFonts w:hint="eastAsia" w:hAnsi="宋体"/>
              <w:snapToGrid w:val="0"/>
              <w:kern w:val="0"/>
              <w:szCs w:val="28"/>
            </w:rPr>
            <w:t>1.2.3部门规章</w:t>
          </w:r>
          <w:r>
            <w:tab/>
          </w:r>
          <w:r>
            <w:fldChar w:fldCharType="begin"/>
          </w:r>
          <w:r>
            <w:instrText xml:space="preserve"> PAGEREF _Toc22503 \h </w:instrText>
          </w:r>
          <w:r>
            <w:fldChar w:fldCharType="separate"/>
          </w:r>
          <w:r>
            <w:t>- 3 -</w:t>
          </w:r>
          <w:r>
            <w:fldChar w:fldCharType="end"/>
          </w:r>
          <w:r>
            <w:rPr>
              <w:rFonts w:hint="eastAsia" w:ascii="宋体" w:hAnsi="宋体" w:eastAsia="宋体" w:cs="宋体"/>
              <w:bCs/>
              <w:color w:val="auto"/>
              <w:szCs w:val="36"/>
            </w:rPr>
            <w:fldChar w:fldCharType="end"/>
          </w:r>
        </w:p>
        <w:p w14:paraId="64C5C206">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_Toc17207 </w:instrText>
          </w:r>
          <w:r>
            <w:rPr>
              <w:rFonts w:hint="eastAsia" w:ascii="宋体" w:hAnsi="宋体" w:eastAsia="宋体" w:cs="宋体"/>
              <w:bCs/>
              <w:szCs w:val="36"/>
            </w:rPr>
            <w:fldChar w:fldCharType="separate"/>
          </w:r>
          <w:r>
            <w:rPr>
              <w:rFonts w:hint="eastAsia" w:ascii="宋体" w:hAnsi="宋体" w:eastAsia="宋体" w:cs="宋体"/>
              <w:snapToGrid w:val="0"/>
              <w:kern w:val="0"/>
              <w:szCs w:val="28"/>
            </w:rPr>
            <w:t>1.2.4地方有关法规文件</w:t>
          </w:r>
          <w:r>
            <w:tab/>
          </w:r>
          <w:r>
            <w:fldChar w:fldCharType="begin"/>
          </w:r>
          <w:r>
            <w:instrText xml:space="preserve"> PAGEREF _Toc17207 \h </w:instrText>
          </w:r>
          <w:r>
            <w:fldChar w:fldCharType="separate"/>
          </w:r>
          <w:r>
            <w:t>- 5 -</w:t>
          </w:r>
          <w:r>
            <w:fldChar w:fldCharType="end"/>
          </w:r>
          <w:r>
            <w:rPr>
              <w:rFonts w:hint="eastAsia" w:ascii="宋体" w:hAnsi="宋体" w:eastAsia="宋体" w:cs="宋体"/>
              <w:bCs/>
              <w:color w:val="auto"/>
              <w:szCs w:val="36"/>
            </w:rPr>
            <w:fldChar w:fldCharType="end"/>
          </w:r>
        </w:p>
        <w:p w14:paraId="625CBB18">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_Toc27341 </w:instrText>
          </w:r>
          <w:r>
            <w:rPr>
              <w:rFonts w:hint="eastAsia" w:ascii="宋体" w:hAnsi="宋体" w:eastAsia="宋体" w:cs="宋体"/>
              <w:bCs/>
              <w:szCs w:val="36"/>
            </w:rPr>
            <w:fldChar w:fldCharType="separate"/>
          </w:r>
          <w:r>
            <w:rPr>
              <w:rFonts w:hint="eastAsia" w:ascii="宋体" w:hAnsi="宋体" w:eastAsia="宋体" w:cs="宋体"/>
              <w:snapToGrid w:val="0"/>
              <w:kern w:val="0"/>
              <w:szCs w:val="28"/>
            </w:rPr>
            <w:t>1.2.5国家标准</w:t>
          </w:r>
          <w:r>
            <w:tab/>
          </w:r>
          <w:r>
            <w:fldChar w:fldCharType="begin"/>
          </w:r>
          <w:r>
            <w:instrText xml:space="preserve"> PAGEREF _Toc27341 \h </w:instrText>
          </w:r>
          <w:r>
            <w:fldChar w:fldCharType="separate"/>
          </w:r>
          <w:r>
            <w:t>- 6 -</w:t>
          </w:r>
          <w:r>
            <w:fldChar w:fldCharType="end"/>
          </w:r>
          <w:r>
            <w:rPr>
              <w:rFonts w:hint="eastAsia" w:ascii="宋体" w:hAnsi="宋体" w:eastAsia="宋体" w:cs="宋体"/>
              <w:bCs/>
              <w:color w:val="auto"/>
              <w:szCs w:val="36"/>
            </w:rPr>
            <w:fldChar w:fldCharType="end"/>
          </w:r>
        </w:p>
        <w:p w14:paraId="3860412A">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_Toc2283 </w:instrText>
          </w:r>
          <w:r>
            <w:rPr>
              <w:rFonts w:hint="eastAsia" w:ascii="宋体" w:hAnsi="宋体" w:eastAsia="宋体" w:cs="宋体"/>
              <w:bCs/>
              <w:szCs w:val="36"/>
            </w:rPr>
            <w:fldChar w:fldCharType="separate"/>
          </w:r>
          <w:r>
            <w:rPr>
              <w:rFonts w:hint="eastAsia" w:ascii="宋体" w:hAnsi="宋体" w:eastAsia="宋体" w:cs="宋体"/>
              <w:snapToGrid w:val="0"/>
              <w:kern w:val="0"/>
              <w:szCs w:val="28"/>
            </w:rPr>
            <w:t>1.2.6行业标准</w:t>
          </w:r>
          <w:r>
            <w:tab/>
          </w:r>
          <w:r>
            <w:fldChar w:fldCharType="begin"/>
          </w:r>
          <w:r>
            <w:instrText xml:space="preserve"> PAGEREF _Toc2283 \h </w:instrText>
          </w:r>
          <w:r>
            <w:fldChar w:fldCharType="separate"/>
          </w:r>
          <w:r>
            <w:t>- 8 -</w:t>
          </w:r>
          <w:r>
            <w:fldChar w:fldCharType="end"/>
          </w:r>
          <w:r>
            <w:rPr>
              <w:rFonts w:hint="eastAsia" w:ascii="宋体" w:hAnsi="宋体" w:eastAsia="宋体" w:cs="宋体"/>
              <w:bCs/>
              <w:color w:val="auto"/>
              <w:szCs w:val="36"/>
            </w:rPr>
            <w:fldChar w:fldCharType="end"/>
          </w:r>
        </w:p>
        <w:p w14:paraId="6AFE02D3">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_Toc15266 </w:instrText>
          </w:r>
          <w:r>
            <w:rPr>
              <w:rFonts w:hint="eastAsia" w:ascii="宋体" w:hAnsi="宋体" w:eastAsia="宋体" w:cs="宋体"/>
              <w:bCs/>
              <w:szCs w:val="36"/>
            </w:rPr>
            <w:fldChar w:fldCharType="separate"/>
          </w:r>
          <w:r>
            <w:rPr>
              <w:rFonts w:hint="eastAsia" w:ascii="宋体" w:hAnsi="宋体" w:eastAsia="宋体" w:cs="宋体"/>
              <w:snapToGrid w:val="0"/>
              <w:kern w:val="0"/>
              <w:szCs w:val="28"/>
            </w:rPr>
            <w:t>1.2.7其他相关参考资料</w:t>
          </w:r>
          <w:r>
            <w:tab/>
          </w:r>
          <w:r>
            <w:fldChar w:fldCharType="begin"/>
          </w:r>
          <w:r>
            <w:instrText xml:space="preserve"> PAGEREF _Toc15266 \h </w:instrText>
          </w:r>
          <w:r>
            <w:fldChar w:fldCharType="separate"/>
          </w:r>
          <w:r>
            <w:t>- 8 -</w:t>
          </w:r>
          <w:r>
            <w:fldChar w:fldCharType="end"/>
          </w:r>
          <w:r>
            <w:rPr>
              <w:rFonts w:hint="eastAsia" w:ascii="宋体" w:hAnsi="宋体" w:eastAsia="宋体" w:cs="宋体"/>
              <w:bCs/>
              <w:color w:val="auto"/>
              <w:szCs w:val="36"/>
            </w:rPr>
            <w:fldChar w:fldCharType="end"/>
          </w:r>
        </w:p>
        <w:p w14:paraId="47221180">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_Toc22840 </w:instrText>
          </w:r>
          <w:r>
            <w:rPr>
              <w:rFonts w:hint="eastAsia" w:ascii="宋体" w:hAnsi="宋体" w:eastAsia="宋体" w:cs="宋体"/>
              <w:bCs/>
              <w:szCs w:val="36"/>
            </w:rPr>
            <w:fldChar w:fldCharType="separate"/>
          </w:r>
          <w:r>
            <w:rPr>
              <w:rFonts w:hint="eastAsia" w:ascii="宋体" w:hAnsi="宋体" w:eastAsia="宋体" w:cs="宋体"/>
              <w:bCs/>
              <w:spacing w:val="1"/>
              <w:szCs w:val="30"/>
            </w:rPr>
            <w:t>1.</w:t>
          </w:r>
          <w:r>
            <w:rPr>
              <w:rFonts w:hint="eastAsia" w:ascii="宋体" w:hAnsi="宋体" w:eastAsia="宋体" w:cs="宋体"/>
              <w:bCs/>
              <w:spacing w:val="1"/>
              <w:szCs w:val="30"/>
              <w:lang w:val="en-US" w:eastAsia="zh-CN"/>
            </w:rPr>
            <w:t>3</w:t>
          </w:r>
          <w:r>
            <w:rPr>
              <w:rFonts w:hint="eastAsia" w:ascii="宋体" w:hAnsi="宋体" w:eastAsia="宋体" w:cs="宋体"/>
              <w:bCs/>
              <w:spacing w:val="1"/>
              <w:szCs w:val="30"/>
            </w:rPr>
            <w:t>评价原则及范围</w:t>
          </w:r>
          <w:r>
            <w:tab/>
          </w:r>
          <w:r>
            <w:fldChar w:fldCharType="begin"/>
          </w:r>
          <w:r>
            <w:instrText xml:space="preserve"> PAGEREF _Toc22840 \h </w:instrText>
          </w:r>
          <w:r>
            <w:fldChar w:fldCharType="separate"/>
          </w:r>
          <w:r>
            <w:t>- 8 -</w:t>
          </w:r>
          <w:r>
            <w:fldChar w:fldCharType="end"/>
          </w:r>
          <w:r>
            <w:rPr>
              <w:rFonts w:hint="eastAsia" w:ascii="宋体" w:hAnsi="宋体" w:eastAsia="宋体" w:cs="宋体"/>
              <w:bCs/>
              <w:color w:val="auto"/>
              <w:szCs w:val="36"/>
            </w:rPr>
            <w:fldChar w:fldCharType="end"/>
          </w:r>
        </w:p>
        <w:p w14:paraId="5D396568">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_Toc2171 </w:instrText>
          </w:r>
          <w:r>
            <w:rPr>
              <w:rFonts w:hint="eastAsia" w:ascii="宋体" w:hAnsi="宋体" w:eastAsia="宋体" w:cs="宋体"/>
              <w:bCs/>
              <w:szCs w:val="36"/>
            </w:rPr>
            <w:fldChar w:fldCharType="separate"/>
          </w:r>
          <w:r>
            <w:rPr>
              <w:rFonts w:hint="eastAsia" w:ascii="宋体" w:hAnsi="宋体" w:eastAsia="宋体" w:cs="宋体"/>
              <w:bCs/>
              <w:spacing w:val="-1"/>
              <w:szCs w:val="28"/>
            </w:rPr>
            <w:t>1.</w:t>
          </w:r>
          <w:r>
            <w:rPr>
              <w:rFonts w:hint="eastAsia" w:ascii="宋体" w:hAnsi="宋体" w:eastAsia="宋体" w:cs="宋体"/>
              <w:bCs/>
              <w:spacing w:val="-1"/>
              <w:szCs w:val="28"/>
              <w:lang w:val="en-US" w:eastAsia="zh-CN"/>
            </w:rPr>
            <w:t>3</w:t>
          </w:r>
          <w:r>
            <w:rPr>
              <w:rFonts w:hint="eastAsia" w:ascii="宋体" w:hAnsi="宋体" w:eastAsia="宋体" w:cs="宋体"/>
              <w:bCs/>
              <w:spacing w:val="-1"/>
              <w:szCs w:val="28"/>
            </w:rPr>
            <w:t>.1评价原则</w:t>
          </w:r>
          <w:r>
            <w:tab/>
          </w:r>
          <w:r>
            <w:fldChar w:fldCharType="begin"/>
          </w:r>
          <w:r>
            <w:instrText xml:space="preserve"> PAGEREF _Toc2171 \h </w:instrText>
          </w:r>
          <w:r>
            <w:fldChar w:fldCharType="separate"/>
          </w:r>
          <w:r>
            <w:t>- 8 -</w:t>
          </w:r>
          <w:r>
            <w:fldChar w:fldCharType="end"/>
          </w:r>
          <w:r>
            <w:rPr>
              <w:rFonts w:hint="eastAsia" w:ascii="宋体" w:hAnsi="宋体" w:eastAsia="宋体" w:cs="宋体"/>
              <w:bCs/>
              <w:color w:val="auto"/>
              <w:szCs w:val="36"/>
            </w:rPr>
            <w:fldChar w:fldCharType="end"/>
          </w:r>
        </w:p>
        <w:p w14:paraId="052AEB0D">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_Toc9997 </w:instrText>
          </w:r>
          <w:r>
            <w:rPr>
              <w:rFonts w:hint="eastAsia" w:ascii="宋体" w:hAnsi="宋体" w:eastAsia="宋体" w:cs="宋体"/>
              <w:bCs/>
              <w:szCs w:val="36"/>
            </w:rPr>
            <w:fldChar w:fldCharType="separate"/>
          </w:r>
          <w:r>
            <w:rPr>
              <w:rFonts w:hint="eastAsia" w:ascii="宋体" w:hAnsi="宋体" w:eastAsia="宋体" w:cs="宋体"/>
              <w:bCs/>
              <w:spacing w:val="-1"/>
              <w:szCs w:val="28"/>
            </w:rPr>
            <w:t>1.</w:t>
          </w:r>
          <w:r>
            <w:rPr>
              <w:rFonts w:hint="eastAsia" w:ascii="宋体" w:hAnsi="宋体" w:eastAsia="宋体" w:cs="宋体"/>
              <w:bCs/>
              <w:spacing w:val="-1"/>
              <w:szCs w:val="28"/>
              <w:lang w:val="en-US" w:eastAsia="zh-CN"/>
            </w:rPr>
            <w:t>3</w:t>
          </w:r>
          <w:r>
            <w:rPr>
              <w:rFonts w:hint="eastAsia" w:ascii="宋体" w:hAnsi="宋体" w:eastAsia="宋体" w:cs="宋体"/>
              <w:bCs/>
              <w:spacing w:val="-1"/>
              <w:szCs w:val="28"/>
            </w:rPr>
            <w:t>.2评价范围</w:t>
          </w:r>
          <w:r>
            <w:tab/>
          </w:r>
          <w:r>
            <w:fldChar w:fldCharType="begin"/>
          </w:r>
          <w:r>
            <w:instrText xml:space="preserve"> PAGEREF _Toc9997 \h </w:instrText>
          </w:r>
          <w:r>
            <w:fldChar w:fldCharType="separate"/>
          </w:r>
          <w:r>
            <w:t>- 9 -</w:t>
          </w:r>
          <w:r>
            <w:fldChar w:fldCharType="end"/>
          </w:r>
          <w:r>
            <w:rPr>
              <w:rFonts w:hint="eastAsia" w:ascii="宋体" w:hAnsi="宋体" w:eastAsia="宋体" w:cs="宋体"/>
              <w:bCs/>
              <w:color w:val="auto"/>
              <w:szCs w:val="36"/>
            </w:rPr>
            <w:fldChar w:fldCharType="end"/>
          </w:r>
        </w:p>
        <w:p w14:paraId="5AF362DE">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_Toc14577 </w:instrText>
          </w:r>
          <w:r>
            <w:rPr>
              <w:rFonts w:hint="eastAsia" w:ascii="宋体" w:hAnsi="宋体" w:eastAsia="宋体" w:cs="宋体"/>
              <w:bCs/>
              <w:szCs w:val="36"/>
            </w:rPr>
            <w:fldChar w:fldCharType="separate"/>
          </w:r>
          <w:r>
            <w:rPr>
              <w:rFonts w:hint="eastAsia" w:ascii="宋体" w:hAnsi="宋体" w:eastAsia="宋体" w:cs="宋体"/>
              <w:bCs/>
              <w:kern w:val="0"/>
              <w:szCs w:val="30"/>
            </w:rPr>
            <w:t>1.</w:t>
          </w:r>
          <w:r>
            <w:rPr>
              <w:rFonts w:hint="eastAsia" w:ascii="宋体" w:hAnsi="宋体" w:eastAsia="宋体" w:cs="宋体"/>
              <w:bCs/>
              <w:kern w:val="0"/>
              <w:szCs w:val="30"/>
              <w:lang w:val="en-US" w:eastAsia="zh-CN"/>
            </w:rPr>
            <w:t>4</w:t>
          </w:r>
          <w:r>
            <w:rPr>
              <w:rFonts w:hint="eastAsia" w:ascii="宋体" w:hAnsi="宋体" w:eastAsia="宋体" w:cs="宋体"/>
              <w:bCs/>
              <w:kern w:val="0"/>
              <w:szCs w:val="30"/>
            </w:rPr>
            <w:t>评价程序</w:t>
          </w:r>
          <w:r>
            <w:tab/>
          </w:r>
          <w:r>
            <w:fldChar w:fldCharType="begin"/>
          </w:r>
          <w:r>
            <w:instrText xml:space="preserve"> PAGEREF _Toc14577 \h </w:instrText>
          </w:r>
          <w:r>
            <w:fldChar w:fldCharType="separate"/>
          </w:r>
          <w:r>
            <w:t>- 9 -</w:t>
          </w:r>
          <w:r>
            <w:fldChar w:fldCharType="end"/>
          </w:r>
          <w:r>
            <w:rPr>
              <w:rFonts w:hint="eastAsia" w:ascii="宋体" w:hAnsi="宋体" w:eastAsia="宋体" w:cs="宋体"/>
              <w:bCs/>
              <w:color w:val="auto"/>
              <w:szCs w:val="36"/>
            </w:rPr>
            <w:fldChar w:fldCharType="end"/>
          </w:r>
        </w:p>
        <w:p w14:paraId="450582A8">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_Toc8809 </w:instrText>
          </w:r>
          <w:r>
            <w:rPr>
              <w:rFonts w:hint="eastAsia" w:ascii="宋体" w:hAnsi="宋体" w:eastAsia="宋体" w:cs="宋体"/>
              <w:bCs/>
              <w:szCs w:val="36"/>
            </w:rPr>
            <w:fldChar w:fldCharType="separate"/>
          </w:r>
          <w:r>
            <w:rPr>
              <w:rFonts w:hint="eastAsia" w:ascii="宋体" w:hAnsi="宋体" w:eastAsia="宋体" w:cs="宋体"/>
              <w:bCs/>
              <w:kern w:val="0"/>
              <w:szCs w:val="30"/>
            </w:rPr>
            <w:t>1.</w:t>
          </w:r>
          <w:r>
            <w:rPr>
              <w:rFonts w:hint="eastAsia" w:ascii="宋体" w:hAnsi="宋体" w:eastAsia="宋体" w:cs="宋体"/>
              <w:bCs/>
              <w:kern w:val="0"/>
              <w:szCs w:val="30"/>
              <w:lang w:val="en-US" w:eastAsia="zh-CN"/>
            </w:rPr>
            <w:t>5</w:t>
          </w:r>
          <w:r>
            <w:rPr>
              <w:rFonts w:hint="eastAsia" w:ascii="宋体" w:hAnsi="宋体" w:eastAsia="宋体" w:cs="宋体"/>
              <w:bCs/>
              <w:kern w:val="0"/>
              <w:szCs w:val="30"/>
            </w:rPr>
            <w:t>评价基准日</w:t>
          </w:r>
          <w:r>
            <w:tab/>
          </w:r>
          <w:r>
            <w:fldChar w:fldCharType="begin"/>
          </w:r>
          <w:r>
            <w:instrText xml:space="preserve"> PAGEREF _Toc8809 \h </w:instrText>
          </w:r>
          <w:r>
            <w:fldChar w:fldCharType="separate"/>
          </w:r>
          <w:r>
            <w:t>- 10 -</w:t>
          </w:r>
          <w:r>
            <w:fldChar w:fldCharType="end"/>
          </w:r>
          <w:r>
            <w:rPr>
              <w:rFonts w:hint="eastAsia" w:ascii="宋体" w:hAnsi="宋体" w:eastAsia="宋体" w:cs="宋体"/>
              <w:bCs/>
              <w:color w:val="auto"/>
              <w:szCs w:val="36"/>
            </w:rPr>
            <w:fldChar w:fldCharType="end"/>
          </w:r>
        </w:p>
        <w:p w14:paraId="42C11D76">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_Toc4292 </w:instrText>
          </w:r>
          <w:r>
            <w:rPr>
              <w:rFonts w:hint="eastAsia" w:ascii="宋体" w:hAnsi="宋体" w:eastAsia="宋体" w:cs="宋体"/>
              <w:bCs/>
              <w:szCs w:val="36"/>
            </w:rPr>
            <w:fldChar w:fldCharType="separate"/>
          </w:r>
          <w:r>
            <w:rPr>
              <w:rFonts w:hint="eastAsia" w:ascii="宋体" w:hAnsi="宋体" w:eastAsia="宋体" w:cs="宋体"/>
              <w:bCs/>
              <w:spacing w:val="2"/>
              <w:szCs w:val="30"/>
            </w:rPr>
            <w:t>1.</w:t>
          </w:r>
          <w:r>
            <w:rPr>
              <w:rFonts w:hint="eastAsia" w:ascii="宋体" w:hAnsi="宋体" w:eastAsia="宋体" w:cs="宋体"/>
              <w:bCs/>
              <w:spacing w:val="2"/>
              <w:szCs w:val="30"/>
              <w:lang w:val="en-US" w:eastAsia="zh-CN"/>
            </w:rPr>
            <w:t>6</w:t>
          </w:r>
          <w:r>
            <w:rPr>
              <w:rFonts w:hint="eastAsia" w:ascii="宋体" w:hAnsi="宋体" w:eastAsia="宋体" w:cs="宋体"/>
              <w:bCs/>
              <w:spacing w:val="2"/>
              <w:szCs w:val="30"/>
            </w:rPr>
            <w:t>评价报告使用权声明</w:t>
          </w:r>
          <w:r>
            <w:tab/>
          </w:r>
          <w:r>
            <w:fldChar w:fldCharType="begin"/>
          </w:r>
          <w:r>
            <w:instrText xml:space="preserve"> PAGEREF _Toc4292 \h </w:instrText>
          </w:r>
          <w:r>
            <w:fldChar w:fldCharType="separate"/>
          </w:r>
          <w:r>
            <w:t>- 10 -</w:t>
          </w:r>
          <w:r>
            <w:fldChar w:fldCharType="end"/>
          </w:r>
          <w:r>
            <w:rPr>
              <w:rFonts w:hint="eastAsia" w:ascii="宋体" w:hAnsi="宋体" w:eastAsia="宋体" w:cs="宋体"/>
              <w:bCs/>
              <w:color w:val="auto"/>
              <w:szCs w:val="36"/>
            </w:rPr>
            <w:fldChar w:fldCharType="end"/>
          </w:r>
        </w:p>
        <w:p w14:paraId="2FD268E3">
          <w:pPr>
            <w:pStyle w:val="17"/>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_Toc27867 </w:instrText>
          </w:r>
          <w:r>
            <w:rPr>
              <w:rFonts w:hint="eastAsia" w:ascii="宋体" w:hAnsi="宋体" w:eastAsia="宋体" w:cs="宋体"/>
              <w:bCs/>
              <w:szCs w:val="36"/>
            </w:rPr>
            <w:fldChar w:fldCharType="separate"/>
          </w:r>
          <w:r>
            <w:rPr>
              <w:rFonts w:ascii="宋体" w:hAnsi="宋体" w:eastAsia="宋体" w:cs="宋体"/>
              <w:bCs/>
              <w:szCs w:val="36"/>
            </w:rPr>
            <w:t>第2章评价项目概况</w:t>
          </w:r>
          <w:r>
            <w:tab/>
          </w:r>
          <w:r>
            <w:fldChar w:fldCharType="begin"/>
          </w:r>
          <w:r>
            <w:instrText xml:space="preserve"> PAGEREF _Toc27867 \h </w:instrText>
          </w:r>
          <w:r>
            <w:fldChar w:fldCharType="separate"/>
          </w:r>
          <w:r>
            <w:t>- 11 -</w:t>
          </w:r>
          <w:r>
            <w:fldChar w:fldCharType="end"/>
          </w:r>
          <w:r>
            <w:rPr>
              <w:rFonts w:hint="eastAsia" w:ascii="宋体" w:hAnsi="宋体" w:eastAsia="宋体" w:cs="宋体"/>
              <w:bCs/>
              <w:color w:val="auto"/>
              <w:szCs w:val="36"/>
            </w:rPr>
            <w:fldChar w:fldCharType="end"/>
          </w:r>
        </w:p>
        <w:p w14:paraId="33DCBDEF">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_Toc11473 </w:instrText>
          </w:r>
          <w:r>
            <w:rPr>
              <w:rFonts w:hint="eastAsia" w:ascii="宋体" w:hAnsi="宋体" w:eastAsia="宋体" w:cs="宋体"/>
              <w:bCs/>
              <w:szCs w:val="36"/>
            </w:rPr>
            <w:fldChar w:fldCharType="separate"/>
          </w:r>
          <w:r>
            <w:rPr>
              <w:rFonts w:hint="eastAsia" w:ascii="宋体" w:hAnsi="宋体" w:eastAsia="宋体" w:cs="宋体"/>
              <w:bCs/>
              <w:szCs w:val="30"/>
            </w:rPr>
            <w:t>2.1企业概况</w:t>
          </w:r>
          <w:r>
            <w:tab/>
          </w:r>
          <w:r>
            <w:fldChar w:fldCharType="begin"/>
          </w:r>
          <w:r>
            <w:instrText xml:space="preserve"> PAGEREF _Toc11473 \h </w:instrText>
          </w:r>
          <w:r>
            <w:fldChar w:fldCharType="separate"/>
          </w:r>
          <w:r>
            <w:t>- 11 -</w:t>
          </w:r>
          <w:r>
            <w:fldChar w:fldCharType="end"/>
          </w:r>
          <w:r>
            <w:rPr>
              <w:rFonts w:hint="eastAsia" w:ascii="宋体" w:hAnsi="宋体" w:eastAsia="宋体" w:cs="宋体"/>
              <w:bCs/>
              <w:color w:val="auto"/>
              <w:szCs w:val="36"/>
            </w:rPr>
            <w:fldChar w:fldCharType="end"/>
          </w:r>
        </w:p>
        <w:p w14:paraId="52DEBC93">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_Toc21293 </w:instrText>
          </w:r>
          <w:r>
            <w:rPr>
              <w:rFonts w:hint="eastAsia" w:ascii="宋体" w:hAnsi="宋体" w:eastAsia="宋体" w:cs="宋体"/>
              <w:bCs/>
              <w:szCs w:val="36"/>
            </w:rPr>
            <w:fldChar w:fldCharType="separate"/>
          </w:r>
          <w:r>
            <w:rPr>
              <w:rFonts w:hint="eastAsia" w:ascii="宋体" w:hAnsi="宋体" w:eastAsia="宋体" w:cs="宋体"/>
              <w:bCs/>
              <w:spacing w:val="1"/>
              <w:szCs w:val="28"/>
            </w:rPr>
            <w:t>2.1.1企业简介</w:t>
          </w:r>
          <w:r>
            <w:tab/>
          </w:r>
          <w:r>
            <w:fldChar w:fldCharType="begin"/>
          </w:r>
          <w:r>
            <w:instrText xml:space="preserve"> PAGEREF _Toc21293 \h </w:instrText>
          </w:r>
          <w:r>
            <w:fldChar w:fldCharType="separate"/>
          </w:r>
          <w:r>
            <w:t>- 11 -</w:t>
          </w:r>
          <w:r>
            <w:fldChar w:fldCharType="end"/>
          </w:r>
          <w:r>
            <w:rPr>
              <w:rFonts w:hint="eastAsia" w:ascii="宋体" w:hAnsi="宋体" w:eastAsia="宋体" w:cs="宋体"/>
              <w:bCs/>
              <w:color w:val="auto"/>
              <w:szCs w:val="36"/>
            </w:rPr>
            <w:fldChar w:fldCharType="end"/>
          </w:r>
        </w:p>
        <w:p w14:paraId="4936DBD9">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_Toc17557 </w:instrText>
          </w:r>
          <w:r>
            <w:rPr>
              <w:rFonts w:hint="eastAsia" w:ascii="宋体" w:hAnsi="宋体" w:eastAsia="宋体" w:cs="宋体"/>
              <w:bCs/>
              <w:szCs w:val="36"/>
            </w:rPr>
            <w:fldChar w:fldCharType="separate"/>
          </w:r>
          <w:r>
            <w:rPr>
              <w:rFonts w:hint="eastAsia" w:ascii="宋体" w:hAnsi="宋体" w:eastAsia="宋体" w:cs="宋体"/>
              <w:kern w:val="0"/>
            </w:rPr>
            <w:t>2.2</w:t>
          </w:r>
          <w:r>
            <w:rPr>
              <w:rFonts w:hint="eastAsia" w:ascii="宋体" w:hAnsi="宋体" w:eastAsia="宋体" w:cs="宋体"/>
              <w:kern w:val="0"/>
              <w:lang w:val="en-US" w:eastAsia="zh-CN"/>
            </w:rPr>
            <w:t xml:space="preserve"> </w:t>
          </w:r>
          <w:r>
            <w:rPr>
              <w:rFonts w:hint="eastAsia" w:ascii="宋体" w:hAnsi="宋体" w:eastAsia="宋体" w:cs="宋体"/>
              <w:kern w:val="0"/>
            </w:rPr>
            <w:t>项目概况</w:t>
          </w:r>
          <w:r>
            <w:tab/>
          </w:r>
          <w:r>
            <w:fldChar w:fldCharType="begin"/>
          </w:r>
          <w:r>
            <w:instrText xml:space="preserve"> PAGEREF _Toc17557 \h </w:instrText>
          </w:r>
          <w:r>
            <w:fldChar w:fldCharType="separate"/>
          </w:r>
          <w:r>
            <w:t>- 12 -</w:t>
          </w:r>
          <w:r>
            <w:fldChar w:fldCharType="end"/>
          </w:r>
          <w:r>
            <w:rPr>
              <w:rFonts w:hint="eastAsia" w:ascii="宋体" w:hAnsi="宋体" w:eastAsia="宋体" w:cs="宋体"/>
              <w:bCs/>
              <w:color w:val="auto"/>
              <w:szCs w:val="36"/>
            </w:rPr>
            <w:fldChar w:fldCharType="end"/>
          </w:r>
        </w:p>
        <w:p w14:paraId="1217B0FB">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_Toc15704 </w:instrText>
          </w:r>
          <w:r>
            <w:rPr>
              <w:rFonts w:hint="eastAsia" w:ascii="宋体" w:hAnsi="宋体" w:eastAsia="宋体" w:cs="宋体"/>
              <w:bCs/>
              <w:szCs w:val="36"/>
            </w:rPr>
            <w:fldChar w:fldCharType="separate"/>
          </w:r>
          <w:r>
            <w:rPr>
              <w:rFonts w:hint="eastAsia" w:ascii="宋体" w:hAnsi="宋体" w:eastAsia="宋体" w:cs="宋体"/>
              <w:snapToGrid w:val="0"/>
              <w:kern w:val="0"/>
              <w:szCs w:val="28"/>
            </w:rPr>
            <w:t>2.2.1项目简介</w:t>
          </w:r>
          <w:r>
            <w:tab/>
          </w:r>
          <w:r>
            <w:fldChar w:fldCharType="begin"/>
          </w:r>
          <w:r>
            <w:instrText xml:space="preserve"> PAGEREF _Toc15704 \h </w:instrText>
          </w:r>
          <w:r>
            <w:fldChar w:fldCharType="separate"/>
          </w:r>
          <w:r>
            <w:t>- 12 -</w:t>
          </w:r>
          <w:r>
            <w:fldChar w:fldCharType="end"/>
          </w:r>
          <w:r>
            <w:rPr>
              <w:rFonts w:hint="eastAsia" w:ascii="宋体" w:hAnsi="宋体" w:eastAsia="宋体" w:cs="宋体"/>
              <w:bCs/>
              <w:color w:val="auto"/>
              <w:szCs w:val="36"/>
            </w:rPr>
            <w:fldChar w:fldCharType="end"/>
          </w:r>
        </w:p>
        <w:p w14:paraId="084D0AC8">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_Toc15561 </w:instrText>
          </w:r>
          <w:r>
            <w:rPr>
              <w:rFonts w:hint="eastAsia" w:ascii="宋体" w:hAnsi="宋体" w:eastAsia="宋体" w:cs="宋体"/>
              <w:bCs/>
              <w:szCs w:val="36"/>
            </w:rPr>
            <w:fldChar w:fldCharType="separate"/>
          </w:r>
          <w:r>
            <w:rPr>
              <w:rFonts w:hint="eastAsia" w:ascii="宋体" w:hAnsi="宋体" w:eastAsia="宋体" w:cs="宋体"/>
              <w:snapToGrid w:val="0"/>
              <w:kern w:val="0"/>
              <w:szCs w:val="28"/>
            </w:rPr>
            <w:t>2.2.</w:t>
          </w:r>
          <w:r>
            <w:rPr>
              <w:rFonts w:hint="eastAsia" w:ascii="宋体" w:hAnsi="宋体" w:eastAsia="宋体" w:cs="宋体"/>
              <w:snapToGrid w:val="0"/>
              <w:kern w:val="0"/>
              <w:szCs w:val="28"/>
              <w:lang w:val="en-US" w:eastAsia="zh-CN"/>
            </w:rPr>
            <w:t xml:space="preserve">2 </w:t>
          </w:r>
          <w:r>
            <w:rPr>
              <w:rFonts w:hint="eastAsia" w:ascii="宋体" w:hAnsi="宋体" w:eastAsia="宋体" w:cs="宋体"/>
              <w:snapToGrid w:val="0"/>
              <w:kern w:val="0"/>
              <w:szCs w:val="28"/>
            </w:rPr>
            <w:t>项目地理位置</w:t>
          </w:r>
          <w:r>
            <w:tab/>
          </w:r>
          <w:r>
            <w:fldChar w:fldCharType="begin"/>
          </w:r>
          <w:r>
            <w:instrText xml:space="preserve"> PAGEREF _Toc15561 \h </w:instrText>
          </w:r>
          <w:r>
            <w:fldChar w:fldCharType="separate"/>
          </w:r>
          <w:r>
            <w:t>- 12 -</w:t>
          </w:r>
          <w:r>
            <w:fldChar w:fldCharType="end"/>
          </w:r>
          <w:r>
            <w:rPr>
              <w:rFonts w:hint="eastAsia" w:ascii="宋体" w:hAnsi="宋体" w:eastAsia="宋体" w:cs="宋体"/>
              <w:bCs/>
              <w:color w:val="auto"/>
              <w:szCs w:val="36"/>
            </w:rPr>
            <w:fldChar w:fldCharType="end"/>
          </w:r>
        </w:p>
        <w:p w14:paraId="77E9D89E">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_Toc20279 </w:instrText>
          </w:r>
          <w:r>
            <w:rPr>
              <w:rFonts w:hint="eastAsia" w:ascii="宋体" w:hAnsi="宋体" w:eastAsia="宋体" w:cs="宋体"/>
              <w:bCs/>
              <w:szCs w:val="36"/>
            </w:rPr>
            <w:fldChar w:fldCharType="separate"/>
          </w:r>
          <w:r>
            <w:rPr>
              <w:rFonts w:hint="eastAsia" w:ascii="宋体" w:hAnsi="宋体" w:eastAsia="宋体" w:cs="宋体"/>
              <w:snapToGrid w:val="0"/>
              <w:kern w:val="0"/>
              <w:szCs w:val="28"/>
            </w:rPr>
            <w:t>2.2.</w:t>
          </w:r>
          <w:r>
            <w:rPr>
              <w:rFonts w:hint="eastAsia" w:ascii="宋体" w:hAnsi="宋体" w:eastAsia="宋体" w:cs="宋体"/>
              <w:snapToGrid w:val="0"/>
              <w:kern w:val="0"/>
              <w:szCs w:val="28"/>
              <w:lang w:val="en-US" w:eastAsia="zh-CN"/>
            </w:rPr>
            <w:t xml:space="preserve">3 </w:t>
          </w:r>
          <w:r>
            <w:rPr>
              <w:rFonts w:hint="eastAsia" w:ascii="宋体" w:hAnsi="宋体" w:eastAsia="宋体" w:cs="宋体"/>
              <w:snapToGrid w:val="0"/>
              <w:kern w:val="0"/>
              <w:szCs w:val="28"/>
            </w:rPr>
            <w:t>项目周边情况</w:t>
          </w:r>
          <w:r>
            <w:tab/>
          </w:r>
          <w:r>
            <w:fldChar w:fldCharType="begin"/>
          </w:r>
          <w:r>
            <w:instrText xml:space="preserve"> PAGEREF _Toc20279 \h </w:instrText>
          </w:r>
          <w:r>
            <w:fldChar w:fldCharType="separate"/>
          </w:r>
          <w:r>
            <w:t>- 13 -</w:t>
          </w:r>
          <w:r>
            <w:fldChar w:fldCharType="end"/>
          </w:r>
          <w:r>
            <w:rPr>
              <w:rFonts w:hint="eastAsia" w:ascii="宋体" w:hAnsi="宋体" w:eastAsia="宋体" w:cs="宋体"/>
              <w:bCs/>
              <w:color w:val="auto"/>
              <w:szCs w:val="36"/>
            </w:rPr>
            <w:fldChar w:fldCharType="end"/>
          </w:r>
        </w:p>
        <w:p w14:paraId="4A5F76D3">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_Toc15326 </w:instrText>
          </w:r>
          <w:r>
            <w:rPr>
              <w:rFonts w:hint="eastAsia" w:ascii="宋体" w:hAnsi="宋体" w:eastAsia="宋体" w:cs="宋体"/>
              <w:bCs/>
              <w:szCs w:val="36"/>
            </w:rPr>
            <w:fldChar w:fldCharType="separate"/>
          </w:r>
          <w:r>
            <w:rPr>
              <w:rFonts w:hint="eastAsia" w:ascii="宋体" w:hAnsi="宋体" w:eastAsia="宋体" w:cs="宋体"/>
              <w:snapToGrid w:val="0"/>
              <w:kern w:val="0"/>
              <w:szCs w:val="28"/>
            </w:rPr>
            <w:t>2.2.</w:t>
          </w:r>
          <w:r>
            <w:rPr>
              <w:rFonts w:hint="eastAsia" w:ascii="宋体" w:hAnsi="宋体" w:eastAsia="宋体" w:cs="宋体"/>
              <w:snapToGrid w:val="0"/>
              <w:kern w:val="0"/>
              <w:szCs w:val="28"/>
              <w:lang w:val="en-US" w:eastAsia="zh-CN"/>
            </w:rPr>
            <w:t>4</w:t>
          </w:r>
          <w:r>
            <w:rPr>
              <w:rFonts w:hint="eastAsia" w:ascii="宋体" w:hAnsi="宋体" w:eastAsia="宋体" w:cs="宋体"/>
              <w:snapToGrid w:val="0"/>
              <w:kern w:val="0"/>
              <w:szCs w:val="28"/>
            </w:rPr>
            <w:t>气象条件</w:t>
          </w:r>
          <w:r>
            <w:tab/>
          </w:r>
          <w:r>
            <w:fldChar w:fldCharType="begin"/>
          </w:r>
          <w:r>
            <w:instrText xml:space="preserve"> PAGEREF _Toc15326 \h </w:instrText>
          </w:r>
          <w:r>
            <w:fldChar w:fldCharType="separate"/>
          </w:r>
          <w:r>
            <w:t>- 14 -</w:t>
          </w:r>
          <w:r>
            <w:fldChar w:fldCharType="end"/>
          </w:r>
          <w:r>
            <w:rPr>
              <w:rFonts w:hint="eastAsia" w:ascii="宋体" w:hAnsi="宋体" w:eastAsia="宋体" w:cs="宋体"/>
              <w:bCs/>
              <w:color w:val="auto"/>
              <w:szCs w:val="36"/>
            </w:rPr>
            <w:fldChar w:fldCharType="end"/>
          </w:r>
        </w:p>
        <w:p w14:paraId="22F5E97E">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_Toc18310 </w:instrText>
          </w:r>
          <w:r>
            <w:rPr>
              <w:rFonts w:hint="eastAsia" w:ascii="宋体" w:hAnsi="宋体" w:eastAsia="宋体" w:cs="宋体"/>
              <w:bCs/>
              <w:szCs w:val="36"/>
            </w:rPr>
            <w:fldChar w:fldCharType="separate"/>
          </w:r>
          <w:r>
            <w:rPr>
              <w:rFonts w:hint="eastAsia" w:ascii="宋体" w:hAnsi="宋体" w:eastAsia="宋体" w:cs="宋体"/>
              <w:snapToGrid w:val="0"/>
              <w:kern w:val="0"/>
              <w:szCs w:val="28"/>
            </w:rPr>
            <w:t>2.2.</w:t>
          </w:r>
          <w:r>
            <w:rPr>
              <w:rFonts w:hint="eastAsia" w:ascii="宋体" w:hAnsi="宋体" w:eastAsia="宋体" w:cs="宋体"/>
              <w:snapToGrid w:val="0"/>
              <w:kern w:val="0"/>
              <w:szCs w:val="28"/>
              <w:lang w:val="en-US" w:eastAsia="zh-CN"/>
            </w:rPr>
            <w:t xml:space="preserve">5 </w:t>
          </w:r>
          <w:r>
            <w:rPr>
              <w:rFonts w:hint="eastAsia" w:ascii="宋体" w:hAnsi="宋体" w:eastAsia="宋体" w:cs="宋体"/>
              <w:snapToGrid w:val="0"/>
              <w:kern w:val="0"/>
              <w:szCs w:val="28"/>
            </w:rPr>
            <w:t>地质条件</w:t>
          </w:r>
          <w:r>
            <w:tab/>
          </w:r>
          <w:r>
            <w:fldChar w:fldCharType="begin"/>
          </w:r>
          <w:r>
            <w:instrText xml:space="preserve"> PAGEREF _Toc18310 \h </w:instrText>
          </w:r>
          <w:r>
            <w:fldChar w:fldCharType="separate"/>
          </w:r>
          <w:r>
            <w:t>- 15 -</w:t>
          </w:r>
          <w:r>
            <w:fldChar w:fldCharType="end"/>
          </w:r>
          <w:r>
            <w:rPr>
              <w:rFonts w:hint="eastAsia" w:ascii="宋体" w:hAnsi="宋体" w:eastAsia="宋体" w:cs="宋体"/>
              <w:bCs/>
              <w:color w:val="auto"/>
              <w:szCs w:val="36"/>
            </w:rPr>
            <w:fldChar w:fldCharType="end"/>
          </w:r>
        </w:p>
        <w:p w14:paraId="221F08BC">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_Toc14181 </w:instrText>
          </w:r>
          <w:r>
            <w:rPr>
              <w:rFonts w:hint="eastAsia" w:ascii="宋体" w:hAnsi="宋体" w:eastAsia="宋体" w:cs="宋体"/>
              <w:bCs/>
              <w:szCs w:val="36"/>
            </w:rPr>
            <w:fldChar w:fldCharType="separate"/>
          </w:r>
          <w:r>
            <w:rPr>
              <w:rFonts w:hint="eastAsia" w:ascii="宋体" w:hAnsi="宋体" w:eastAsia="宋体" w:cs="宋体"/>
              <w:kern w:val="0"/>
            </w:rPr>
            <w:t>2.3</w:t>
          </w:r>
          <w:r>
            <w:rPr>
              <w:rFonts w:hint="eastAsia" w:ascii="宋体" w:hAnsi="宋体" w:eastAsia="宋体" w:cs="宋体"/>
              <w:kern w:val="0"/>
              <w:lang w:val="en-US" w:eastAsia="zh-CN"/>
            </w:rPr>
            <w:t xml:space="preserve"> </w:t>
          </w:r>
          <w:r>
            <w:rPr>
              <w:rFonts w:hint="eastAsia" w:ascii="宋体" w:hAnsi="宋体" w:eastAsia="宋体" w:cs="宋体"/>
              <w:kern w:val="0"/>
            </w:rPr>
            <w:t>总图布置</w:t>
          </w:r>
          <w:r>
            <w:tab/>
          </w:r>
          <w:r>
            <w:fldChar w:fldCharType="begin"/>
          </w:r>
          <w:r>
            <w:instrText xml:space="preserve"> PAGEREF _Toc14181 \h </w:instrText>
          </w:r>
          <w:r>
            <w:fldChar w:fldCharType="separate"/>
          </w:r>
          <w:r>
            <w:t>- 16 -</w:t>
          </w:r>
          <w:r>
            <w:fldChar w:fldCharType="end"/>
          </w:r>
          <w:r>
            <w:rPr>
              <w:rFonts w:hint="eastAsia" w:ascii="宋体" w:hAnsi="宋体" w:eastAsia="宋体" w:cs="宋体"/>
              <w:bCs/>
              <w:color w:val="auto"/>
              <w:szCs w:val="36"/>
            </w:rPr>
            <w:fldChar w:fldCharType="end"/>
          </w:r>
        </w:p>
        <w:p w14:paraId="2CF2DE06">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_Toc22582 </w:instrText>
          </w:r>
          <w:r>
            <w:rPr>
              <w:rFonts w:hint="eastAsia" w:ascii="宋体" w:hAnsi="宋体" w:eastAsia="宋体" w:cs="宋体"/>
              <w:bCs/>
              <w:szCs w:val="36"/>
            </w:rPr>
            <w:fldChar w:fldCharType="separate"/>
          </w:r>
          <w:r>
            <w:rPr>
              <w:rFonts w:hint="eastAsia" w:ascii="宋体" w:hAnsi="宋体" w:eastAsia="宋体" w:cs="宋体"/>
              <w:snapToGrid w:val="0"/>
              <w:kern w:val="0"/>
              <w:szCs w:val="28"/>
            </w:rPr>
            <w:t>2.3.1</w:t>
          </w:r>
          <w:r>
            <w:rPr>
              <w:rFonts w:hint="eastAsia" w:ascii="宋体" w:hAnsi="宋体" w:eastAsia="宋体" w:cs="宋体"/>
              <w:snapToGrid w:val="0"/>
              <w:kern w:val="0"/>
              <w:szCs w:val="28"/>
              <w:lang w:val="en-US" w:eastAsia="zh-CN"/>
            </w:rPr>
            <w:t xml:space="preserve"> </w:t>
          </w:r>
          <w:r>
            <w:rPr>
              <w:rFonts w:hint="eastAsia" w:ascii="宋体" w:hAnsi="宋体" w:eastAsia="宋体" w:cs="宋体"/>
              <w:snapToGrid w:val="0"/>
              <w:kern w:val="0"/>
              <w:szCs w:val="28"/>
            </w:rPr>
            <w:t>总平面布置</w:t>
          </w:r>
          <w:r>
            <w:tab/>
          </w:r>
          <w:r>
            <w:fldChar w:fldCharType="begin"/>
          </w:r>
          <w:r>
            <w:instrText xml:space="preserve"> PAGEREF _Toc22582 \h </w:instrText>
          </w:r>
          <w:r>
            <w:fldChar w:fldCharType="separate"/>
          </w:r>
          <w:r>
            <w:t>- 16 -</w:t>
          </w:r>
          <w:r>
            <w:fldChar w:fldCharType="end"/>
          </w:r>
          <w:r>
            <w:rPr>
              <w:rFonts w:hint="eastAsia" w:ascii="宋体" w:hAnsi="宋体" w:eastAsia="宋体" w:cs="宋体"/>
              <w:bCs/>
              <w:color w:val="auto"/>
              <w:szCs w:val="36"/>
            </w:rPr>
            <w:fldChar w:fldCharType="end"/>
          </w:r>
        </w:p>
        <w:p w14:paraId="3CCA5E11">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_Toc27043 </w:instrText>
          </w:r>
          <w:r>
            <w:rPr>
              <w:rFonts w:hint="eastAsia" w:ascii="宋体" w:hAnsi="宋体" w:eastAsia="宋体" w:cs="宋体"/>
              <w:bCs/>
              <w:szCs w:val="36"/>
            </w:rPr>
            <w:fldChar w:fldCharType="separate"/>
          </w:r>
          <w:r>
            <w:rPr>
              <w:rFonts w:hint="eastAsia" w:ascii="宋体" w:hAnsi="宋体" w:eastAsia="宋体" w:cs="宋体"/>
              <w:snapToGrid w:val="0"/>
              <w:kern w:val="0"/>
              <w:szCs w:val="28"/>
            </w:rPr>
            <w:t>2.</w:t>
          </w:r>
          <w:r>
            <w:rPr>
              <w:rFonts w:hint="eastAsia" w:ascii="宋体" w:hAnsi="宋体" w:eastAsia="宋体" w:cs="宋体"/>
              <w:snapToGrid w:val="0"/>
              <w:kern w:val="0"/>
              <w:szCs w:val="28"/>
              <w:lang w:val="en-US" w:eastAsia="zh-CN"/>
            </w:rPr>
            <w:t>3</w:t>
          </w:r>
          <w:r>
            <w:rPr>
              <w:rFonts w:hint="eastAsia" w:ascii="宋体" w:hAnsi="宋体" w:eastAsia="宋体" w:cs="宋体"/>
              <w:snapToGrid w:val="0"/>
              <w:kern w:val="0"/>
              <w:szCs w:val="28"/>
            </w:rPr>
            <w:t>.</w:t>
          </w:r>
          <w:r>
            <w:rPr>
              <w:rFonts w:hint="eastAsia" w:ascii="宋体" w:hAnsi="宋体" w:eastAsia="宋体" w:cs="宋体"/>
              <w:snapToGrid w:val="0"/>
              <w:kern w:val="0"/>
              <w:szCs w:val="28"/>
              <w:lang w:val="en-US" w:eastAsia="zh-CN"/>
            </w:rPr>
            <w:t>2</w:t>
          </w:r>
          <w:r>
            <w:rPr>
              <w:rFonts w:hint="eastAsia" w:ascii="宋体" w:hAnsi="宋体" w:eastAsia="宋体" w:cs="宋体"/>
              <w:snapToGrid w:val="0"/>
              <w:kern w:val="0"/>
              <w:szCs w:val="28"/>
            </w:rPr>
            <w:t xml:space="preserve"> 主要建（构）筑物防火间距</w:t>
          </w:r>
          <w:r>
            <w:tab/>
          </w:r>
          <w:r>
            <w:fldChar w:fldCharType="begin"/>
          </w:r>
          <w:r>
            <w:instrText xml:space="preserve"> PAGEREF _Toc27043 \h </w:instrText>
          </w:r>
          <w:r>
            <w:fldChar w:fldCharType="separate"/>
          </w:r>
          <w:r>
            <w:t>- 17 -</w:t>
          </w:r>
          <w:r>
            <w:fldChar w:fldCharType="end"/>
          </w:r>
          <w:r>
            <w:rPr>
              <w:rFonts w:hint="eastAsia" w:ascii="宋体" w:hAnsi="宋体" w:eastAsia="宋体" w:cs="宋体"/>
              <w:bCs/>
              <w:color w:val="auto"/>
              <w:szCs w:val="36"/>
            </w:rPr>
            <w:fldChar w:fldCharType="end"/>
          </w:r>
        </w:p>
        <w:p w14:paraId="1FE9C884">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_Toc18984 </w:instrText>
          </w:r>
          <w:r>
            <w:rPr>
              <w:rFonts w:hint="eastAsia" w:ascii="宋体" w:hAnsi="宋体" w:eastAsia="宋体" w:cs="宋体"/>
              <w:bCs/>
              <w:szCs w:val="36"/>
            </w:rPr>
            <w:fldChar w:fldCharType="separate"/>
          </w:r>
          <w:r>
            <w:rPr>
              <w:rFonts w:hint="eastAsia" w:ascii="宋体" w:hAnsi="宋体" w:eastAsia="宋体" w:cs="宋体"/>
              <w:snapToGrid w:val="0"/>
              <w:kern w:val="0"/>
              <w:szCs w:val="28"/>
            </w:rPr>
            <w:t>2.3.</w:t>
          </w:r>
          <w:r>
            <w:rPr>
              <w:rFonts w:hint="eastAsia" w:ascii="宋体" w:hAnsi="宋体" w:eastAsia="宋体" w:cs="宋体"/>
              <w:snapToGrid w:val="0"/>
              <w:kern w:val="0"/>
              <w:szCs w:val="28"/>
              <w:lang w:val="en-US" w:eastAsia="zh-CN"/>
            </w:rPr>
            <w:t xml:space="preserve">3 </w:t>
          </w:r>
          <w:r>
            <w:rPr>
              <w:rFonts w:hint="eastAsia" w:ascii="宋体" w:hAnsi="宋体" w:eastAsia="宋体" w:cs="宋体"/>
              <w:snapToGrid w:val="0"/>
              <w:kern w:val="0"/>
              <w:szCs w:val="28"/>
            </w:rPr>
            <w:t>厂内运输</w:t>
          </w:r>
          <w:r>
            <w:tab/>
          </w:r>
          <w:r>
            <w:fldChar w:fldCharType="begin"/>
          </w:r>
          <w:r>
            <w:instrText xml:space="preserve"> PAGEREF _Toc18984 \h </w:instrText>
          </w:r>
          <w:r>
            <w:fldChar w:fldCharType="separate"/>
          </w:r>
          <w:r>
            <w:t>- 18 -</w:t>
          </w:r>
          <w:r>
            <w:fldChar w:fldCharType="end"/>
          </w:r>
          <w:r>
            <w:rPr>
              <w:rFonts w:hint="eastAsia" w:ascii="宋体" w:hAnsi="宋体" w:eastAsia="宋体" w:cs="宋体"/>
              <w:bCs/>
              <w:color w:val="auto"/>
              <w:szCs w:val="36"/>
            </w:rPr>
            <w:fldChar w:fldCharType="end"/>
          </w:r>
        </w:p>
        <w:p w14:paraId="028CF1CE">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_Toc4024 </w:instrText>
          </w:r>
          <w:r>
            <w:rPr>
              <w:rFonts w:hint="eastAsia" w:ascii="宋体" w:hAnsi="宋体" w:eastAsia="宋体" w:cs="宋体"/>
              <w:bCs/>
              <w:szCs w:val="36"/>
            </w:rPr>
            <w:fldChar w:fldCharType="separate"/>
          </w:r>
          <w:r>
            <w:rPr>
              <w:rFonts w:hint="eastAsia" w:ascii="宋体" w:hAnsi="宋体" w:eastAsia="宋体" w:cs="宋体"/>
              <w:snapToGrid w:val="0"/>
              <w:kern w:val="0"/>
              <w:szCs w:val="28"/>
            </w:rPr>
            <w:t>2.</w:t>
          </w:r>
          <w:r>
            <w:rPr>
              <w:rFonts w:hint="eastAsia" w:ascii="宋体" w:hAnsi="宋体" w:eastAsia="宋体" w:cs="宋体"/>
              <w:snapToGrid w:val="0"/>
              <w:kern w:val="0"/>
              <w:szCs w:val="28"/>
              <w:lang w:val="en-US" w:eastAsia="zh-CN"/>
            </w:rPr>
            <w:t>3</w:t>
          </w:r>
          <w:r>
            <w:rPr>
              <w:rFonts w:hint="eastAsia" w:ascii="宋体" w:hAnsi="宋体" w:eastAsia="宋体" w:cs="宋体"/>
              <w:snapToGrid w:val="0"/>
              <w:kern w:val="0"/>
              <w:szCs w:val="28"/>
            </w:rPr>
            <w:t>.</w:t>
          </w:r>
          <w:r>
            <w:rPr>
              <w:rFonts w:hint="eastAsia" w:ascii="宋体" w:hAnsi="宋体" w:eastAsia="宋体" w:cs="宋体"/>
              <w:snapToGrid w:val="0"/>
              <w:kern w:val="0"/>
              <w:szCs w:val="28"/>
              <w:lang w:val="en-US" w:eastAsia="zh-CN"/>
            </w:rPr>
            <w:t>4</w:t>
          </w:r>
          <w:r>
            <w:rPr>
              <w:rFonts w:hint="eastAsia" w:ascii="宋体" w:hAnsi="宋体" w:eastAsia="宋体" w:cs="宋体"/>
              <w:snapToGrid w:val="0"/>
              <w:kern w:val="0"/>
              <w:szCs w:val="28"/>
            </w:rPr>
            <w:t>厂外运输</w:t>
          </w:r>
          <w:r>
            <w:tab/>
          </w:r>
          <w:r>
            <w:fldChar w:fldCharType="begin"/>
          </w:r>
          <w:r>
            <w:instrText xml:space="preserve"> PAGEREF _Toc4024 \h </w:instrText>
          </w:r>
          <w:r>
            <w:fldChar w:fldCharType="separate"/>
          </w:r>
          <w:r>
            <w:t>- 18 -</w:t>
          </w:r>
          <w:r>
            <w:fldChar w:fldCharType="end"/>
          </w:r>
          <w:r>
            <w:rPr>
              <w:rFonts w:hint="eastAsia" w:ascii="宋体" w:hAnsi="宋体" w:eastAsia="宋体" w:cs="宋体"/>
              <w:bCs/>
              <w:color w:val="auto"/>
              <w:szCs w:val="36"/>
            </w:rPr>
            <w:fldChar w:fldCharType="end"/>
          </w:r>
        </w:p>
        <w:p w14:paraId="3EC73F76">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_Toc9809 </w:instrText>
          </w:r>
          <w:r>
            <w:rPr>
              <w:rFonts w:hint="eastAsia" w:ascii="宋体" w:hAnsi="宋体" w:eastAsia="宋体" w:cs="宋体"/>
              <w:bCs/>
              <w:szCs w:val="36"/>
            </w:rPr>
            <w:fldChar w:fldCharType="separate"/>
          </w:r>
          <w:r>
            <w:rPr>
              <w:rFonts w:hint="eastAsia" w:ascii="宋体" w:hAnsi="宋体" w:eastAsia="宋体" w:cs="宋体"/>
              <w:kern w:val="0"/>
            </w:rPr>
            <w:t>2.4</w:t>
          </w:r>
          <w:r>
            <w:rPr>
              <w:rFonts w:hint="eastAsia" w:ascii="宋体" w:hAnsi="宋体" w:eastAsia="宋体" w:cs="宋体"/>
              <w:kern w:val="0"/>
              <w:lang w:val="en-US" w:eastAsia="zh-CN"/>
            </w:rPr>
            <w:t xml:space="preserve"> </w:t>
          </w:r>
          <w:r>
            <w:rPr>
              <w:rFonts w:hint="eastAsia" w:ascii="宋体" w:hAnsi="宋体" w:eastAsia="宋体" w:cs="宋体"/>
              <w:kern w:val="0"/>
            </w:rPr>
            <w:t>生产工艺</w:t>
          </w:r>
          <w:r>
            <w:tab/>
          </w:r>
          <w:r>
            <w:fldChar w:fldCharType="begin"/>
          </w:r>
          <w:r>
            <w:instrText xml:space="preserve"> PAGEREF _Toc9809 \h </w:instrText>
          </w:r>
          <w:r>
            <w:fldChar w:fldCharType="separate"/>
          </w:r>
          <w:r>
            <w:t>- 18 -</w:t>
          </w:r>
          <w:r>
            <w:fldChar w:fldCharType="end"/>
          </w:r>
          <w:r>
            <w:rPr>
              <w:rFonts w:hint="eastAsia" w:ascii="宋体" w:hAnsi="宋体" w:eastAsia="宋体" w:cs="宋体"/>
              <w:bCs/>
              <w:color w:val="auto"/>
              <w:szCs w:val="36"/>
            </w:rPr>
            <w:fldChar w:fldCharType="end"/>
          </w:r>
        </w:p>
        <w:p w14:paraId="41B83047">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_Toc17612 </w:instrText>
          </w:r>
          <w:r>
            <w:rPr>
              <w:rFonts w:hint="eastAsia" w:ascii="宋体" w:hAnsi="宋体" w:eastAsia="宋体" w:cs="宋体"/>
              <w:bCs/>
              <w:szCs w:val="36"/>
            </w:rPr>
            <w:fldChar w:fldCharType="separate"/>
          </w:r>
          <w:r>
            <w:rPr>
              <w:rFonts w:hint="eastAsia" w:ascii="宋体" w:hAnsi="宋体" w:eastAsia="宋体" w:cs="宋体"/>
              <w:snapToGrid w:val="0"/>
              <w:kern w:val="0"/>
              <w:szCs w:val="28"/>
            </w:rPr>
            <w:t>2.4.1</w:t>
          </w:r>
          <w:r>
            <w:rPr>
              <w:rFonts w:hint="eastAsia" w:ascii="宋体" w:hAnsi="宋体" w:eastAsia="宋体" w:cs="宋体"/>
              <w:snapToGrid w:val="0"/>
              <w:kern w:val="0"/>
              <w:szCs w:val="28"/>
              <w:lang w:val="en-US" w:eastAsia="zh-CN"/>
            </w:rPr>
            <w:t xml:space="preserve"> </w:t>
          </w:r>
          <w:r>
            <w:rPr>
              <w:rFonts w:hint="eastAsia" w:ascii="宋体" w:hAnsi="宋体" w:eastAsia="宋体" w:cs="宋体"/>
              <w:snapToGrid w:val="0"/>
              <w:kern w:val="0"/>
              <w:szCs w:val="28"/>
            </w:rPr>
            <w:t>产品</w:t>
          </w:r>
          <w:r>
            <w:tab/>
          </w:r>
          <w:r>
            <w:fldChar w:fldCharType="begin"/>
          </w:r>
          <w:r>
            <w:instrText xml:space="preserve"> PAGEREF _Toc17612 \h </w:instrText>
          </w:r>
          <w:r>
            <w:fldChar w:fldCharType="separate"/>
          </w:r>
          <w:r>
            <w:t>- 18 -</w:t>
          </w:r>
          <w:r>
            <w:fldChar w:fldCharType="end"/>
          </w:r>
          <w:r>
            <w:rPr>
              <w:rFonts w:hint="eastAsia" w:ascii="宋体" w:hAnsi="宋体" w:eastAsia="宋体" w:cs="宋体"/>
              <w:bCs/>
              <w:color w:val="auto"/>
              <w:szCs w:val="36"/>
            </w:rPr>
            <w:fldChar w:fldCharType="end"/>
          </w:r>
        </w:p>
        <w:p w14:paraId="01D62DD7">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_Toc18488 </w:instrText>
          </w:r>
          <w:r>
            <w:rPr>
              <w:rFonts w:hint="eastAsia" w:ascii="宋体" w:hAnsi="宋体" w:eastAsia="宋体" w:cs="宋体"/>
              <w:bCs/>
              <w:szCs w:val="36"/>
            </w:rPr>
            <w:fldChar w:fldCharType="separate"/>
          </w:r>
          <w:r>
            <w:rPr>
              <w:rFonts w:hint="eastAsia" w:ascii="宋体" w:hAnsi="宋体" w:eastAsia="宋体" w:cs="宋体"/>
              <w:snapToGrid w:val="0"/>
              <w:kern w:val="0"/>
              <w:szCs w:val="28"/>
            </w:rPr>
            <w:t>2.4.</w:t>
          </w:r>
          <w:r>
            <w:rPr>
              <w:rFonts w:hint="eastAsia" w:ascii="宋体" w:hAnsi="宋体" w:eastAsia="宋体" w:cs="宋体"/>
              <w:snapToGrid w:val="0"/>
              <w:kern w:val="0"/>
              <w:szCs w:val="28"/>
              <w:lang w:val="en-US" w:eastAsia="zh-CN"/>
            </w:rPr>
            <w:t xml:space="preserve">2 </w:t>
          </w:r>
          <w:r>
            <w:rPr>
              <w:rFonts w:hint="eastAsia" w:ascii="宋体" w:hAnsi="宋体" w:eastAsia="宋体" w:cs="宋体"/>
              <w:snapToGrid w:val="0"/>
              <w:kern w:val="0"/>
              <w:szCs w:val="28"/>
            </w:rPr>
            <w:t>生产工艺简述</w:t>
          </w:r>
          <w:r>
            <w:tab/>
          </w:r>
          <w:r>
            <w:fldChar w:fldCharType="begin"/>
          </w:r>
          <w:r>
            <w:instrText xml:space="preserve"> PAGEREF _Toc18488 \h </w:instrText>
          </w:r>
          <w:r>
            <w:fldChar w:fldCharType="separate"/>
          </w:r>
          <w:r>
            <w:t>- 18 -</w:t>
          </w:r>
          <w:r>
            <w:fldChar w:fldCharType="end"/>
          </w:r>
          <w:r>
            <w:rPr>
              <w:rFonts w:hint="eastAsia" w:ascii="宋体" w:hAnsi="宋体" w:eastAsia="宋体" w:cs="宋体"/>
              <w:bCs/>
              <w:color w:val="auto"/>
              <w:szCs w:val="36"/>
            </w:rPr>
            <w:fldChar w:fldCharType="end"/>
          </w:r>
        </w:p>
        <w:p w14:paraId="07238C34">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_Toc20552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2.4.3主要设备设施</w:t>
          </w:r>
          <w:r>
            <w:tab/>
          </w:r>
          <w:r>
            <w:fldChar w:fldCharType="begin"/>
          </w:r>
          <w:r>
            <w:instrText xml:space="preserve"> PAGEREF _Toc20552 \h </w:instrText>
          </w:r>
          <w:r>
            <w:fldChar w:fldCharType="separate"/>
          </w:r>
          <w:r>
            <w:t>- 21 -</w:t>
          </w:r>
          <w:r>
            <w:fldChar w:fldCharType="end"/>
          </w:r>
          <w:r>
            <w:rPr>
              <w:rFonts w:hint="eastAsia" w:ascii="宋体" w:hAnsi="宋体" w:eastAsia="宋体" w:cs="宋体"/>
              <w:bCs/>
              <w:color w:val="auto"/>
              <w:szCs w:val="36"/>
            </w:rPr>
            <w:fldChar w:fldCharType="end"/>
          </w:r>
        </w:p>
        <w:p w14:paraId="708AD887">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_Toc13390 </w:instrText>
          </w:r>
          <w:r>
            <w:rPr>
              <w:rFonts w:hint="eastAsia" w:ascii="宋体" w:hAnsi="宋体" w:eastAsia="宋体" w:cs="宋体"/>
              <w:bCs/>
              <w:szCs w:val="36"/>
            </w:rPr>
            <w:fldChar w:fldCharType="separate"/>
          </w:r>
          <w:r>
            <w:rPr>
              <w:rFonts w:hint="eastAsia" w:ascii="宋体" w:hAnsi="宋体" w:eastAsia="宋体" w:cs="宋体"/>
              <w:kern w:val="0"/>
              <w:lang w:val="en-US" w:eastAsia="zh-CN"/>
            </w:rPr>
            <w:t>2.5公用工程及辅助生产设施</w:t>
          </w:r>
          <w:r>
            <w:tab/>
          </w:r>
          <w:r>
            <w:fldChar w:fldCharType="begin"/>
          </w:r>
          <w:r>
            <w:instrText xml:space="preserve"> PAGEREF _Toc13390 \h </w:instrText>
          </w:r>
          <w:r>
            <w:fldChar w:fldCharType="separate"/>
          </w:r>
          <w:r>
            <w:t>- 22 -</w:t>
          </w:r>
          <w:r>
            <w:fldChar w:fldCharType="end"/>
          </w:r>
          <w:r>
            <w:rPr>
              <w:rFonts w:hint="eastAsia" w:ascii="宋体" w:hAnsi="宋体" w:eastAsia="宋体" w:cs="宋体"/>
              <w:bCs/>
              <w:color w:val="auto"/>
              <w:szCs w:val="36"/>
            </w:rPr>
            <w:fldChar w:fldCharType="end"/>
          </w:r>
        </w:p>
        <w:p w14:paraId="55B6592A">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_Toc14857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2.5.1 给排水</w:t>
          </w:r>
          <w:r>
            <w:tab/>
          </w:r>
          <w:r>
            <w:fldChar w:fldCharType="begin"/>
          </w:r>
          <w:r>
            <w:instrText xml:space="preserve"> PAGEREF _Toc14857 \h </w:instrText>
          </w:r>
          <w:r>
            <w:fldChar w:fldCharType="separate"/>
          </w:r>
          <w:r>
            <w:t>- 22 -</w:t>
          </w:r>
          <w:r>
            <w:fldChar w:fldCharType="end"/>
          </w:r>
          <w:r>
            <w:rPr>
              <w:rFonts w:hint="eastAsia" w:ascii="宋体" w:hAnsi="宋体" w:eastAsia="宋体" w:cs="宋体"/>
              <w:bCs/>
              <w:color w:val="auto"/>
              <w:szCs w:val="36"/>
            </w:rPr>
            <w:fldChar w:fldCharType="end"/>
          </w:r>
        </w:p>
        <w:p w14:paraId="20BAE3BD">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_Toc24612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2.5.2 供配电</w:t>
          </w:r>
          <w:r>
            <w:tab/>
          </w:r>
          <w:r>
            <w:fldChar w:fldCharType="begin"/>
          </w:r>
          <w:r>
            <w:instrText xml:space="preserve"> PAGEREF _Toc24612 \h </w:instrText>
          </w:r>
          <w:r>
            <w:fldChar w:fldCharType="separate"/>
          </w:r>
          <w:r>
            <w:t>- 22 -</w:t>
          </w:r>
          <w:r>
            <w:fldChar w:fldCharType="end"/>
          </w:r>
          <w:r>
            <w:rPr>
              <w:rFonts w:hint="eastAsia" w:ascii="宋体" w:hAnsi="宋体" w:eastAsia="宋体" w:cs="宋体"/>
              <w:bCs/>
              <w:color w:val="auto"/>
              <w:szCs w:val="36"/>
            </w:rPr>
            <w:fldChar w:fldCharType="end"/>
          </w:r>
        </w:p>
        <w:p w14:paraId="0768E8D7">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_Toc8666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2.5.3 防雷防静电</w:t>
          </w:r>
          <w:r>
            <w:tab/>
          </w:r>
          <w:r>
            <w:fldChar w:fldCharType="begin"/>
          </w:r>
          <w:r>
            <w:instrText xml:space="preserve"> PAGEREF _Toc8666 \h </w:instrText>
          </w:r>
          <w:r>
            <w:fldChar w:fldCharType="separate"/>
          </w:r>
          <w:r>
            <w:t>- 23 -</w:t>
          </w:r>
          <w:r>
            <w:fldChar w:fldCharType="end"/>
          </w:r>
          <w:r>
            <w:rPr>
              <w:rFonts w:hint="eastAsia" w:ascii="宋体" w:hAnsi="宋体" w:eastAsia="宋体" w:cs="宋体"/>
              <w:bCs/>
              <w:color w:val="auto"/>
              <w:szCs w:val="36"/>
            </w:rPr>
            <w:fldChar w:fldCharType="end"/>
          </w:r>
        </w:p>
        <w:p w14:paraId="5B4B936F">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_Toc29395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2.5.4 消防</w:t>
          </w:r>
          <w:r>
            <w:tab/>
          </w:r>
          <w:r>
            <w:fldChar w:fldCharType="begin"/>
          </w:r>
          <w:r>
            <w:instrText xml:space="preserve"> PAGEREF _Toc29395 \h </w:instrText>
          </w:r>
          <w:r>
            <w:fldChar w:fldCharType="separate"/>
          </w:r>
          <w:r>
            <w:t>- 23 -</w:t>
          </w:r>
          <w:r>
            <w:fldChar w:fldCharType="end"/>
          </w:r>
          <w:r>
            <w:rPr>
              <w:rFonts w:hint="eastAsia" w:ascii="宋体" w:hAnsi="宋体" w:eastAsia="宋体" w:cs="宋体"/>
              <w:bCs/>
              <w:color w:val="auto"/>
              <w:szCs w:val="36"/>
            </w:rPr>
            <w:fldChar w:fldCharType="end"/>
          </w:r>
        </w:p>
        <w:p w14:paraId="3D40B4CF">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_Toc26374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2.5.5供气情况</w:t>
          </w:r>
          <w:r>
            <w:tab/>
          </w:r>
          <w:r>
            <w:fldChar w:fldCharType="begin"/>
          </w:r>
          <w:r>
            <w:instrText xml:space="preserve"> PAGEREF _Toc26374 \h </w:instrText>
          </w:r>
          <w:r>
            <w:fldChar w:fldCharType="separate"/>
          </w:r>
          <w:r>
            <w:t>- 23 -</w:t>
          </w:r>
          <w:r>
            <w:fldChar w:fldCharType="end"/>
          </w:r>
          <w:r>
            <w:rPr>
              <w:rFonts w:hint="eastAsia" w:ascii="宋体" w:hAnsi="宋体" w:eastAsia="宋体" w:cs="宋体"/>
              <w:bCs/>
              <w:color w:val="auto"/>
              <w:szCs w:val="36"/>
            </w:rPr>
            <w:fldChar w:fldCharType="end"/>
          </w:r>
        </w:p>
        <w:p w14:paraId="3FA2FE49">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_Toc6343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2.5.6通风除尘</w:t>
          </w:r>
          <w:r>
            <w:tab/>
          </w:r>
          <w:r>
            <w:fldChar w:fldCharType="begin"/>
          </w:r>
          <w:r>
            <w:instrText xml:space="preserve"> PAGEREF _Toc6343 \h </w:instrText>
          </w:r>
          <w:r>
            <w:fldChar w:fldCharType="separate"/>
          </w:r>
          <w:r>
            <w:t>- 24 -</w:t>
          </w:r>
          <w:r>
            <w:fldChar w:fldCharType="end"/>
          </w:r>
          <w:r>
            <w:rPr>
              <w:rFonts w:hint="eastAsia" w:ascii="宋体" w:hAnsi="宋体" w:eastAsia="宋体" w:cs="宋体"/>
              <w:bCs/>
              <w:color w:val="auto"/>
              <w:szCs w:val="36"/>
            </w:rPr>
            <w:fldChar w:fldCharType="end"/>
          </w:r>
        </w:p>
        <w:p w14:paraId="28E87E61">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_Toc19818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2.5.7其他</w:t>
          </w:r>
          <w:r>
            <w:tab/>
          </w:r>
          <w:r>
            <w:fldChar w:fldCharType="begin"/>
          </w:r>
          <w:r>
            <w:instrText xml:space="preserve"> PAGEREF _Toc19818 \h </w:instrText>
          </w:r>
          <w:r>
            <w:fldChar w:fldCharType="separate"/>
          </w:r>
          <w:r>
            <w:t>- 24 -</w:t>
          </w:r>
          <w:r>
            <w:fldChar w:fldCharType="end"/>
          </w:r>
          <w:r>
            <w:rPr>
              <w:rFonts w:hint="eastAsia" w:ascii="宋体" w:hAnsi="宋体" w:eastAsia="宋体" w:cs="宋体"/>
              <w:bCs/>
              <w:color w:val="auto"/>
              <w:szCs w:val="36"/>
            </w:rPr>
            <w:fldChar w:fldCharType="end"/>
          </w:r>
        </w:p>
        <w:p w14:paraId="67D2F6D4">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_Toc13054 </w:instrText>
          </w:r>
          <w:r>
            <w:rPr>
              <w:rFonts w:hint="eastAsia" w:ascii="宋体" w:hAnsi="宋体" w:eastAsia="宋体" w:cs="宋体"/>
              <w:bCs/>
              <w:szCs w:val="36"/>
            </w:rPr>
            <w:fldChar w:fldCharType="separate"/>
          </w:r>
          <w:r>
            <w:rPr>
              <w:rFonts w:hint="eastAsia" w:ascii="宋体" w:hAnsi="宋体" w:eastAsia="宋体" w:cs="宋体"/>
              <w:kern w:val="0"/>
              <w:lang w:val="en-US" w:eastAsia="zh-CN"/>
            </w:rPr>
            <w:t>2.</w:t>
          </w:r>
          <w:r>
            <w:rPr>
              <w:rFonts w:hint="eastAsia" w:ascii="宋体" w:hAnsi="宋体" w:cs="宋体"/>
              <w:kern w:val="0"/>
              <w:lang w:val="en-US" w:eastAsia="zh-CN"/>
            </w:rPr>
            <w:t>6</w:t>
          </w:r>
          <w:r>
            <w:rPr>
              <w:rFonts w:hint="eastAsia" w:ascii="宋体" w:hAnsi="宋体" w:eastAsia="宋体" w:cs="宋体"/>
              <w:kern w:val="0"/>
              <w:lang w:val="en-US" w:eastAsia="zh-CN"/>
            </w:rPr>
            <w:t>安全管理现状</w:t>
          </w:r>
          <w:r>
            <w:tab/>
          </w:r>
          <w:r>
            <w:fldChar w:fldCharType="begin"/>
          </w:r>
          <w:r>
            <w:instrText xml:space="preserve"> PAGEREF _Toc13054 \h </w:instrText>
          </w:r>
          <w:r>
            <w:fldChar w:fldCharType="separate"/>
          </w:r>
          <w:r>
            <w:t>- 24 -</w:t>
          </w:r>
          <w:r>
            <w:fldChar w:fldCharType="end"/>
          </w:r>
          <w:r>
            <w:rPr>
              <w:rFonts w:hint="eastAsia" w:ascii="宋体" w:hAnsi="宋体" w:eastAsia="宋体" w:cs="宋体"/>
              <w:bCs/>
              <w:color w:val="auto"/>
              <w:szCs w:val="36"/>
            </w:rPr>
            <w:fldChar w:fldCharType="end"/>
          </w:r>
        </w:p>
        <w:p w14:paraId="4CAADA44">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_Toc5179 </w:instrText>
          </w:r>
          <w:r>
            <w:rPr>
              <w:rFonts w:hint="eastAsia" w:ascii="宋体" w:hAnsi="宋体" w:eastAsia="宋体" w:cs="宋体"/>
              <w:bCs/>
              <w:szCs w:val="36"/>
            </w:rPr>
            <w:fldChar w:fldCharType="separate"/>
          </w:r>
          <w:r>
            <w:rPr>
              <w:rFonts w:hint="default" w:ascii="宋体" w:hAnsi="宋体" w:eastAsia="宋体" w:cs="宋体"/>
              <w:snapToGrid w:val="0"/>
              <w:kern w:val="0"/>
              <w:szCs w:val="28"/>
              <w:lang w:val="en-US" w:eastAsia="zh-CN"/>
            </w:rPr>
            <w:t>2.</w:t>
          </w:r>
          <w:r>
            <w:rPr>
              <w:rFonts w:hint="eastAsia" w:hAnsi="宋体" w:cs="宋体"/>
              <w:snapToGrid w:val="0"/>
              <w:kern w:val="0"/>
              <w:szCs w:val="28"/>
              <w:lang w:val="en-US" w:eastAsia="zh-CN"/>
            </w:rPr>
            <w:t>6</w:t>
          </w:r>
          <w:r>
            <w:rPr>
              <w:rFonts w:hint="default" w:ascii="宋体" w:hAnsi="宋体" w:eastAsia="宋体" w:cs="宋体"/>
              <w:snapToGrid w:val="0"/>
              <w:kern w:val="0"/>
              <w:szCs w:val="28"/>
              <w:lang w:val="en-US" w:eastAsia="zh-CN"/>
            </w:rPr>
            <w:t>.1</w:t>
          </w:r>
          <w:r>
            <w:rPr>
              <w:rFonts w:hint="eastAsia" w:ascii="宋体" w:hAnsi="宋体" w:eastAsia="宋体" w:cs="宋体"/>
              <w:snapToGrid w:val="0"/>
              <w:kern w:val="0"/>
              <w:szCs w:val="28"/>
              <w:lang w:val="en-US" w:eastAsia="zh-CN"/>
            </w:rPr>
            <w:t>劳动定员及作业制度</w:t>
          </w:r>
          <w:r>
            <w:tab/>
          </w:r>
          <w:r>
            <w:fldChar w:fldCharType="begin"/>
          </w:r>
          <w:r>
            <w:instrText xml:space="preserve"> PAGEREF _Toc5179 \h </w:instrText>
          </w:r>
          <w:r>
            <w:fldChar w:fldCharType="separate"/>
          </w:r>
          <w:r>
            <w:t>- 24 -</w:t>
          </w:r>
          <w:r>
            <w:fldChar w:fldCharType="end"/>
          </w:r>
          <w:r>
            <w:rPr>
              <w:rFonts w:hint="eastAsia" w:ascii="宋体" w:hAnsi="宋体" w:eastAsia="宋体" w:cs="宋体"/>
              <w:bCs/>
              <w:color w:val="auto"/>
              <w:szCs w:val="36"/>
            </w:rPr>
            <w:fldChar w:fldCharType="end"/>
          </w:r>
        </w:p>
        <w:p w14:paraId="181D8B71">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_Toc9539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2.</w:t>
          </w:r>
          <w:r>
            <w:rPr>
              <w:rFonts w:hint="eastAsia" w:hAnsi="宋体" w:cs="宋体"/>
              <w:snapToGrid w:val="0"/>
              <w:kern w:val="0"/>
              <w:szCs w:val="28"/>
              <w:lang w:val="en-US" w:eastAsia="zh-CN"/>
            </w:rPr>
            <w:t>6</w:t>
          </w:r>
          <w:r>
            <w:rPr>
              <w:rFonts w:hint="eastAsia" w:ascii="宋体" w:hAnsi="宋体" w:eastAsia="宋体" w:cs="宋体"/>
              <w:snapToGrid w:val="0"/>
              <w:kern w:val="0"/>
              <w:szCs w:val="28"/>
              <w:lang w:val="en-US" w:eastAsia="zh-CN"/>
            </w:rPr>
            <w:t>.2安全生产管理组织机构</w:t>
          </w:r>
          <w:r>
            <w:tab/>
          </w:r>
          <w:r>
            <w:fldChar w:fldCharType="begin"/>
          </w:r>
          <w:r>
            <w:instrText xml:space="preserve"> PAGEREF _Toc9539 \h </w:instrText>
          </w:r>
          <w:r>
            <w:fldChar w:fldCharType="separate"/>
          </w:r>
          <w:r>
            <w:t>- 24 -</w:t>
          </w:r>
          <w:r>
            <w:fldChar w:fldCharType="end"/>
          </w:r>
          <w:r>
            <w:rPr>
              <w:rFonts w:hint="eastAsia" w:ascii="宋体" w:hAnsi="宋体" w:eastAsia="宋体" w:cs="宋体"/>
              <w:bCs/>
              <w:color w:val="auto"/>
              <w:szCs w:val="36"/>
            </w:rPr>
            <w:fldChar w:fldCharType="end"/>
          </w:r>
        </w:p>
        <w:p w14:paraId="277CAF31">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_Toc21471 </w:instrText>
          </w:r>
          <w:r>
            <w:rPr>
              <w:rFonts w:hint="eastAsia" w:ascii="宋体" w:hAnsi="宋体" w:eastAsia="宋体" w:cs="宋体"/>
              <w:bCs/>
              <w:szCs w:val="36"/>
            </w:rPr>
            <w:fldChar w:fldCharType="separate"/>
          </w:r>
          <w:r>
            <w:rPr>
              <w:rFonts w:hint="eastAsia" w:ascii="宋体" w:hAnsi="宋体" w:eastAsia="宋体" w:cs="宋体"/>
              <w:bCs/>
              <w:kern w:val="0"/>
              <w:szCs w:val="28"/>
              <w:lang w:val="en-US" w:eastAsia="zh-CN" w:bidi="ar"/>
            </w:rPr>
            <w:t>2.</w:t>
          </w:r>
          <w:r>
            <w:rPr>
              <w:rFonts w:hint="eastAsia" w:hAnsi="宋体" w:cs="宋体"/>
              <w:bCs/>
              <w:kern w:val="0"/>
              <w:szCs w:val="28"/>
              <w:lang w:val="en-US" w:eastAsia="zh-CN" w:bidi="ar"/>
            </w:rPr>
            <w:t>6</w:t>
          </w:r>
          <w:r>
            <w:rPr>
              <w:rFonts w:hint="eastAsia" w:ascii="宋体" w:hAnsi="宋体" w:eastAsia="宋体" w:cs="宋体"/>
              <w:bCs/>
              <w:kern w:val="0"/>
              <w:szCs w:val="28"/>
              <w:lang w:val="en-US" w:eastAsia="zh-CN" w:bidi="ar"/>
            </w:rPr>
            <w:t>.</w:t>
          </w:r>
          <w:r>
            <w:rPr>
              <w:rFonts w:hint="eastAsia" w:hAnsi="宋体" w:cs="宋体"/>
              <w:bCs/>
              <w:kern w:val="0"/>
              <w:szCs w:val="28"/>
              <w:lang w:val="en-US" w:eastAsia="zh-CN" w:bidi="ar"/>
            </w:rPr>
            <w:t>3</w:t>
          </w:r>
          <w:r>
            <w:rPr>
              <w:rFonts w:hint="eastAsia" w:ascii="宋体" w:hAnsi="宋体" w:eastAsia="宋体" w:cs="宋体"/>
              <w:bCs/>
              <w:kern w:val="0"/>
              <w:szCs w:val="28"/>
              <w:lang w:val="en-US" w:eastAsia="zh-CN" w:bidi="ar"/>
            </w:rPr>
            <w:t>安全生产管理制度</w:t>
          </w:r>
          <w:r>
            <w:tab/>
          </w:r>
          <w:r>
            <w:fldChar w:fldCharType="begin"/>
          </w:r>
          <w:r>
            <w:instrText xml:space="preserve"> PAGEREF _Toc21471 \h </w:instrText>
          </w:r>
          <w:r>
            <w:fldChar w:fldCharType="separate"/>
          </w:r>
          <w:r>
            <w:t>- 25 -</w:t>
          </w:r>
          <w:r>
            <w:fldChar w:fldCharType="end"/>
          </w:r>
          <w:r>
            <w:rPr>
              <w:rFonts w:hint="eastAsia" w:ascii="宋体" w:hAnsi="宋体" w:eastAsia="宋体" w:cs="宋体"/>
              <w:bCs/>
              <w:color w:val="auto"/>
              <w:szCs w:val="36"/>
            </w:rPr>
            <w:fldChar w:fldCharType="end"/>
          </w:r>
        </w:p>
        <w:p w14:paraId="56A51044">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_Toc25379 </w:instrText>
          </w:r>
          <w:r>
            <w:rPr>
              <w:rFonts w:hint="eastAsia" w:ascii="宋体" w:hAnsi="宋体" w:eastAsia="宋体" w:cs="宋体"/>
              <w:bCs/>
              <w:szCs w:val="36"/>
            </w:rPr>
            <w:fldChar w:fldCharType="separate"/>
          </w:r>
          <w:r>
            <w:rPr>
              <w:rFonts w:hint="eastAsia" w:ascii="宋体" w:hAnsi="宋体" w:eastAsia="宋体" w:cs="宋体"/>
              <w:bCs/>
              <w:kern w:val="0"/>
              <w:szCs w:val="28"/>
              <w:lang w:val="en-US" w:eastAsia="zh-CN" w:bidi="ar"/>
            </w:rPr>
            <w:t>2.</w:t>
          </w:r>
          <w:r>
            <w:rPr>
              <w:rFonts w:hint="eastAsia" w:hAnsi="宋体" w:cs="宋体"/>
              <w:bCs/>
              <w:kern w:val="0"/>
              <w:szCs w:val="28"/>
              <w:lang w:val="en-US" w:eastAsia="zh-CN" w:bidi="ar"/>
            </w:rPr>
            <w:t>6</w:t>
          </w:r>
          <w:r>
            <w:rPr>
              <w:rFonts w:hint="eastAsia" w:ascii="宋体" w:hAnsi="宋体" w:eastAsia="宋体" w:cs="宋体"/>
              <w:bCs/>
              <w:kern w:val="0"/>
              <w:szCs w:val="28"/>
              <w:lang w:val="en-US" w:eastAsia="zh-CN" w:bidi="ar"/>
            </w:rPr>
            <w:t>.</w:t>
          </w:r>
          <w:r>
            <w:rPr>
              <w:rFonts w:hint="eastAsia" w:hAnsi="宋体" w:cs="宋体"/>
              <w:bCs/>
              <w:kern w:val="0"/>
              <w:szCs w:val="28"/>
              <w:lang w:val="en-US" w:eastAsia="zh-CN" w:bidi="ar"/>
            </w:rPr>
            <w:t>5</w:t>
          </w:r>
          <w:r>
            <w:rPr>
              <w:rFonts w:hint="eastAsia" w:ascii="宋体" w:hAnsi="宋体" w:eastAsia="宋体" w:cs="宋体"/>
              <w:bCs/>
              <w:kern w:val="0"/>
              <w:szCs w:val="28"/>
              <w:lang w:val="en-US" w:eastAsia="zh-CN" w:bidi="ar"/>
            </w:rPr>
            <w:t>作业人员培训情况</w:t>
          </w:r>
          <w:r>
            <w:tab/>
          </w:r>
          <w:r>
            <w:fldChar w:fldCharType="begin"/>
          </w:r>
          <w:r>
            <w:instrText xml:space="preserve"> PAGEREF _Toc25379 \h </w:instrText>
          </w:r>
          <w:r>
            <w:fldChar w:fldCharType="separate"/>
          </w:r>
          <w:r>
            <w:t>- 27 -</w:t>
          </w:r>
          <w:r>
            <w:fldChar w:fldCharType="end"/>
          </w:r>
          <w:r>
            <w:rPr>
              <w:rFonts w:hint="eastAsia" w:ascii="宋体" w:hAnsi="宋体" w:eastAsia="宋体" w:cs="宋体"/>
              <w:bCs/>
              <w:color w:val="auto"/>
              <w:szCs w:val="36"/>
            </w:rPr>
            <w:fldChar w:fldCharType="end"/>
          </w:r>
        </w:p>
        <w:p w14:paraId="7DDCC2E2">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_Toc25468 </w:instrText>
          </w:r>
          <w:r>
            <w:rPr>
              <w:rFonts w:hint="eastAsia" w:ascii="宋体" w:hAnsi="宋体" w:eastAsia="宋体" w:cs="宋体"/>
              <w:bCs/>
              <w:szCs w:val="36"/>
            </w:rPr>
            <w:fldChar w:fldCharType="separate"/>
          </w:r>
          <w:r>
            <w:rPr>
              <w:rFonts w:hint="eastAsia" w:ascii="宋体" w:hAnsi="宋体" w:eastAsia="宋体" w:cs="宋体"/>
              <w:bCs/>
              <w:kern w:val="0"/>
              <w:szCs w:val="28"/>
              <w:lang w:val="en-US" w:eastAsia="zh-CN" w:bidi="ar"/>
            </w:rPr>
            <w:t>2.</w:t>
          </w:r>
          <w:r>
            <w:rPr>
              <w:rFonts w:hint="eastAsia" w:hAnsi="宋体" w:cs="宋体"/>
              <w:bCs/>
              <w:kern w:val="0"/>
              <w:szCs w:val="28"/>
              <w:lang w:val="en-US" w:eastAsia="zh-CN" w:bidi="ar"/>
            </w:rPr>
            <w:t>6</w:t>
          </w:r>
          <w:r>
            <w:rPr>
              <w:rFonts w:hint="eastAsia" w:ascii="宋体" w:hAnsi="宋体" w:eastAsia="宋体" w:cs="宋体"/>
              <w:bCs/>
              <w:kern w:val="0"/>
              <w:szCs w:val="28"/>
              <w:lang w:val="en-US" w:eastAsia="zh-CN" w:bidi="ar"/>
            </w:rPr>
            <w:t>.</w:t>
          </w:r>
          <w:r>
            <w:rPr>
              <w:rFonts w:hint="eastAsia" w:hAnsi="宋体" w:cs="宋体"/>
              <w:bCs/>
              <w:kern w:val="0"/>
              <w:szCs w:val="28"/>
              <w:lang w:val="en-US" w:eastAsia="zh-CN" w:bidi="ar"/>
            </w:rPr>
            <w:t>6</w:t>
          </w:r>
          <w:r>
            <w:rPr>
              <w:rFonts w:hint="eastAsia" w:ascii="宋体" w:hAnsi="宋体" w:eastAsia="宋体" w:cs="宋体"/>
              <w:bCs/>
              <w:kern w:val="0"/>
              <w:szCs w:val="28"/>
              <w:lang w:val="en-US" w:eastAsia="zh-CN" w:bidi="ar"/>
            </w:rPr>
            <w:t>劳动防护用品配置</w:t>
          </w:r>
          <w:r>
            <w:tab/>
          </w:r>
          <w:r>
            <w:fldChar w:fldCharType="begin"/>
          </w:r>
          <w:r>
            <w:instrText xml:space="preserve"> PAGEREF _Toc25468 \h </w:instrText>
          </w:r>
          <w:r>
            <w:fldChar w:fldCharType="separate"/>
          </w:r>
          <w:r>
            <w:t>- 28 -</w:t>
          </w:r>
          <w:r>
            <w:fldChar w:fldCharType="end"/>
          </w:r>
          <w:r>
            <w:rPr>
              <w:rFonts w:hint="eastAsia" w:ascii="宋体" w:hAnsi="宋体" w:eastAsia="宋体" w:cs="宋体"/>
              <w:bCs/>
              <w:color w:val="auto"/>
              <w:szCs w:val="36"/>
            </w:rPr>
            <w:fldChar w:fldCharType="end"/>
          </w:r>
        </w:p>
        <w:p w14:paraId="07E57D00">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_Toc6580 </w:instrText>
          </w:r>
          <w:r>
            <w:rPr>
              <w:rFonts w:hint="eastAsia" w:ascii="宋体" w:hAnsi="宋体" w:eastAsia="宋体" w:cs="宋体"/>
              <w:bCs/>
              <w:szCs w:val="36"/>
            </w:rPr>
            <w:fldChar w:fldCharType="separate"/>
          </w:r>
          <w:r>
            <w:rPr>
              <w:rFonts w:hint="eastAsia" w:ascii="宋体" w:hAnsi="宋体" w:eastAsia="宋体" w:cs="宋体"/>
              <w:bCs/>
              <w:kern w:val="0"/>
              <w:szCs w:val="28"/>
              <w:lang w:val="en-US" w:eastAsia="zh-CN" w:bidi="ar"/>
            </w:rPr>
            <w:t>2.</w:t>
          </w:r>
          <w:r>
            <w:rPr>
              <w:rFonts w:hint="eastAsia" w:hAnsi="宋体" w:cs="宋体"/>
              <w:bCs/>
              <w:kern w:val="0"/>
              <w:szCs w:val="28"/>
              <w:lang w:val="en-US" w:eastAsia="zh-CN" w:bidi="ar"/>
            </w:rPr>
            <w:t>6</w:t>
          </w:r>
          <w:r>
            <w:rPr>
              <w:rFonts w:hint="eastAsia" w:ascii="宋体" w:hAnsi="宋体" w:eastAsia="宋体" w:cs="宋体"/>
              <w:bCs/>
              <w:kern w:val="0"/>
              <w:szCs w:val="28"/>
              <w:lang w:val="en-US" w:eastAsia="zh-CN" w:bidi="ar"/>
            </w:rPr>
            <w:t>.</w:t>
          </w:r>
          <w:r>
            <w:rPr>
              <w:rFonts w:hint="eastAsia" w:hAnsi="宋体" w:cs="宋体"/>
              <w:bCs/>
              <w:kern w:val="0"/>
              <w:szCs w:val="28"/>
              <w:lang w:val="en-US" w:eastAsia="zh-CN" w:bidi="ar"/>
            </w:rPr>
            <w:t>7</w:t>
          </w:r>
          <w:r>
            <w:rPr>
              <w:rFonts w:hint="eastAsia" w:ascii="宋体" w:hAnsi="宋体" w:eastAsia="宋体" w:cs="宋体"/>
              <w:bCs/>
              <w:kern w:val="0"/>
              <w:szCs w:val="28"/>
              <w:lang w:val="en-US" w:eastAsia="zh-CN" w:bidi="ar"/>
            </w:rPr>
            <w:t>工伤保险购买情况</w:t>
          </w:r>
          <w:r>
            <w:tab/>
          </w:r>
          <w:r>
            <w:fldChar w:fldCharType="begin"/>
          </w:r>
          <w:r>
            <w:instrText xml:space="preserve"> PAGEREF _Toc6580 \h </w:instrText>
          </w:r>
          <w:r>
            <w:fldChar w:fldCharType="separate"/>
          </w:r>
          <w:r>
            <w:t>- 28 -</w:t>
          </w:r>
          <w:r>
            <w:fldChar w:fldCharType="end"/>
          </w:r>
          <w:r>
            <w:rPr>
              <w:rFonts w:hint="eastAsia" w:ascii="宋体" w:hAnsi="宋体" w:eastAsia="宋体" w:cs="宋体"/>
              <w:bCs/>
              <w:color w:val="auto"/>
              <w:szCs w:val="36"/>
            </w:rPr>
            <w:fldChar w:fldCharType="end"/>
          </w:r>
        </w:p>
        <w:p w14:paraId="6C85193D">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_Toc19509 </w:instrText>
          </w:r>
          <w:r>
            <w:rPr>
              <w:rFonts w:hint="eastAsia" w:ascii="宋体" w:hAnsi="宋体" w:eastAsia="宋体" w:cs="宋体"/>
              <w:bCs/>
              <w:szCs w:val="36"/>
            </w:rPr>
            <w:fldChar w:fldCharType="separate"/>
          </w:r>
          <w:r>
            <w:rPr>
              <w:rFonts w:hint="eastAsia" w:ascii="宋体" w:hAnsi="宋体" w:eastAsia="宋体" w:cs="宋体"/>
              <w:bCs/>
              <w:kern w:val="0"/>
              <w:szCs w:val="28"/>
              <w:lang w:val="en-US" w:eastAsia="zh-CN" w:bidi="ar"/>
            </w:rPr>
            <w:t>2.</w:t>
          </w:r>
          <w:r>
            <w:rPr>
              <w:rFonts w:hint="eastAsia" w:hAnsi="宋体" w:cs="宋体"/>
              <w:bCs/>
              <w:kern w:val="0"/>
              <w:szCs w:val="28"/>
              <w:lang w:val="en-US" w:eastAsia="zh-CN" w:bidi="ar"/>
            </w:rPr>
            <w:t>6</w:t>
          </w:r>
          <w:r>
            <w:rPr>
              <w:rFonts w:hint="eastAsia" w:ascii="宋体" w:hAnsi="宋体" w:eastAsia="宋体" w:cs="宋体"/>
              <w:bCs/>
              <w:kern w:val="0"/>
              <w:szCs w:val="28"/>
              <w:lang w:val="en-US" w:eastAsia="zh-CN" w:bidi="ar"/>
            </w:rPr>
            <w:t>.</w:t>
          </w:r>
          <w:r>
            <w:rPr>
              <w:rFonts w:hint="eastAsia" w:hAnsi="宋体" w:cs="宋体"/>
              <w:bCs/>
              <w:kern w:val="0"/>
              <w:szCs w:val="28"/>
              <w:lang w:val="en-US" w:eastAsia="zh-CN" w:bidi="ar"/>
            </w:rPr>
            <w:t>8</w:t>
          </w:r>
          <w:r>
            <w:rPr>
              <w:rFonts w:hint="eastAsia" w:ascii="宋体" w:hAnsi="宋体" w:eastAsia="宋体" w:cs="宋体"/>
              <w:bCs/>
              <w:kern w:val="0"/>
              <w:szCs w:val="28"/>
              <w:lang w:val="en-US" w:eastAsia="zh-CN" w:bidi="ar"/>
            </w:rPr>
            <w:t>近期运行情况</w:t>
          </w:r>
          <w:r>
            <w:tab/>
          </w:r>
          <w:r>
            <w:fldChar w:fldCharType="begin"/>
          </w:r>
          <w:r>
            <w:instrText xml:space="preserve"> PAGEREF _Toc19509 \h </w:instrText>
          </w:r>
          <w:r>
            <w:fldChar w:fldCharType="separate"/>
          </w:r>
          <w:r>
            <w:t>- 28 -</w:t>
          </w:r>
          <w:r>
            <w:fldChar w:fldCharType="end"/>
          </w:r>
          <w:r>
            <w:rPr>
              <w:rFonts w:hint="eastAsia" w:ascii="宋体" w:hAnsi="宋体" w:eastAsia="宋体" w:cs="宋体"/>
              <w:bCs/>
              <w:color w:val="auto"/>
              <w:szCs w:val="36"/>
            </w:rPr>
            <w:fldChar w:fldCharType="end"/>
          </w:r>
        </w:p>
        <w:p w14:paraId="2BD4CA82">
          <w:pPr>
            <w:pStyle w:val="17"/>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_Toc1124 </w:instrText>
          </w:r>
          <w:r>
            <w:rPr>
              <w:rFonts w:hint="eastAsia" w:ascii="宋体" w:hAnsi="宋体" w:eastAsia="宋体" w:cs="宋体"/>
              <w:bCs/>
              <w:szCs w:val="36"/>
            </w:rPr>
            <w:fldChar w:fldCharType="separate"/>
          </w:r>
          <w:r>
            <w:rPr>
              <w:rFonts w:hint="eastAsia" w:ascii="宋体" w:hAnsi="宋体" w:eastAsia="宋体" w:cs="宋体"/>
            </w:rPr>
            <w:t>第3章  主要危险、有害因素辨识与分析</w:t>
          </w:r>
          <w:r>
            <w:tab/>
          </w:r>
          <w:r>
            <w:fldChar w:fldCharType="begin"/>
          </w:r>
          <w:r>
            <w:instrText xml:space="preserve"> PAGEREF _Toc1124 \h </w:instrText>
          </w:r>
          <w:r>
            <w:fldChar w:fldCharType="separate"/>
          </w:r>
          <w:r>
            <w:t>- 30 -</w:t>
          </w:r>
          <w:r>
            <w:fldChar w:fldCharType="end"/>
          </w:r>
          <w:r>
            <w:rPr>
              <w:rFonts w:hint="eastAsia" w:ascii="宋体" w:hAnsi="宋体" w:eastAsia="宋体" w:cs="宋体"/>
              <w:bCs/>
              <w:color w:val="auto"/>
              <w:szCs w:val="36"/>
            </w:rPr>
            <w:fldChar w:fldCharType="end"/>
          </w:r>
        </w:p>
        <w:p w14:paraId="6E37CEED">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_Toc16179 </w:instrText>
          </w:r>
          <w:r>
            <w:rPr>
              <w:rFonts w:hint="eastAsia" w:ascii="宋体" w:hAnsi="宋体" w:eastAsia="宋体" w:cs="宋体"/>
              <w:bCs/>
              <w:szCs w:val="36"/>
            </w:rPr>
            <w:fldChar w:fldCharType="separate"/>
          </w:r>
          <w:r>
            <w:rPr>
              <w:rFonts w:hint="eastAsia" w:ascii="宋体" w:hAnsi="宋体" w:eastAsia="宋体" w:cs="宋体"/>
              <w:kern w:val="0"/>
            </w:rPr>
            <w:t>3.1</w:t>
          </w:r>
          <w:r>
            <w:rPr>
              <w:rFonts w:hint="eastAsia" w:ascii="宋体" w:hAnsi="宋体" w:eastAsia="宋体" w:cs="宋体"/>
              <w:kern w:val="0"/>
              <w:lang w:val="en-US" w:eastAsia="zh-CN"/>
            </w:rPr>
            <w:t xml:space="preserve"> </w:t>
          </w:r>
          <w:r>
            <w:rPr>
              <w:rFonts w:hint="eastAsia" w:ascii="宋体" w:hAnsi="宋体" w:eastAsia="宋体" w:cs="宋体"/>
              <w:kern w:val="0"/>
            </w:rPr>
            <w:t>辨识与分析的目的</w:t>
          </w:r>
          <w:r>
            <w:tab/>
          </w:r>
          <w:r>
            <w:fldChar w:fldCharType="begin"/>
          </w:r>
          <w:r>
            <w:instrText xml:space="preserve"> PAGEREF _Toc16179 \h </w:instrText>
          </w:r>
          <w:r>
            <w:fldChar w:fldCharType="separate"/>
          </w:r>
          <w:r>
            <w:t>- 30 -</w:t>
          </w:r>
          <w:r>
            <w:fldChar w:fldCharType="end"/>
          </w:r>
          <w:r>
            <w:rPr>
              <w:rFonts w:hint="eastAsia" w:ascii="宋体" w:hAnsi="宋体" w:eastAsia="宋体" w:cs="宋体"/>
              <w:bCs/>
              <w:color w:val="auto"/>
              <w:szCs w:val="36"/>
            </w:rPr>
            <w:fldChar w:fldCharType="end"/>
          </w:r>
        </w:p>
        <w:p w14:paraId="3CD716BF">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_Toc11622 </w:instrText>
          </w:r>
          <w:r>
            <w:rPr>
              <w:rFonts w:hint="eastAsia" w:ascii="宋体" w:hAnsi="宋体" w:eastAsia="宋体" w:cs="宋体"/>
              <w:bCs/>
              <w:szCs w:val="36"/>
            </w:rPr>
            <w:fldChar w:fldCharType="separate"/>
          </w:r>
          <w:r>
            <w:rPr>
              <w:rFonts w:hint="eastAsia" w:ascii="宋体" w:hAnsi="宋体" w:eastAsia="宋体" w:cs="宋体"/>
              <w:kern w:val="0"/>
            </w:rPr>
            <w:t>3.</w:t>
          </w:r>
          <w:r>
            <w:rPr>
              <w:rFonts w:hint="eastAsia" w:ascii="宋体" w:hAnsi="宋体" w:eastAsia="宋体" w:cs="宋体"/>
              <w:kern w:val="0"/>
              <w:lang w:val="en-US" w:eastAsia="zh-CN"/>
            </w:rPr>
            <w:t xml:space="preserve">2 </w:t>
          </w:r>
          <w:r>
            <w:rPr>
              <w:rFonts w:hint="eastAsia" w:ascii="宋体" w:hAnsi="宋体" w:eastAsia="宋体" w:cs="宋体"/>
              <w:kern w:val="0"/>
            </w:rPr>
            <w:t>辨识与分析的依据</w:t>
          </w:r>
          <w:r>
            <w:tab/>
          </w:r>
          <w:r>
            <w:fldChar w:fldCharType="begin"/>
          </w:r>
          <w:r>
            <w:instrText xml:space="preserve"> PAGEREF _Toc11622 \h </w:instrText>
          </w:r>
          <w:r>
            <w:fldChar w:fldCharType="separate"/>
          </w:r>
          <w:r>
            <w:t>- 30 -</w:t>
          </w:r>
          <w:r>
            <w:fldChar w:fldCharType="end"/>
          </w:r>
          <w:r>
            <w:rPr>
              <w:rFonts w:hint="eastAsia" w:ascii="宋体" w:hAnsi="宋体" w:eastAsia="宋体" w:cs="宋体"/>
              <w:bCs/>
              <w:color w:val="auto"/>
              <w:szCs w:val="36"/>
            </w:rPr>
            <w:fldChar w:fldCharType="end"/>
          </w:r>
        </w:p>
        <w:p w14:paraId="23C9C95A">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_Toc7809 </w:instrText>
          </w:r>
          <w:r>
            <w:rPr>
              <w:rFonts w:hint="eastAsia" w:ascii="宋体" w:hAnsi="宋体" w:eastAsia="宋体" w:cs="宋体"/>
              <w:bCs/>
              <w:szCs w:val="36"/>
            </w:rPr>
            <w:fldChar w:fldCharType="separate"/>
          </w:r>
          <w:r>
            <w:rPr>
              <w:rFonts w:hint="eastAsia" w:ascii="宋体" w:hAnsi="宋体" w:eastAsia="宋体" w:cs="宋体"/>
              <w:kern w:val="0"/>
              <w:lang w:val="en-US" w:eastAsia="zh-CN"/>
            </w:rPr>
            <w:t>3.3</w:t>
          </w:r>
          <w:r>
            <w:rPr>
              <w:rFonts w:hint="eastAsia" w:ascii="宋体" w:hAnsi="宋体" w:eastAsia="宋体" w:cs="宋体"/>
              <w:kern w:val="0"/>
            </w:rPr>
            <w:t>危险、有害因素产生的原因</w:t>
          </w:r>
          <w:r>
            <w:tab/>
          </w:r>
          <w:r>
            <w:fldChar w:fldCharType="begin"/>
          </w:r>
          <w:r>
            <w:instrText xml:space="preserve"> PAGEREF _Toc7809 \h </w:instrText>
          </w:r>
          <w:r>
            <w:fldChar w:fldCharType="separate"/>
          </w:r>
          <w:r>
            <w:t>- 31 -</w:t>
          </w:r>
          <w:r>
            <w:fldChar w:fldCharType="end"/>
          </w:r>
          <w:r>
            <w:rPr>
              <w:rFonts w:hint="eastAsia" w:ascii="宋体" w:hAnsi="宋体" w:eastAsia="宋体" w:cs="宋体"/>
              <w:bCs/>
              <w:color w:val="auto"/>
              <w:szCs w:val="36"/>
            </w:rPr>
            <w:fldChar w:fldCharType="end"/>
          </w:r>
        </w:p>
        <w:p w14:paraId="11A54C2C">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_Toc20205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3.3.1</w:t>
          </w:r>
          <w:r>
            <w:rPr>
              <w:rFonts w:hint="eastAsia" w:ascii="宋体" w:hAnsi="宋体" w:eastAsia="宋体" w:cs="宋体"/>
              <w:snapToGrid w:val="0"/>
              <w:kern w:val="0"/>
              <w:szCs w:val="28"/>
              <w:lang w:val="zh-CN" w:eastAsia="zh-CN"/>
            </w:rPr>
            <w:t>运行失控与设备故障</w:t>
          </w:r>
          <w:r>
            <w:tab/>
          </w:r>
          <w:r>
            <w:fldChar w:fldCharType="begin"/>
          </w:r>
          <w:r>
            <w:instrText xml:space="preserve"> PAGEREF _Toc20205 \h </w:instrText>
          </w:r>
          <w:r>
            <w:fldChar w:fldCharType="separate"/>
          </w:r>
          <w:r>
            <w:t>- 31 -</w:t>
          </w:r>
          <w:r>
            <w:fldChar w:fldCharType="end"/>
          </w:r>
          <w:r>
            <w:rPr>
              <w:rFonts w:hint="eastAsia" w:ascii="宋体" w:hAnsi="宋体" w:eastAsia="宋体" w:cs="宋体"/>
              <w:bCs/>
              <w:color w:val="auto"/>
              <w:szCs w:val="36"/>
            </w:rPr>
            <w:fldChar w:fldCharType="end"/>
          </w:r>
        </w:p>
        <w:p w14:paraId="2E45F8E2">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_Toc27973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3.3.2人员失误</w:t>
          </w:r>
          <w:r>
            <w:tab/>
          </w:r>
          <w:r>
            <w:fldChar w:fldCharType="begin"/>
          </w:r>
          <w:r>
            <w:instrText xml:space="preserve"> PAGEREF _Toc27973 \h </w:instrText>
          </w:r>
          <w:r>
            <w:fldChar w:fldCharType="separate"/>
          </w:r>
          <w:r>
            <w:t>- 32 -</w:t>
          </w:r>
          <w:r>
            <w:fldChar w:fldCharType="end"/>
          </w:r>
          <w:r>
            <w:rPr>
              <w:rFonts w:hint="eastAsia" w:ascii="宋体" w:hAnsi="宋体" w:eastAsia="宋体" w:cs="宋体"/>
              <w:bCs/>
              <w:color w:val="auto"/>
              <w:szCs w:val="36"/>
            </w:rPr>
            <w:fldChar w:fldCharType="end"/>
          </w:r>
        </w:p>
        <w:p w14:paraId="25EB7864">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_Toc17498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3.3.3管理缺陷</w:t>
          </w:r>
          <w:r>
            <w:tab/>
          </w:r>
          <w:r>
            <w:fldChar w:fldCharType="begin"/>
          </w:r>
          <w:r>
            <w:instrText xml:space="preserve"> PAGEREF _Toc17498 \h </w:instrText>
          </w:r>
          <w:r>
            <w:fldChar w:fldCharType="separate"/>
          </w:r>
          <w:r>
            <w:t>- 32 -</w:t>
          </w:r>
          <w:r>
            <w:fldChar w:fldCharType="end"/>
          </w:r>
          <w:r>
            <w:rPr>
              <w:rFonts w:hint="eastAsia" w:ascii="宋体" w:hAnsi="宋体" w:eastAsia="宋体" w:cs="宋体"/>
              <w:bCs/>
              <w:color w:val="auto"/>
              <w:szCs w:val="36"/>
            </w:rPr>
            <w:fldChar w:fldCharType="end"/>
          </w:r>
        </w:p>
        <w:p w14:paraId="734BB77A">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_Toc9713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3.3.4环境因素</w:t>
          </w:r>
          <w:r>
            <w:tab/>
          </w:r>
          <w:r>
            <w:fldChar w:fldCharType="begin"/>
          </w:r>
          <w:r>
            <w:instrText xml:space="preserve"> PAGEREF _Toc9713 \h </w:instrText>
          </w:r>
          <w:r>
            <w:fldChar w:fldCharType="separate"/>
          </w:r>
          <w:r>
            <w:t>- 32 -</w:t>
          </w:r>
          <w:r>
            <w:fldChar w:fldCharType="end"/>
          </w:r>
          <w:r>
            <w:rPr>
              <w:rFonts w:hint="eastAsia" w:ascii="宋体" w:hAnsi="宋体" w:eastAsia="宋体" w:cs="宋体"/>
              <w:bCs/>
              <w:color w:val="auto"/>
              <w:szCs w:val="36"/>
            </w:rPr>
            <w:fldChar w:fldCharType="end"/>
          </w:r>
        </w:p>
        <w:p w14:paraId="31759CDA">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_Toc5400 </w:instrText>
          </w:r>
          <w:r>
            <w:rPr>
              <w:rFonts w:hint="eastAsia" w:ascii="宋体" w:hAnsi="宋体" w:eastAsia="宋体" w:cs="宋体"/>
              <w:bCs/>
              <w:szCs w:val="36"/>
            </w:rPr>
            <w:fldChar w:fldCharType="separate"/>
          </w:r>
          <w:r>
            <w:rPr>
              <w:rFonts w:hint="eastAsia" w:ascii="宋体" w:hAnsi="宋体" w:eastAsia="宋体" w:cs="宋体"/>
              <w:kern w:val="0"/>
              <w:lang w:val="en-US" w:eastAsia="zh-CN"/>
            </w:rPr>
            <w:t>3.4 主要危险、有害物质辨识与分析</w:t>
          </w:r>
          <w:r>
            <w:tab/>
          </w:r>
          <w:r>
            <w:fldChar w:fldCharType="begin"/>
          </w:r>
          <w:r>
            <w:instrText xml:space="preserve"> PAGEREF _Toc5400 \h </w:instrText>
          </w:r>
          <w:r>
            <w:fldChar w:fldCharType="separate"/>
          </w:r>
          <w:r>
            <w:t>- 32 -</w:t>
          </w:r>
          <w:r>
            <w:fldChar w:fldCharType="end"/>
          </w:r>
          <w:r>
            <w:rPr>
              <w:rFonts w:hint="eastAsia" w:ascii="宋体" w:hAnsi="宋体" w:eastAsia="宋体" w:cs="宋体"/>
              <w:bCs/>
              <w:color w:val="auto"/>
              <w:szCs w:val="36"/>
            </w:rPr>
            <w:fldChar w:fldCharType="end"/>
          </w:r>
        </w:p>
        <w:p w14:paraId="2AFEB750">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_Toc29332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3.4.1主要危险、有害物质辨识</w:t>
          </w:r>
          <w:r>
            <w:tab/>
          </w:r>
          <w:r>
            <w:fldChar w:fldCharType="begin"/>
          </w:r>
          <w:r>
            <w:instrText xml:space="preserve"> PAGEREF _Toc29332 \h </w:instrText>
          </w:r>
          <w:r>
            <w:fldChar w:fldCharType="separate"/>
          </w:r>
          <w:r>
            <w:t>- 32 -</w:t>
          </w:r>
          <w:r>
            <w:fldChar w:fldCharType="end"/>
          </w:r>
          <w:r>
            <w:rPr>
              <w:rFonts w:hint="eastAsia" w:ascii="宋体" w:hAnsi="宋体" w:eastAsia="宋体" w:cs="宋体"/>
              <w:bCs/>
              <w:color w:val="auto"/>
              <w:szCs w:val="36"/>
            </w:rPr>
            <w:fldChar w:fldCharType="end"/>
          </w:r>
        </w:p>
        <w:p w14:paraId="610C51A3">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_Toc25912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3.4.2危险化学品辨识</w:t>
          </w:r>
          <w:r>
            <w:tab/>
          </w:r>
          <w:r>
            <w:fldChar w:fldCharType="begin"/>
          </w:r>
          <w:r>
            <w:instrText xml:space="preserve"> PAGEREF _Toc25912 \h </w:instrText>
          </w:r>
          <w:r>
            <w:fldChar w:fldCharType="separate"/>
          </w:r>
          <w:r>
            <w:t>- 32 -</w:t>
          </w:r>
          <w:r>
            <w:fldChar w:fldCharType="end"/>
          </w:r>
          <w:r>
            <w:rPr>
              <w:rFonts w:hint="eastAsia" w:ascii="宋体" w:hAnsi="宋体" w:eastAsia="宋体" w:cs="宋体"/>
              <w:bCs/>
              <w:color w:val="auto"/>
              <w:szCs w:val="36"/>
            </w:rPr>
            <w:fldChar w:fldCharType="end"/>
          </w:r>
        </w:p>
        <w:p w14:paraId="437AF937">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_Toc2097 </w:instrText>
          </w:r>
          <w:r>
            <w:rPr>
              <w:rFonts w:hint="eastAsia" w:ascii="宋体" w:hAnsi="宋体" w:eastAsia="宋体" w:cs="宋体"/>
              <w:bCs/>
              <w:szCs w:val="36"/>
            </w:rPr>
            <w:fldChar w:fldCharType="separate"/>
          </w:r>
          <w:r>
            <w:rPr>
              <w:rFonts w:hint="default" w:ascii="宋体" w:hAnsi="宋体" w:eastAsia="宋体" w:cs="宋体"/>
              <w:snapToGrid w:val="0"/>
              <w:kern w:val="0"/>
              <w:szCs w:val="28"/>
              <w:lang w:val="en-US" w:eastAsia="zh-CN"/>
            </w:rPr>
            <w:t>3.4.</w:t>
          </w:r>
          <w:r>
            <w:rPr>
              <w:rFonts w:hint="eastAsia" w:ascii="宋体" w:hAnsi="宋体" w:eastAsia="宋体" w:cs="宋体"/>
              <w:snapToGrid w:val="0"/>
              <w:kern w:val="0"/>
              <w:szCs w:val="28"/>
              <w:lang w:val="en-US" w:eastAsia="zh-CN"/>
            </w:rPr>
            <w:t>3 危险物质理化特性</w:t>
          </w:r>
          <w:r>
            <w:tab/>
          </w:r>
          <w:r>
            <w:fldChar w:fldCharType="begin"/>
          </w:r>
          <w:r>
            <w:instrText xml:space="preserve"> PAGEREF _Toc2097 \h </w:instrText>
          </w:r>
          <w:r>
            <w:fldChar w:fldCharType="separate"/>
          </w:r>
          <w:r>
            <w:t>- 33 -</w:t>
          </w:r>
          <w:r>
            <w:fldChar w:fldCharType="end"/>
          </w:r>
          <w:r>
            <w:rPr>
              <w:rFonts w:hint="eastAsia" w:ascii="宋体" w:hAnsi="宋体" w:eastAsia="宋体" w:cs="宋体"/>
              <w:bCs/>
              <w:color w:val="auto"/>
              <w:szCs w:val="36"/>
            </w:rPr>
            <w:fldChar w:fldCharType="end"/>
          </w:r>
        </w:p>
        <w:p w14:paraId="28730231">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_Toc6666 </w:instrText>
          </w:r>
          <w:r>
            <w:rPr>
              <w:rFonts w:hint="eastAsia" w:ascii="宋体" w:hAnsi="宋体" w:eastAsia="宋体" w:cs="宋体"/>
              <w:bCs/>
              <w:szCs w:val="36"/>
            </w:rPr>
            <w:fldChar w:fldCharType="separate"/>
          </w:r>
          <w:r>
            <w:rPr>
              <w:rFonts w:hint="eastAsia" w:ascii="宋体" w:hAnsi="宋体" w:eastAsia="宋体" w:cs="宋体"/>
              <w:kern w:val="0"/>
              <w:lang w:val="en-US" w:eastAsia="zh-CN"/>
            </w:rPr>
            <w:t>3.5厂址及总平面布置主要危险、有害因素辨识与分析</w:t>
          </w:r>
          <w:r>
            <w:tab/>
          </w:r>
          <w:r>
            <w:fldChar w:fldCharType="begin"/>
          </w:r>
          <w:r>
            <w:instrText xml:space="preserve"> PAGEREF _Toc6666 \h </w:instrText>
          </w:r>
          <w:r>
            <w:fldChar w:fldCharType="separate"/>
          </w:r>
          <w:r>
            <w:t>- 34 -</w:t>
          </w:r>
          <w:r>
            <w:fldChar w:fldCharType="end"/>
          </w:r>
          <w:r>
            <w:rPr>
              <w:rFonts w:hint="eastAsia" w:ascii="宋体" w:hAnsi="宋体" w:eastAsia="宋体" w:cs="宋体"/>
              <w:bCs/>
              <w:color w:val="auto"/>
              <w:szCs w:val="36"/>
            </w:rPr>
            <w:fldChar w:fldCharType="end"/>
          </w:r>
        </w:p>
        <w:p w14:paraId="27F91943">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_Toc29154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3.5.1厂址危险性分析</w:t>
          </w:r>
          <w:r>
            <w:tab/>
          </w:r>
          <w:r>
            <w:fldChar w:fldCharType="begin"/>
          </w:r>
          <w:r>
            <w:instrText xml:space="preserve"> PAGEREF _Toc29154 \h </w:instrText>
          </w:r>
          <w:r>
            <w:fldChar w:fldCharType="separate"/>
          </w:r>
          <w:r>
            <w:t>- 34 -</w:t>
          </w:r>
          <w:r>
            <w:fldChar w:fldCharType="end"/>
          </w:r>
          <w:r>
            <w:rPr>
              <w:rFonts w:hint="eastAsia" w:ascii="宋体" w:hAnsi="宋体" w:eastAsia="宋体" w:cs="宋体"/>
              <w:bCs/>
              <w:color w:val="auto"/>
              <w:szCs w:val="36"/>
            </w:rPr>
            <w:fldChar w:fldCharType="end"/>
          </w:r>
        </w:p>
        <w:p w14:paraId="14441462">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_Toc2332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3.5.2总平面布置危险性分析</w:t>
          </w:r>
          <w:r>
            <w:tab/>
          </w:r>
          <w:r>
            <w:fldChar w:fldCharType="begin"/>
          </w:r>
          <w:r>
            <w:instrText xml:space="preserve"> PAGEREF _Toc2332 \h </w:instrText>
          </w:r>
          <w:r>
            <w:fldChar w:fldCharType="separate"/>
          </w:r>
          <w:r>
            <w:t>- 36 -</w:t>
          </w:r>
          <w:r>
            <w:fldChar w:fldCharType="end"/>
          </w:r>
          <w:r>
            <w:rPr>
              <w:rFonts w:hint="eastAsia" w:ascii="宋体" w:hAnsi="宋体" w:eastAsia="宋体" w:cs="宋体"/>
              <w:bCs/>
              <w:color w:val="auto"/>
              <w:szCs w:val="36"/>
            </w:rPr>
            <w:fldChar w:fldCharType="end"/>
          </w:r>
        </w:p>
        <w:p w14:paraId="3B19DC44">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_Toc21084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3.5.3公用工程和辅助设施的危险、有害因素辨识</w:t>
          </w:r>
          <w:r>
            <w:tab/>
          </w:r>
          <w:r>
            <w:fldChar w:fldCharType="begin"/>
          </w:r>
          <w:r>
            <w:instrText xml:space="preserve"> PAGEREF _Toc21084 \h </w:instrText>
          </w:r>
          <w:r>
            <w:fldChar w:fldCharType="separate"/>
          </w:r>
          <w:r>
            <w:t>- 36 -</w:t>
          </w:r>
          <w:r>
            <w:fldChar w:fldCharType="end"/>
          </w:r>
          <w:r>
            <w:rPr>
              <w:rFonts w:hint="eastAsia" w:ascii="宋体" w:hAnsi="宋体" w:eastAsia="宋体" w:cs="宋体"/>
              <w:bCs/>
              <w:color w:val="auto"/>
              <w:szCs w:val="36"/>
            </w:rPr>
            <w:fldChar w:fldCharType="end"/>
          </w:r>
        </w:p>
        <w:p w14:paraId="57BE177B">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_Toc18502 </w:instrText>
          </w:r>
          <w:r>
            <w:rPr>
              <w:rFonts w:hint="eastAsia" w:ascii="宋体" w:hAnsi="宋体" w:eastAsia="宋体" w:cs="宋体"/>
              <w:bCs/>
              <w:szCs w:val="36"/>
            </w:rPr>
            <w:fldChar w:fldCharType="separate"/>
          </w:r>
          <w:r>
            <w:rPr>
              <w:rFonts w:hint="eastAsia" w:ascii="宋体" w:hAnsi="宋体" w:eastAsia="宋体" w:cs="宋体"/>
              <w:kern w:val="0"/>
              <w:lang w:val="en-US" w:eastAsia="zh-CN"/>
            </w:rPr>
            <w:t>3.6主要危险、有害因素类别分析</w:t>
          </w:r>
          <w:r>
            <w:tab/>
          </w:r>
          <w:r>
            <w:fldChar w:fldCharType="begin"/>
          </w:r>
          <w:r>
            <w:instrText xml:space="preserve"> PAGEREF _Toc18502 \h </w:instrText>
          </w:r>
          <w:r>
            <w:fldChar w:fldCharType="separate"/>
          </w:r>
          <w:r>
            <w:t>- 40 -</w:t>
          </w:r>
          <w:r>
            <w:fldChar w:fldCharType="end"/>
          </w:r>
          <w:r>
            <w:rPr>
              <w:rFonts w:hint="eastAsia" w:ascii="宋体" w:hAnsi="宋体" w:eastAsia="宋体" w:cs="宋体"/>
              <w:bCs/>
              <w:color w:val="auto"/>
              <w:szCs w:val="36"/>
            </w:rPr>
            <w:fldChar w:fldCharType="end"/>
          </w:r>
        </w:p>
        <w:p w14:paraId="5EC344E4">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_Toc13882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3.6.1火灾危险性分析</w:t>
          </w:r>
          <w:r>
            <w:tab/>
          </w:r>
          <w:r>
            <w:fldChar w:fldCharType="begin"/>
          </w:r>
          <w:r>
            <w:instrText xml:space="preserve"> PAGEREF _Toc13882 \h </w:instrText>
          </w:r>
          <w:r>
            <w:fldChar w:fldCharType="separate"/>
          </w:r>
          <w:r>
            <w:t>- 40 -</w:t>
          </w:r>
          <w:r>
            <w:fldChar w:fldCharType="end"/>
          </w:r>
          <w:r>
            <w:rPr>
              <w:rFonts w:hint="eastAsia" w:ascii="宋体" w:hAnsi="宋体" w:eastAsia="宋体" w:cs="宋体"/>
              <w:bCs/>
              <w:color w:val="auto"/>
              <w:szCs w:val="36"/>
            </w:rPr>
            <w:fldChar w:fldCharType="end"/>
          </w:r>
        </w:p>
        <w:p w14:paraId="75CF9CAC">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_Toc28466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3.6.2容器爆炸危险性分析</w:t>
          </w:r>
          <w:r>
            <w:tab/>
          </w:r>
          <w:r>
            <w:fldChar w:fldCharType="begin"/>
          </w:r>
          <w:r>
            <w:instrText xml:space="preserve"> PAGEREF _Toc28466 \h </w:instrText>
          </w:r>
          <w:r>
            <w:fldChar w:fldCharType="separate"/>
          </w:r>
          <w:r>
            <w:t>- 41 -</w:t>
          </w:r>
          <w:r>
            <w:fldChar w:fldCharType="end"/>
          </w:r>
          <w:r>
            <w:rPr>
              <w:rFonts w:hint="eastAsia" w:ascii="宋体" w:hAnsi="宋体" w:eastAsia="宋体" w:cs="宋体"/>
              <w:bCs/>
              <w:color w:val="auto"/>
              <w:szCs w:val="36"/>
            </w:rPr>
            <w:fldChar w:fldCharType="end"/>
          </w:r>
        </w:p>
        <w:p w14:paraId="1BF22398">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_Toc9724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3.6.3机械伤害危险性分析</w:t>
          </w:r>
          <w:r>
            <w:tab/>
          </w:r>
          <w:r>
            <w:fldChar w:fldCharType="begin"/>
          </w:r>
          <w:r>
            <w:instrText xml:space="preserve"> PAGEREF _Toc9724 \h </w:instrText>
          </w:r>
          <w:r>
            <w:fldChar w:fldCharType="separate"/>
          </w:r>
          <w:r>
            <w:t>- 42 -</w:t>
          </w:r>
          <w:r>
            <w:fldChar w:fldCharType="end"/>
          </w:r>
          <w:r>
            <w:rPr>
              <w:rFonts w:hint="eastAsia" w:ascii="宋体" w:hAnsi="宋体" w:eastAsia="宋体" w:cs="宋体"/>
              <w:bCs/>
              <w:color w:val="auto"/>
              <w:szCs w:val="36"/>
            </w:rPr>
            <w:fldChar w:fldCharType="end"/>
          </w:r>
        </w:p>
        <w:p w14:paraId="172BC96C">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_Toc24059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3.6.4高处坠落危险性分析</w:t>
          </w:r>
          <w:r>
            <w:tab/>
          </w:r>
          <w:r>
            <w:fldChar w:fldCharType="begin"/>
          </w:r>
          <w:r>
            <w:instrText xml:space="preserve"> PAGEREF _Toc24059 \h </w:instrText>
          </w:r>
          <w:r>
            <w:fldChar w:fldCharType="separate"/>
          </w:r>
          <w:r>
            <w:t>- 42 -</w:t>
          </w:r>
          <w:r>
            <w:fldChar w:fldCharType="end"/>
          </w:r>
          <w:r>
            <w:rPr>
              <w:rFonts w:hint="eastAsia" w:ascii="宋体" w:hAnsi="宋体" w:eastAsia="宋体" w:cs="宋体"/>
              <w:bCs/>
              <w:color w:val="auto"/>
              <w:szCs w:val="36"/>
            </w:rPr>
            <w:fldChar w:fldCharType="end"/>
          </w:r>
        </w:p>
        <w:p w14:paraId="13250D56">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_Toc23707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3.6.5触电事故危险性素分析</w:t>
          </w:r>
          <w:r>
            <w:tab/>
          </w:r>
          <w:r>
            <w:fldChar w:fldCharType="begin"/>
          </w:r>
          <w:r>
            <w:instrText xml:space="preserve"> PAGEREF _Toc23707 \h </w:instrText>
          </w:r>
          <w:r>
            <w:fldChar w:fldCharType="separate"/>
          </w:r>
          <w:r>
            <w:t>- 43 -</w:t>
          </w:r>
          <w:r>
            <w:fldChar w:fldCharType="end"/>
          </w:r>
          <w:r>
            <w:rPr>
              <w:rFonts w:hint="eastAsia" w:ascii="宋体" w:hAnsi="宋体" w:eastAsia="宋体" w:cs="宋体"/>
              <w:bCs/>
              <w:color w:val="auto"/>
              <w:szCs w:val="36"/>
            </w:rPr>
            <w:fldChar w:fldCharType="end"/>
          </w:r>
        </w:p>
        <w:p w14:paraId="28013CD4">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_Toc31185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3.6.6物体打击危险性分析</w:t>
          </w:r>
          <w:r>
            <w:tab/>
          </w:r>
          <w:r>
            <w:fldChar w:fldCharType="begin"/>
          </w:r>
          <w:r>
            <w:instrText xml:space="preserve"> PAGEREF _Toc31185 \h </w:instrText>
          </w:r>
          <w:r>
            <w:fldChar w:fldCharType="separate"/>
          </w:r>
          <w:r>
            <w:t>- 44 -</w:t>
          </w:r>
          <w:r>
            <w:fldChar w:fldCharType="end"/>
          </w:r>
          <w:r>
            <w:rPr>
              <w:rFonts w:hint="eastAsia" w:ascii="宋体" w:hAnsi="宋体" w:eastAsia="宋体" w:cs="宋体"/>
              <w:bCs/>
              <w:color w:val="auto"/>
              <w:szCs w:val="36"/>
            </w:rPr>
            <w:fldChar w:fldCharType="end"/>
          </w:r>
        </w:p>
        <w:p w14:paraId="1304FB79">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_Toc28703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3.6.7车辆伤害危险性分析</w:t>
          </w:r>
          <w:r>
            <w:tab/>
          </w:r>
          <w:r>
            <w:fldChar w:fldCharType="begin"/>
          </w:r>
          <w:r>
            <w:instrText xml:space="preserve"> PAGEREF _Toc28703 \h </w:instrText>
          </w:r>
          <w:r>
            <w:fldChar w:fldCharType="separate"/>
          </w:r>
          <w:r>
            <w:t>- 44 -</w:t>
          </w:r>
          <w:r>
            <w:fldChar w:fldCharType="end"/>
          </w:r>
          <w:r>
            <w:rPr>
              <w:rFonts w:hint="eastAsia" w:ascii="宋体" w:hAnsi="宋体" w:eastAsia="宋体" w:cs="宋体"/>
              <w:bCs/>
              <w:color w:val="auto"/>
              <w:szCs w:val="36"/>
            </w:rPr>
            <w:fldChar w:fldCharType="end"/>
          </w:r>
        </w:p>
        <w:p w14:paraId="50F84477">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_Toc6094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3.6.8坍塌危险性分析</w:t>
          </w:r>
          <w:r>
            <w:tab/>
          </w:r>
          <w:r>
            <w:fldChar w:fldCharType="begin"/>
          </w:r>
          <w:r>
            <w:instrText xml:space="preserve"> PAGEREF _Toc6094 \h </w:instrText>
          </w:r>
          <w:r>
            <w:fldChar w:fldCharType="separate"/>
          </w:r>
          <w:r>
            <w:t>- 45 -</w:t>
          </w:r>
          <w:r>
            <w:fldChar w:fldCharType="end"/>
          </w:r>
          <w:r>
            <w:rPr>
              <w:rFonts w:hint="eastAsia" w:ascii="宋体" w:hAnsi="宋体" w:eastAsia="宋体" w:cs="宋体"/>
              <w:bCs/>
              <w:color w:val="auto"/>
              <w:szCs w:val="36"/>
            </w:rPr>
            <w:fldChar w:fldCharType="end"/>
          </w:r>
        </w:p>
        <w:p w14:paraId="4D806249">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_Toc25511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3.6.9 起重伤害危险性分析</w:t>
          </w:r>
          <w:r>
            <w:tab/>
          </w:r>
          <w:r>
            <w:fldChar w:fldCharType="begin"/>
          </w:r>
          <w:r>
            <w:instrText xml:space="preserve"> PAGEREF _Toc25511 \h </w:instrText>
          </w:r>
          <w:r>
            <w:fldChar w:fldCharType="separate"/>
          </w:r>
          <w:r>
            <w:t>- 45 -</w:t>
          </w:r>
          <w:r>
            <w:fldChar w:fldCharType="end"/>
          </w:r>
          <w:r>
            <w:rPr>
              <w:rFonts w:hint="eastAsia" w:ascii="宋体" w:hAnsi="宋体" w:eastAsia="宋体" w:cs="宋体"/>
              <w:bCs/>
              <w:color w:val="auto"/>
              <w:szCs w:val="36"/>
            </w:rPr>
            <w:fldChar w:fldCharType="end"/>
          </w:r>
        </w:p>
        <w:p w14:paraId="4A21385D">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_Toc20316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3.6.10静电、雷电危险性分析</w:t>
          </w:r>
          <w:r>
            <w:tab/>
          </w:r>
          <w:r>
            <w:fldChar w:fldCharType="begin"/>
          </w:r>
          <w:r>
            <w:instrText xml:space="preserve"> PAGEREF _Toc20316 \h </w:instrText>
          </w:r>
          <w:r>
            <w:fldChar w:fldCharType="separate"/>
          </w:r>
          <w:r>
            <w:t>- 47 -</w:t>
          </w:r>
          <w:r>
            <w:fldChar w:fldCharType="end"/>
          </w:r>
          <w:r>
            <w:rPr>
              <w:rFonts w:hint="eastAsia" w:ascii="宋体" w:hAnsi="宋体" w:eastAsia="宋体" w:cs="宋体"/>
              <w:bCs/>
              <w:color w:val="auto"/>
              <w:szCs w:val="36"/>
            </w:rPr>
            <w:fldChar w:fldCharType="end"/>
          </w:r>
        </w:p>
        <w:p w14:paraId="2071DF1E">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_Toc5806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3.6.11其他伤害危险性分析</w:t>
          </w:r>
          <w:r>
            <w:tab/>
          </w:r>
          <w:r>
            <w:fldChar w:fldCharType="begin"/>
          </w:r>
          <w:r>
            <w:instrText xml:space="preserve"> PAGEREF _Toc5806 \h </w:instrText>
          </w:r>
          <w:r>
            <w:fldChar w:fldCharType="separate"/>
          </w:r>
          <w:r>
            <w:t>- 48 -</w:t>
          </w:r>
          <w:r>
            <w:fldChar w:fldCharType="end"/>
          </w:r>
          <w:r>
            <w:rPr>
              <w:rFonts w:hint="eastAsia" w:ascii="宋体" w:hAnsi="宋体" w:eastAsia="宋体" w:cs="宋体"/>
              <w:bCs/>
              <w:color w:val="auto"/>
              <w:szCs w:val="36"/>
            </w:rPr>
            <w:fldChar w:fldCharType="end"/>
          </w:r>
        </w:p>
        <w:p w14:paraId="53DE363A">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_Toc30937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3.6.12 灼烫危险性分析</w:t>
          </w:r>
          <w:r>
            <w:tab/>
          </w:r>
          <w:r>
            <w:fldChar w:fldCharType="begin"/>
          </w:r>
          <w:r>
            <w:instrText xml:space="preserve"> PAGEREF _Toc30937 \h </w:instrText>
          </w:r>
          <w:r>
            <w:fldChar w:fldCharType="separate"/>
          </w:r>
          <w:r>
            <w:t>- 49 -</w:t>
          </w:r>
          <w:r>
            <w:fldChar w:fldCharType="end"/>
          </w:r>
          <w:r>
            <w:rPr>
              <w:rFonts w:hint="eastAsia" w:ascii="宋体" w:hAnsi="宋体" w:eastAsia="宋体" w:cs="宋体"/>
              <w:bCs/>
              <w:color w:val="auto"/>
              <w:szCs w:val="36"/>
            </w:rPr>
            <w:fldChar w:fldCharType="end"/>
          </w:r>
        </w:p>
        <w:p w14:paraId="6F9FC0D2">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_Toc25503 </w:instrText>
          </w:r>
          <w:r>
            <w:rPr>
              <w:rFonts w:hint="eastAsia" w:ascii="宋体" w:hAnsi="宋体" w:eastAsia="宋体" w:cs="宋体"/>
              <w:bCs/>
              <w:szCs w:val="36"/>
            </w:rPr>
            <w:fldChar w:fldCharType="separate"/>
          </w:r>
          <w:r>
            <w:rPr>
              <w:rFonts w:hint="eastAsia" w:ascii="宋体" w:hAnsi="宋体" w:eastAsia="宋体" w:cs="宋体"/>
              <w:kern w:val="0"/>
              <w:lang w:val="en-US" w:eastAsia="zh-CN"/>
            </w:rPr>
            <w:t>3.7特殊作业危险性分析</w:t>
          </w:r>
          <w:r>
            <w:tab/>
          </w:r>
          <w:r>
            <w:fldChar w:fldCharType="begin"/>
          </w:r>
          <w:r>
            <w:instrText xml:space="preserve"> PAGEREF _Toc25503 \h </w:instrText>
          </w:r>
          <w:r>
            <w:fldChar w:fldCharType="separate"/>
          </w:r>
          <w:r>
            <w:t>- 50 -</w:t>
          </w:r>
          <w:r>
            <w:fldChar w:fldCharType="end"/>
          </w:r>
          <w:r>
            <w:rPr>
              <w:rFonts w:hint="eastAsia" w:ascii="宋体" w:hAnsi="宋体" w:eastAsia="宋体" w:cs="宋体"/>
              <w:bCs/>
              <w:color w:val="auto"/>
              <w:szCs w:val="36"/>
            </w:rPr>
            <w:fldChar w:fldCharType="end"/>
          </w:r>
        </w:p>
        <w:p w14:paraId="11F4930A">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_Toc614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3.7.1临时用电作业危险、有害因素分析</w:t>
          </w:r>
          <w:r>
            <w:tab/>
          </w:r>
          <w:r>
            <w:fldChar w:fldCharType="begin"/>
          </w:r>
          <w:r>
            <w:instrText xml:space="preserve"> PAGEREF _Toc614 \h </w:instrText>
          </w:r>
          <w:r>
            <w:fldChar w:fldCharType="separate"/>
          </w:r>
          <w:r>
            <w:t>- 50 -</w:t>
          </w:r>
          <w:r>
            <w:fldChar w:fldCharType="end"/>
          </w:r>
          <w:r>
            <w:rPr>
              <w:rFonts w:hint="eastAsia" w:ascii="宋体" w:hAnsi="宋体" w:eastAsia="宋体" w:cs="宋体"/>
              <w:bCs/>
              <w:color w:val="auto"/>
              <w:szCs w:val="36"/>
            </w:rPr>
            <w:fldChar w:fldCharType="end"/>
          </w:r>
        </w:p>
        <w:p w14:paraId="2C3D1078">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_Toc4091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3.7.2动火作业危险、有害因素分析</w:t>
          </w:r>
          <w:r>
            <w:tab/>
          </w:r>
          <w:r>
            <w:fldChar w:fldCharType="begin"/>
          </w:r>
          <w:r>
            <w:instrText xml:space="preserve"> PAGEREF _Toc4091 \h </w:instrText>
          </w:r>
          <w:r>
            <w:fldChar w:fldCharType="separate"/>
          </w:r>
          <w:r>
            <w:t>- 50 -</w:t>
          </w:r>
          <w:r>
            <w:fldChar w:fldCharType="end"/>
          </w:r>
          <w:r>
            <w:rPr>
              <w:rFonts w:hint="eastAsia" w:ascii="宋体" w:hAnsi="宋体" w:eastAsia="宋体" w:cs="宋体"/>
              <w:bCs/>
              <w:color w:val="auto"/>
              <w:szCs w:val="36"/>
            </w:rPr>
            <w:fldChar w:fldCharType="end"/>
          </w:r>
        </w:p>
        <w:p w14:paraId="0C34516B">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_Toc655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3.7.3高处作业危险、有害因素分析</w:t>
          </w:r>
          <w:r>
            <w:tab/>
          </w:r>
          <w:r>
            <w:fldChar w:fldCharType="begin"/>
          </w:r>
          <w:r>
            <w:instrText xml:space="preserve"> PAGEREF _Toc655 \h </w:instrText>
          </w:r>
          <w:r>
            <w:fldChar w:fldCharType="separate"/>
          </w:r>
          <w:r>
            <w:t>- 51 -</w:t>
          </w:r>
          <w:r>
            <w:fldChar w:fldCharType="end"/>
          </w:r>
          <w:r>
            <w:rPr>
              <w:rFonts w:hint="eastAsia" w:ascii="宋体" w:hAnsi="宋体" w:eastAsia="宋体" w:cs="宋体"/>
              <w:bCs/>
              <w:color w:val="auto"/>
              <w:szCs w:val="36"/>
            </w:rPr>
            <w:fldChar w:fldCharType="end"/>
          </w:r>
        </w:p>
        <w:p w14:paraId="527890B2">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_Toc1305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3.7.4吊装作业危险、有害因素分析</w:t>
          </w:r>
          <w:r>
            <w:tab/>
          </w:r>
          <w:r>
            <w:fldChar w:fldCharType="begin"/>
          </w:r>
          <w:r>
            <w:instrText xml:space="preserve"> PAGEREF _Toc1305 \h </w:instrText>
          </w:r>
          <w:r>
            <w:fldChar w:fldCharType="separate"/>
          </w:r>
          <w:r>
            <w:t>- 51 -</w:t>
          </w:r>
          <w:r>
            <w:fldChar w:fldCharType="end"/>
          </w:r>
          <w:r>
            <w:rPr>
              <w:rFonts w:hint="eastAsia" w:ascii="宋体" w:hAnsi="宋体" w:eastAsia="宋体" w:cs="宋体"/>
              <w:bCs/>
              <w:color w:val="auto"/>
              <w:szCs w:val="36"/>
            </w:rPr>
            <w:fldChar w:fldCharType="end"/>
          </w:r>
        </w:p>
        <w:p w14:paraId="3AE1B94A">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_Toc6297 </w:instrText>
          </w:r>
          <w:r>
            <w:rPr>
              <w:rFonts w:hint="eastAsia" w:ascii="宋体" w:hAnsi="宋体" w:eastAsia="宋体" w:cs="宋体"/>
              <w:bCs/>
              <w:szCs w:val="36"/>
            </w:rPr>
            <w:fldChar w:fldCharType="separate"/>
          </w:r>
          <w:r>
            <w:rPr>
              <w:rFonts w:hint="eastAsia" w:ascii="宋体" w:hAnsi="宋体" w:eastAsia="宋体" w:cs="宋体"/>
              <w:kern w:val="0"/>
              <w:lang w:val="en-US" w:eastAsia="zh-CN"/>
            </w:rPr>
            <w:t>3.8设备检维修过程危险、有害因素分析</w:t>
          </w:r>
          <w:r>
            <w:tab/>
          </w:r>
          <w:r>
            <w:fldChar w:fldCharType="begin"/>
          </w:r>
          <w:r>
            <w:instrText xml:space="preserve"> PAGEREF _Toc6297 \h </w:instrText>
          </w:r>
          <w:r>
            <w:fldChar w:fldCharType="separate"/>
          </w:r>
          <w:r>
            <w:t>- 52 -</w:t>
          </w:r>
          <w:r>
            <w:fldChar w:fldCharType="end"/>
          </w:r>
          <w:r>
            <w:rPr>
              <w:rFonts w:hint="eastAsia" w:ascii="宋体" w:hAnsi="宋体" w:eastAsia="宋体" w:cs="宋体"/>
              <w:bCs/>
              <w:color w:val="auto"/>
              <w:szCs w:val="36"/>
            </w:rPr>
            <w:fldChar w:fldCharType="end"/>
          </w:r>
        </w:p>
        <w:p w14:paraId="2D937AC7">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_Toc31283 </w:instrText>
          </w:r>
          <w:r>
            <w:rPr>
              <w:rFonts w:hint="eastAsia" w:ascii="宋体" w:hAnsi="宋体" w:eastAsia="宋体" w:cs="宋体"/>
              <w:bCs/>
              <w:szCs w:val="36"/>
            </w:rPr>
            <w:fldChar w:fldCharType="separate"/>
          </w:r>
          <w:r>
            <w:rPr>
              <w:rFonts w:hint="eastAsia" w:ascii="宋体" w:hAnsi="宋体" w:eastAsia="宋体" w:cs="宋体"/>
              <w:kern w:val="0"/>
              <w:lang w:val="en-US" w:eastAsia="zh-CN"/>
            </w:rPr>
            <w:t>3.9安全管理危险性分析</w:t>
          </w:r>
          <w:r>
            <w:tab/>
          </w:r>
          <w:r>
            <w:fldChar w:fldCharType="begin"/>
          </w:r>
          <w:r>
            <w:instrText xml:space="preserve"> PAGEREF _Toc31283 \h </w:instrText>
          </w:r>
          <w:r>
            <w:fldChar w:fldCharType="separate"/>
          </w:r>
          <w:r>
            <w:t>- 53 -</w:t>
          </w:r>
          <w:r>
            <w:fldChar w:fldCharType="end"/>
          </w:r>
          <w:r>
            <w:rPr>
              <w:rFonts w:hint="eastAsia" w:ascii="宋体" w:hAnsi="宋体" w:eastAsia="宋体" w:cs="宋体"/>
              <w:bCs/>
              <w:color w:val="auto"/>
              <w:szCs w:val="36"/>
            </w:rPr>
            <w:fldChar w:fldCharType="end"/>
          </w:r>
        </w:p>
        <w:p w14:paraId="183E73E9">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_Toc30918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3.9.1安全管理组织体系方面危险性分析</w:t>
          </w:r>
          <w:r>
            <w:tab/>
          </w:r>
          <w:r>
            <w:fldChar w:fldCharType="begin"/>
          </w:r>
          <w:r>
            <w:instrText xml:space="preserve"> PAGEREF _Toc30918 \h </w:instrText>
          </w:r>
          <w:r>
            <w:fldChar w:fldCharType="separate"/>
          </w:r>
          <w:r>
            <w:t>- 53 -</w:t>
          </w:r>
          <w:r>
            <w:fldChar w:fldCharType="end"/>
          </w:r>
          <w:r>
            <w:rPr>
              <w:rFonts w:hint="eastAsia" w:ascii="宋体" w:hAnsi="宋体" w:eastAsia="宋体" w:cs="宋体"/>
              <w:bCs/>
              <w:color w:val="auto"/>
              <w:szCs w:val="36"/>
            </w:rPr>
            <w:fldChar w:fldCharType="end"/>
          </w:r>
        </w:p>
        <w:p w14:paraId="69522CF2">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_Toc27608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3.9.2安全管理制度方面危险性分析</w:t>
          </w:r>
          <w:r>
            <w:tab/>
          </w:r>
          <w:r>
            <w:fldChar w:fldCharType="begin"/>
          </w:r>
          <w:r>
            <w:instrText xml:space="preserve"> PAGEREF _Toc27608 \h </w:instrText>
          </w:r>
          <w:r>
            <w:fldChar w:fldCharType="separate"/>
          </w:r>
          <w:r>
            <w:t>- 53 -</w:t>
          </w:r>
          <w:r>
            <w:fldChar w:fldCharType="end"/>
          </w:r>
          <w:r>
            <w:rPr>
              <w:rFonts w:hint="eastAsia" w:ascii="宋体" w:hAnsi="宋体" w:eastAsia="宋体" w:cs="宋体"/>
              <w:bCs/>
              <w:color w:val="auto"/>
              <w:szCs w:val="36"/>
            </w:rPr>
            <w:fldChar w:fldCharType="end"/>
          </w:r>
        </w:p>
        <w:p w14:paraId="3470230B">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_Toc12976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3.9.3事故应急方面危险性分析</w:t>
          </w:r>
          <w:r>
            <w:tab/>
          </w:r>
          <w:r>
            <w:fldChar w:fldCharType="begin"/>
          </w:r>
          <w:r>
            <w:instrText xml:space="preserve"> PAGEREF _Toc12976 \h </w:instrText>
          </w:r>
          <w:r>
            <w:fldChar w:fldCharType="separate"/>
          </w:r>
          <w:r>
            <w:t>- 54 -</w:t>
          </w:r>
          <w:r>
            <w:fldChar w:fldCharType="end"/>
          </w:r>
          <w:r>
            <w:rPr>
              <w:rFonts w:hint="eastAsia" w:ascii="宋体" w:hAnsi="宋体" w:eastAsia="宋体" w:cs="宋体"/>
              <w:bCs/>
              <w:color w:val="auto"/>
              <w:szCs w:val="36"/>
            </w:rPr>
            <w:fldChar w:fldCharType="end"/>
          </w:r>
        </w:p>
        <w:p w14:paraId="4BF8B401">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_Toc14729 </w:instrText>
          </w:r>
          <w:r>
            <w:rPr>
              <w:rFonts w:hint="eastAsia" w:ascii="宋体" w:hAnsi="宋体" w:eastAsia="宋体" w:cs="宋体"/>
              <w:bCs/>
              <w:szCs w:val="36"/>
            </w:rPr>
            <w:fldChar w:fldCharType="separate"/>
          </w:r>
          <w:r>
            <w:rPr>
              <w:rFonts w:hint="eastAsia" w:ascii="宋体" w:hAnsi="宋体" w:eastAsia="宋体" w:cs="宋体"/>
              <w:kern w:val="0"/>
              <w:lang w:val="en-US" w:eastAsia="zh-CN"/>
            </w:rPr>
            <w:t>3.10重大危险源辨识</w:t>
          </w:r>
          <w:r>
            <w:tab/>
          </w:r>
          <w:r>
            <w:fldChar w:fldCharType="begin"/>
          </w:r>
          <w:r>
            <w:instrText xml:space="preserve"> PAGEREF _Toc14729 \h </w:instrText>
          </w:r>
          <w:r>
            <w:fldChar w:fldCharType="separate"/>
          </w:r>
          <w:r>
            <w:t>- 55 -</w:t>
          </w:r>
          <w:r>
            <w:fldChar w:fldCharType="end"/>
          </w:r>
          <w:r>
            <w:rPr>
              <w:rFonts w:hint="eastAsia" w:ascii="宋体" w:hAnsi="宋体" w:eastAsia="宋体" w:cs="宋体"/>
              <w:bCs/>
              <w:color w:val="auto"/>
              <w:szCs w:val="36"/>
            </w:rPr>
            <w:fldChar w:fldCharType="end"/>
          </w:r>
        </w:p>
        <w:p w14:paraId="50F9F3C5">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_Toc17187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3.10.1方法介绍</w:t>
          </w:r>
          <w:r>
            <w:tab/>
          </w:r>
          <w:r>
            <w:fldChar w:fldCharType="begin"/>
          </w:r>
          <w:r>
            <w:instrText xml:space="preserve"> PAGEREF _Toc17187 \h </w:instrText>
          </w:r>
          <w:r>
            <w:fldChar w:fldCharType="separate"/>
          </w:r>
          <w:r>
            <w:t>- 55 -</w:t>
          </w:r>
          <w:r>
            <w:fldChar w:fldCharType="end"/>
          </w:r>
          <w:r>
            <w:rPr>
              <w:rFonts w:hint="eastAsia" w:ascii="宋体" w:hAnsi="宋体" w:eastAsia="宋体" w:cs="宋体"/>
              <w:bCs/>
              <w:color w:val="auto"/>
              <w:szCs w:val="36"/>
            </w:rPr>
            <w:fldChar w:fldCharType="end"/>
          </w:r>
        </w:p>
        <w:p w14:paraId="7CB6D6B6">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_Toc8208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3.10.2辨识过程及结果</w:t>
          </w:r>
          <w:r>
            <w:tab/>
          </w:r>
          <w:r>
            <w:fldChar w:fldCharType="begin"/>
          </w:r>
          <w:r>
            <w:instrText xml:space="preserve"> PAGEREF _Toc8208 \h </w:instrText>
          </w:r>
          <w:r>
            <w:fldChar w:fldCharType="separate"/>
          </w:r>
          <w:r>
            <w:t>- 56 -</w:t>
          </w:r>
          <w:r>
            <w:fldChar w:fldCharType="end"/>
          </w:r>
          <w:r>
            <w:rPr>
              <w:rFonts w:hint="eastAsia" w:ascii="宋体" w:hAnsi="宋体" w:eastAsia="宋体" w:cs="宋体"/>
              <w:bCs/>
              <w:color w:val="auto"/>
              <w:szCs w:val="36"/>
            </w:rPr>
            <w:fldChar w:fldCharType="end"/>
          </w:r>
        </w:p>
        <w:p w14:paraId="58189875">
          <w:pPr>
            <w:pStyle w:val="17"/>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_Toc24458 </w:instrText>
          </w:r>
          <w:r>
            <w:rPr>
              <w:rFonts w:hint="eastAsia" w:ascii="宋体" w:hAnsi="宋体" w:eastAsia="宋体" w:cs="宋体"/>
              <w:bCs/>
              <w:szCs w:val="36"/>
            </w:rPr>
            <w:fldChar w:fldCharType="separate"/>
          </w:r>
          <w:r>
            <w:rPr>
              <w:rFonts w:hint="eastAsia" w:ascii="宋体" w:hAnsi="宋体" w:eastAsia="宋体" w:cs="宋体"/>
            </w:rPr>
            <w:t>第4章  评价单元划分及评价方法选择</w:t>
          </w:r>
          <w:r>
            <w:tab/>
          </w:r>
          <w:r>
            <w:fldChar w:fldCharType="begin"/>
          </w:r>
          <w:r>
            <w:instrText xml:space="preserve"> PAGEREF _Toc24458 \h </w:instrText>
          </w:r>
          <w:r>
            <w:fldChar w:fldCharType="separate"/>
          </w:r>
          <w:r>
            <w:t>- 57 -</w:t>
          </w:r>
          <w:r>
            <w:fldChar w:fldCharType="end"/>
          </w:r>
          <w:r>
            <w:rPr>
              <w:rFonts w:hint="eastAsia" w:ascii="宋体" w:hAnsi="宋体" w:eastAsia="宋体" w:cs="宋体"/>
              <w:bCs/>
              <w:color w:val="auto"/>
              <w:szCs w:val="36"/>
            </w:rPr>
            <w:fldChar w:fldCharType="end"/>
          </w:r>
        </w:p>
        <w:p w14:paraId="657A5B3F">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_Toc5129 </w:instrText>
          </w:r>
          <w:r>
            <w:rPr>
              <w:rFonts w:hint="eastAsia" w:ascii="宋体" w:hAnsi="宋体" w:eastAsia="宋体" w:cs="宋体"/>
              <w:bCs/>
              <w:szCs w:val="36"/>
            </w:rPr>
            <w:fldChar w:fldCharType="separate"/>
          </w:r>
          <w:r>
            <w:rPr>
              <w:rFonts w:hint="eastAsia" w:ascii="宋体" w:hAnsi="宋体" w:eastAsia="宋体" w:cs="宋体"/>
              <w:kern w:val="0"/>
            </w:rPr>
            <w:t>4.1</w:t>
          </w:r>
          <w:r>
            <w:rPr>
              <w:rFonts w:hint="eastAsia" w:ascii="宋体" w:hAnsi="宋体" w:eastAsia="宋体" w:cs="宋体"/>
              <w:kern w:val="0"/>
              <w:lang w:val="en-US" w:eastAsia="zh-CN"/>
            </w:rPr>
            <w:t xml:space="preserve"> </w:t>
          </w:r>
          <w:r>
            <w:rPr>
              <w:rFonts w:hint="eastAsia" w:ascii="宋体" w:hAnsi="宋体" w:eastAsia="宋体" w:cs="宋体"/>
              <w:kern w:val="0"/>
            </w:rPr>
            <w:t>安全评价单元划分</w:t>
          </w:r>
          <w:r>
            <w:tab/>
          </w:r>
          <w:r>
            <w:fldChar w:fldCharType="begin"/>
          </w:r>
          <w:r>
            <w:instrText xml:space="preserve"> PAGEREF _Toc5129 \h </w:instrText>
          </w:r>
          <w:r>
            <w:fldChar w:fldCharType="separate"/>
          </w:r>
          <w:r>
            <w:t>- 57 -</w:t>
          </w:r>
          <w:r>
            <w:fldChar w:fldCharType="end"/>
          </w:r>
          <w:r>
            <w:rPr>
              <w:rFonts w:hint="eastAsia" w:ascii="宋体" w:hAnsi="宋体" w:eastAsia="宋体" w:cs="宋体"/>
              <w:bCs/>
              <w:color w:val="auto"/>
              <w:szCs w:val="36"/>
            </w:rPr>
            <w:fldChar w:fldCharType="end"/>
          </w:r>
        </w:p>
        <w:p w14:paraId="1B522B96">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_Toc31931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4.1.1 评价单元划分原则</w:t>
          </w:r>
          <w:r>
            <w:tab/>
          </w:r>
          <w:r>
            <w:fldChar w:fldCharType="begin"/>
          </w:r>
          <w:r>
            <w:instrText xml:space="preserve"> PAGEREF _Toc31931 \h </w:instrText>
          </w:r>
          <w:r>
            <w:fldChar w:fldCharType="separate"/>
          </w:r>
          <w:r>
            <w:t>- 57 -</w:t>
          </w:r>
          <w:r>
            <w:fldChar w:fldCharType="end"/>
          </w:r>
          <w:r>
            <w:rPr>
              <w:rFonts w:hint="eastAsia" w:ascii="宋体" w:hAnsi="宋体" w:eastAsia="宋体" w:cs="宋体"/>
              <w:bCs/>
              <w:color w:val="auto"/>
              <w:szCs w:val="36"/>
            </w:rPr>
            <w:fldChar w:fldCharType="end"/>
          </w:r>
        </w:p>
        <w:p w14:paraId="5C19EC24">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_Toc21318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4.1.2评价单元划分方法</w:t>
          </w:r>
          <w:r>
            <w:tab/>
          </w:r>
          <w:r>
            <w:fldChar w:fldCharType="begin"/>
          </w:r>
          <w:r>
            <w:instrText xml:space="preserve"> PAGEREF _Toc21318 \h </w:instrText>
          </w:r>
          <w:r>
            <w:fldChar w:fldCharType="separate"/>
          </w:r>
          <w:r>
            <w:t>- 57 -</w:t>
          </w:r>
          <w:r>
            <w:fldChar w:fldCharType="end"/>
          </w:r>
          <w:r>
            <w:rPr>
              <w:rFonts w:hint="eastAsia" w:ascii="宋体" w:hAnsi="宋体" w:eastAsia="宋体" w:cs="宋体"/>
              <w:bCs/>
              <w:color w:val="auto"/>
              <w:szCs w:val="36"/>
            </w:rPr>
            <w:fldChar w:fldCharType="end"/>
          </w:r>
        </w:p>
        <w:p w14:paraId="004E6B4B">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_Toc29741 </w:instrText>
          </w:r>
          <w:r>
            <w:rPr>
              <w:rFonts w:hint="eastAsia" w:ascii="宋体" w:hAnsi="宋体" w:eastAsia="宋体" w:cs="宋体"/>
              <w:bCs/>
              <w:szCs w:val="36"/>
            </w:rPr>
            <w:fldChar w:fldCharType="separate"/>
          </w:r>
          <w:r>
            <w:rPr>
              <w:rFonts w:hint="eastAsia" w:ascii="宋体" w:hAnsi="宋体" w:eastAsia="宋体" w:cs="宋体"/>
              <w:kern w:val="0"/>
            </w:rPr>
            <w:t>4.2</w:t>
          </w:r>
          <w:r>
            <w:rPr>
              <w:rFonts w:hint="eastAsia" w:ascii="宋体" w:hAnsi="宋体" w:eastAsia="宋体" w:cs="宋体"/>
              <w:kern w:val="0"/>
              <w:lang w:val="en-US" w:eastAsia="zh-CN"/>
            </w:rPr>
            <w:t xml:space="preserve"> </w:t>
          </w:r>
          <w:r>
            <w:rPr>
              <w:rFonts w:hint="eastAsia" w:ascii="宋体" w:hAnsi="宋体" w:eastAsia="宋体" w:cs="宋体"/>
              <w:kern w:val="0"/>
            </w:rPr>
            <w:t>评价单元划分结果</w:t>
          </w:r>
          <w:r>
            <w:tab/>
          </w:r>
          <w:r>
            <w:fldChar w:fldCharType="begin"/>
          </w:r>
          <w:r>
            <w:instrText xml:space="preserve"> PAGEREF _Toc29741 \h </w:instrText>
          </w:r>
          <w:r>
            <w:fldChar w:fldCharType="separate"/>
          </w:r>
          <w:r>
            <w:t>- 58 -</w:t>
          </w:r>
          <w:r>
            <w:fldChar w:fldCharType="end"/>
          </w:r>
          <w:r>
            <w:rPr>
              <w:rFonts w:hint="eastAsia" w:ascii="宋体" w:hAnsi="宋体" w:eastAsia="宋体" w:cs="宋体"/>
              <w:bCs/>
              <w:color w:val="auto"/>
              <w:szCs w:val="36"/>
            </w:rPr>
            <w:fldChar w:fldCharType="end"/>
          </w:r>
        </w:p>
        <w:p w14:paraId="349193D7">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_Toc24722 </w:instrText>
          </w:r>
          <w:r>
            <w:rPr>
              <w:rFonts w:hint="eastAsia" w:ascii="宋体" w:hAnsi="宋体" w:eastAsia="宋体" w:cs="宋体"/>
              <w:bCs/>
              <w:szCs w:val="36"/>
            </w:rPr>
            <w:fldChar w:fldCharType="separate"/>
          </w:r>
          <w:r>
            <w:rPr>
              <w:rFonts w:hint="eastAsia" w:ascii="宋体" w:hAnsi="宋体" w:eastAsia="宋体" w:cs="宋体"/>
              <w:kern w:val="0"/>
            </w:rPr>
            <w:t>4.3</w:t>
          </w:r>
          <w:r>
            <w:rPr>
              <w:rFonts w:hint="eastAsia" w:ascii="宋体" w:hAnsi="宋体" w:eastAsia="宋体" w:cs="宋体"/>
              <w:kern w:val="0"/>
              <w:lang w:val="en-US" w:eastAsia="zh-CN"/>
            </w:rPr>
            <w:t xml:space="preserve"> </w:t>
          </w:r>
          <w:r>
            <w:rPr>
              <w:rFonts w:hint="eastAsia" w:ascii="宋体" w:hAnsi="宋体" w:eastAsia="宋体" w:cs="宋体"/>
              <w:kern w:val="0"/>
            </w:rPr>
            <w:t>评价方法的确定</w:t>
          </w:r>
          <w:r>
            <w:tab/>
          </w:r>
          <w:r>
            <w:fldChar w:fldCharType="begin"/>
          </w:r>
          <w:r>
            <w:instrText xml:space="preserve"> PAGEREF _Toc24722 \h </w:instrText>
          </w:r>
          <w:r>
            <w:fldChar w:fldCharType="separate"/>
          </w:r>
          <w:r>
            <w:t>- 58 -</w:t>
          </w:r>
          <w:r>
            <w:fldChar w:fldCharType="end"/>
          </w:r>
          <w:r>
            <w:rPr>
              <w:rFonts w:hint="eastAsia" w:ascii="宋体" w:hAnsi="宋体" w:eastAsia="宋体" w:cs="宋体"/>
              <w:bCs/>
              <w:color w:val="auto"/>
              <w:szCs w:val="36"/>
            </w:rPr>
            <w:fldChar w:fldCharType="end"/>
          </w:r>
        </w:p>
        <w:p w14:paraId="0AAE500C">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_Toc14343 </w:instrText>
          </w:r>
          <w:r>
            <w:rPr>
              <w:rFonts w:hint="eastAsia" w:ascii="宋体" w:hAnsi="宋体" w:eastAsia="宋体" w:cs="宋体"/>
              <w:bCs/>
              <w:szCs w:val="36"/>
            </w:rPr>
            <w:fldChar w:fldCharType="separate"/>
          </w:r>
          <w:r>
            <w:rPr>
              <w:rFonts w:hint="eastAsia" w:ascii="宋体" w:hAnsi="宋体" w:eastAsia="宋体" w:cs="宋体"/>
              <w:kern w:val="0"/>
            </w:rPr>
            <w:t>4.4</w:t>
          </w:r>
          <w:r>
            <w:rPr>
              <w:rFonts w:hint="eastAsia" w:ascii="宋体" w:hAnsi="宋体" w:eastAsia="宋体" w:cs="宋体"/>
              <w:kern w:val="0"/>
              <w:lang w:val="en-US" w:eastAsia="zh-CN"/>
            </w:rPr>
            <w:t xml:space="preserve"> </w:t>
          </w:r>
          <w:r>
            <w:rPr>
              <w:rFonts w:hint="eastAsia" w:ascii="宋体" w:hAnsi="宋体" w:eastAsia="宋体" w:cs="宋体"/>
              <w:kern w:val="0"/>
            </w:rPr>
            <w:t>评价方法介绍</w:t>
          </w:r>
          <w:r>
            <w:tab/>
          </w:r>
          <w:r>
            <w:fldChar w:fldCharType="begin"/>
          </w:r>
          <w:r>
            <w:instrText xml:space="preserve"> PAGEREF _Toc14343 \h </w:instrText>
          </w:r>
          <w:r>
            <w:fldChar w:fldCharType="separate"/>
          </w:r>
          <w:r>
            <w:t>- 59 -</w:t>
          </w:r>
          <w:r>
            <w:fldChar w:fldCharType="end"/>
          </w:r>
          <w:r>
            <w:rPr>
              <w:rFonts w:hint="eastAsia" w:ascii="宋体" w:hAnsi="宋体" w:eastAsia="宋体" w:cs="宋体"/>
              <w:bCs/>
              <w:color w:val="auto"/>
              <w:szCs w:val="36"/>
            </w:rPr>
            <w:fldChar w:fldCharType="end"/>
          </w:r>
        </w:p>
        <w:p w14:paraId="51E8B744">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_Toc32237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4.4.1安全检查表法（SCA）</w:t>
          </w:r>
          <w:r>
            <w:tab/>
          </w:r>
          <w:r>
            <w:fldChar w:fldCharType="begin"/>
          </w:r>
          <w:r>
            <w:instrText xml:space="preserve"> PAGEREF _Toc32237 \h </w:instrText>
          </w:r>
          <w:r>
            <w:fldChar w:fldCharType="separate"/>
          </w:r>
          <w:r>
            <w:t>- 59 -</w:t>
          </w:r>
          <w:r>
            <w:fldChar w:fldCharType="end"/>
          </w:r>
          <w:r>
            <w:rPr>
              <w:rFonts w:hint="eastAsia" w:ascii="宋体" w:hAnsi="宋体" w:eastAsia="宋体" w:cs="宋体"/>
              <w:bCs/>
              <w:color w:val="auto"/>
              <w:szCs w:val="36"/>
            </w:rPr>
            <w:fldChar w:fldCharType="end"/>
          </w:r>
        </w:p>
        <w:p w14:paraId="03F53DA2">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_Toc8404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4.4.2作业条件危险性评价法（LEC）</w:t>
          </w:r>
          <w:r>
            <w:tab/>
          </w:r>
          <w:r>
            <w:fldChar w:fldCharType="begin"/>
          </w:r>
          <w:r>
            <w:instrText xml:space="preserve"> PAGEREF _Toc8404 \h </w:instrText>
          </w:r>
          <w:r>
            <w:fldChar w:fldCharType="separate"/>
          </w:r>
          <w:r>
            <w:t>- 59 -</w:t>
          </w:r>
          <w:r>
            <w:fldChar w:fldCharType="end"/>
          </w:r>
          <w:r>
            <w:rPr>
              <w:rFonts w:hint="eastAsia" w:ascii="宋体" w:hAnsi="宋体" w:eastAsia="宋体" w:cs="宋体"/>
              <w:bCs/>
              <w:color w:val="auto"/>
              <w:szCs w:val="36"/>
            </w:rPr>
            <w:fldChar w:fldCharType="end"/>
          </w:r>
        </w:p>
        <w:p w14:paraId="077FA9A8">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_Toc3588 </w:instrText>
          </w:r>
          <w:r>
            <w:rPr>
              <w:rFonts w:hint="eastAsia" w:ascii="宋体" w:hAnsi="宋体" w:eastAsia="宋体" w:cs="宋体"/>
              <w:bCs/>
              <w:szCs w:val="36"/>
            </w:rPr>
            <w:fldChar w:fldCharType="separate"/>
          </w:r>
          <w:r>
            <w:rPr>
              <w:rFonts w:hint="eastAsia" w:ascii="宋体" w:hAnsi="宋体" w:eastAsia="宋体" w:cs="宋体"/>
              <w:kern w:val="0"/>
              <w:lang w:val="en-US" w:eastAsia="zh-CN"/>
            </w:rPr>
            <w:t>4.5</w:t>
          </w:r>
          <w:r>
            <w:rPr>
              <w:rFonts w:hint="eastAsia" w:ascii="宋体" w:hAnsi="宋体" w:eastAsia="宋体" w:cs="宋体"/>
              <w:kern w:val="0"/>
            </w:rPr>
            <w:t>评价方法选择理由</w:t>
          </w:r>
          <w:r>
            <w:tab/>
          </w:r>
          <w:r>
            <w:fldChar w:fldCharType="begin"/>
          </w:r>
          <w:r>
            <w:instrText xml:space="preserve"> PAGEREF _Toc3588 \h </w:instrText>
          </w:r>
          <w:r>
            <w:fldChar w:fldCharType="separate"/>
          </w:r>
          <w:r>
            <w:t>- 61 -</w:t>
          </w:r>
          <w:r>
            <w:fldChar w:fldCharType="end"/>
          </w:r>
          <w:r>
            <w:rPr>
              <w:rFonts w:hint="eastAsia" w:ascii="宋体" w:hAnsi="宋体" w:eastAsia="宋体" w:cs="宋体"/>
              <w:bCs/>
              <w:color w:val="auto"/>
              <w:szCs w:val="36"/>
            </w:rPr>
            <w:fldChar w:fldCharType="end"/>
          </w:r>
        </w:p>
        <w:p w14:paraId="67934554">
          <w:pPr>
            <w:pStyle w:val="17"/>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_Toc27063 </w:instrText>
          </w:r>
          <w:r>
            <w:rPr>
              <w:rFonts w:hint="eastAsia" w:ascii="宋体" w:hAnsi="宋体" w:eastAsia="宋体" w:cs="宋体"/>
              <w:bCs/>
              <w:szCs w:val="36"/>
            </w:rPr>
            <w:fldChar w:fldCharType="separate"/>
          </w:r>
          <w:r>
            <w:rPr>
              <w:rFonts w:hint="eastAsia" w:ascii="宋体" w:hAnsi="宋体" w:eastAsia="宋体" w:cs="宋体"/>
            </w:rPr>
            <w:t>第5章  定性、定量评价</w:t>
          </w:r>
          <w:r>
            <w:tab/>
          </w:r>
          <w:r>
            <w:fldChar w:fldCharType="begin"/>
          </w:r>
          <w:r>
            <w:instrText xml:space="preserve"> PAGEREF _Toc27063 \h </w:instrText>
          </w:r>
          <w:r>
            <w:fldChar w:fldCharType="separate"/>
          </w:r>
          <w:r>
            <w:t>- 62 -</w:t>
          </w:r>
          <w:r>
            <w:fldChar w:fldCharType="end"/>
          </w:r>
          <w:r>
            <w:rPr>
              <w:rFonts w:hint="eastAsia" w:ascii="宋体" w:hAnsi="宋体" w:eastAsia="宋体" w:cs="宋体"/>
              <w:bCs/>
              <w:color w:val="auto"/>
              <w:szCs w:val="36"/>
            </w:rPr>
            <w:fldChar w:fldCharType="end"/>
          </w:r>
        </w:p>
        <w:p w14:paraId="61A195C6">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_Toc15879 </w:instrText>
          </w:r>
          <w:r>
            <w:rPr>
              <w:rFonts w:hint="eastAsia" w:ascii="宋体" w:hAnsi="宋体" w:eastAsia="宋体" w:cs="宋体"/>
              <w:bCs/>
              <w:szCs w:val="36"/>
            </w:rPr>
            <w:fldChar w:fldCharType="separate"/>
          </w:r>
          <w:r>
            <w:rPr>
              <w:rFonts w:hint="eastAsia" w:ascii="宋体" w:hAnsi="宋体" w:eastAsia="宋体" w:cs="宋体"/>
              <w:kern w:val="0"/>
            </w:rPr>
            <w:t>5.1</w:t>
          </w:r>
          <w:r>
            <w:rPr>
              <w:rFonts w:hint="eastAsia" w:ascii="宋体" w:hAnsi="宋体" w:eastAsia="宋体" w:cs="宋体"/>
              <w:kern w:val="0"/>
              <w:lang w:val="en-US" w:eastAsia="zh-CN"/>
            </w:rPr>
            <w:t xml:space="preserve"> </w:t>
          </w:r>
          <w:r>
            <w:rPr>
              <w:rFonts w:hint="eastAsia" w:ascii="宋体" w:hAnsi="宋体" w:eastAsia="宋体" w:cs="宋体"/>
              <w:kern w:val="0"/>
            </w:rPr>
            <w:t>厂址及总平面布置评价单元</w:t>
          </w:r>
          <w:r>
            <w:tab/>
          </w:r>
          <w:r>
            <w:fldChar w:fldCharType="begin"/>
          </w:r>
          <w:r>
            <w:instrText xml:space="preserve"> PAGEREF _Toc15879 \h </w:instrText>
          </w:r>
          <w:r>
            <w:fldChar w:fldCharType="separate"/>
          </w:r>
          <w:r>
            <w:t>- 62 -</w:t>
          </w:r>
          <w:r>
            <w:fldChar w:fldCharType="end"/>
          </w:r>
          <w:r>
            <w:rPr>
              <w:rFonts w:hint="eastAsia" w:ascii="宋体" w:hAnsi="宋体" w:eastAsia="宋体" w:cs="宋体"/>
              <w:bCs/>
              <w:color w:val="auto"/>
              <w:szCs w:val="36"/>
            </w:rPr>
            <w:fldChar w:fldCharType="end"/>
          </w:r>
        </w:p>
        <w:p w14:paraId="0F062EE2">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_Toc22349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5.1.1厂址及总平面布置安全检查表</w:t>
          </w:r>
          <w:r>
            <w:tab/>
          </w:r>
          <w:r>
            <w:fldChar w:fldCharType="begin"/>
          </w:r>
          <w:r>
            <w:instrText xml:space="preserve"> PAGEREF _Toc22349 \h </w:instrText>
          </w:r>
          <w:r>
            <w:fldChar w:fldCharType="separate"/>
          </w:r>
          <w:r>
            <w:t>- 62 -</w:t>
          </w:r>
          <w:r>
            <w:fldChar w:fldCharType="end"/>
          </w:r>
          <w:r>
            <w:rPr>
              <w:rFonts w:hint="eastAsia" w:ascii="宋体" w:hAnsi="宋体" w:eastAsia="宋体" w:cs="宋体"/>
              <w:bCs/>
              <w:color w:val="auto"/>
              <w:szCs w:val="36"/>
            </w:rPr>
            <w:fldChar w:fldCharType="end"/>
          </w:r>
        </w:p>
        <w:p w14:paraId="3B0C0926">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_Toc9095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5.1.2 评价小结</w:t>
          </w:r>
          <w:r>
            <w:tab/>
          </w:r>
          <w:r>
            <w:fldChar w:fldCharType="begin"/>
          </w:r>
          <w:r>
            <w:instrText xml:space="preserve"> PAGEREF _Toc9095 \h </w:instrText>
          </w:r>
          <w:r>
            <w:fldChar w:fldCharType="separate"/>
          </w:r>
          <w:r>
            <w:t>- 69 -</w:t>
          </w:r>
          <w:r>
            <w:fldChar w:fldCharType="end"/>
          </w:r>
          <w:r>
            <w:rPr>
              <w:rFonts w:hint="eastAsia" w:ascii="宋体" w:hAnsi="宋体" w:eastAsia="宋体" w:cs="宋体"/>
              <w:bCs/>
              <w:color w:val="auto"/>
              <w:szCs w:val="36"/>
            </w:rPr>
            <w:fldChar w:fldCharType="end"/>
          </w:r>
        </w:p>
        <w:p w14:paraId="3200808C">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_Toc9895 </w:instrText>
          </w:r>
          <w:r>
            <w:rPr>
              <w:rFonts w:hint="eastAsia" w:ascii="宋体" w:hAnsi="宋体" w:eastAsia="宋体" w:cs="宋体"/>
              <w:bCs/>
              <w:szCs w:val="36"/>
            </w:rPr>
            <w:fldChar w:fldCharType="separate"/>
          </w:r>
          <w:r>
            <w:rPr>
              <w:rFonts w:hint="eastAsia" w:ascii="宋体" w:hAnsi="宋体" w:eastAsia="宋体" w:cs="宋体"/>
              <w:kern w:val="0"/>
            </w:rPr>
            <w:t>5.2</w:t>
          </w:r>
          <w:r>
            <w:rPr>
              <w:rFonts w:hint="eastAsia" w:ascii="宋体" w:hAnsi="宋体" w:eastAsia="宋体" w:cs="宋体"/>
              <w:kern w:val="0"/>
              <w:lang w:val="en-US" w:eastAsia="zh-CN"/>
            </w:rPr>
            <w:t xml:space="preserve"> 生产</w:t>
          </w:r>
          <w:r>
            <w:rPr>
              <w:rFonts w:hint="eastAsia" w:ascii="宋体" w:hAnsi="宋体" w:eastAsia="宋体" w:cs="宋体"/>
              <w:kern w:val="0"/>
            </w:rPr>
            <w:t>工艺</w:t>
          </w:r>
          <w:r>
            <w:rPr>
              <w:rFonts w:hint="eastAsia" w:ascii="宋体" w:hAnsi="宋体" w:eastAsia="宋体" w:cs="宋体"/>
              <w:kern w:val="0"/>
              <w:lang w:val="en-US" w:eastAsia="zh-CN"/>
            </w:rPr>
            <w:t>及设备设施</w:t>
          </w:r>
          <w:r>
            <w:rPr>
              <w:rFonts w:hint="eastAsia" w:ascii="宋体" w:hAnsi="宋体" w:eastAsia="宋体" w:cs="宋体"/>
              <w:kern w:val="0"/>
            </w:rPr>
            <w:t>评价单元</w:t>
          </w:r>
          <w:r>
            <w:tab/>
          </w:r>
          <w:r>
            <w:fldChar w:fldCharType="begin"/>
          </w:r>
          <w:r>
            <w:instrText xml:space="preserve"> PAGEREF _Toc9895 \h </w:instrText>
          </w:r>
          <w:r>
            <w:fldChar w:fldCharType="separate"/>
          </w:r>
          <w:r>
            <w:t>- 69 -</w:t>
          </w:r>
          <w:r>
            <w:fldChar w:fldCharType="end"/>
          </w:r>
          <w:r>
            <w:rPr>
              <w:rFonts w:hint="eastAsia" w:ascii="宋体" w:hAnsi="宋体" w:eastAsia="宋体" w:cs="宋体"/>
              <w:bCs/>
              <w:color w:val="auto"/>
              <w:szCs w:val="36"/>
            </w:rPr>
            <w:fldChar w:fldCharType="end"/>
          </w:r>
        </w:p>
        <w:p w14:paraId="64F89887">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_Toc5645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5.2.1 安全检查表</w:t>
          </w:r>
          <w:r>
            <w:tab/>
          </w:r>
          <w:r>
            <w:fldChar w:fldCharType="begin"/>
          </w:r>
          <w:r>
            <w:instrText xml:space="preserve"> PAGEREF _Toc5645 \h </w:instrText>
          </w:r>
          <w:r>
            <w:fldChar w:fldCharType="separate"/>
          </w:r>
          <w:r>
            <w:t>- 69 -</w:t>
          </w:r>
          <w:r>
            <w:fldChar w:fldCharType="end"/>
          </w:r>
          <w:r>
            <w:rPr>
              <w:rFonts w:hint="eastAsia" w:ascii="宋体" w:hAnsi="宋体" w:eastAsia="宋体" w:cs="宋体"/>
              <w:bCs/>
              <w:color w:val="auto"/>
              <w:szCs w:val="36"/>
            </w:rPr>
            <w:fldChar w:fldCharType="end"/>
          </w:r>
        </w:p>
        <w:p w14:paraId="44BCFC87">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_Toc3324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5.2.2作业条件危险性分析</w:t>
          </w:r>
          <w:r>
            <w:tab/>
          </w:r>
          <w:r>
            <w:fldChar w:fldCharType="begin"/>
          </w:r>
          <w:r>
            <w:instrText xml:space="preserve"> PAGEREF _Toc3324 \h </w:instrText>
          </w:r>
          <w:r>
            <w:fldChar w:fldCharType="separate"/>
          </w:r>
          <w:r>
            <w:t>- 75 -</w:t>
          </w:r>
          <w:r>
            <w:fldChar w:fldCharType="end"/>
          </w:r>
          <w:r>
            <w:rPr>
              <w:rFonts w:hint="eastAsia" w:ascii="宋体" w:hAnsi="宋体" w:eastAsia="宋体" w:cs="宋体"/>
              <w:bCs/>
              <w:color w:val="auto"/>
              <w:szCs w:val="36"/>
            </w:rPr>
            <w:fldChar w:fldCharType="end"/>
          </w:r>
        </w:p>
        <w:p w14:paraId="1770B55F">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_Toc2683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5.2.3单元小结</w:t>
          </w:r>
          <w:r>
            <w:tab/>
          </w:r>
          <w:r>
            <w:fldChar w:fldCharType="begin"/>
          </w:r>
          <w:r>
            <w:instrText xml:space="preserve"> PAGEREF _Toc2683 \h </w:instrText>
          </w:r>
          <w:r>
            <w:fldChar w:fldCharType="separate"/>
          </w:r>
          <w:r>
            <w:t>- 76 -</w:t>
          </w:r>
          <w:r>
            <w:fldChar w:fldCharType="end"/>
          </w:r>
          <w:r>
            <w:rPr>
              <w:rFonts w:hint="eastAsia" w:ascii="宋体" w:hAnsi="宋体" w:eastAsia="宋体" w:cs="宋体"/>
              <w:bCs/>
              <w:color w:val="auto"/>
              <w:szCs w:val="36"/>
            </w:rPr>
            <w:fldChar w:fldCharType="end"/>
          </w:r>
        </w:p>
        <w:p w14:paraId="2A31EB05">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_Toc5638 </w:instrText>
          </w:r>
          <w:r>
            <w:rPr>
              <w:rFonts w:hint="eastAsia" w:ascii="宋体" w:hAnsi="宋体" w:eastAsia="宋体" w:cs="宋体"/>
              <w:bCs/>
              <w:szCs w:val="36"/>
            </w:rPr>
            <w:fldChar w:fldCharType="separate"/>
          </w:r>
          <w:r>
            <w:rPr>
              <w:rFonts w:hint="eastAsia" w:ascii="宋体" w:hAnsi="宋体" w:eastAsia="宋体" w:cs="宋体"/>
              <w:kern w:val="0"/>
            </w:rPr>
            <w:t>5.3安全防护设施评价单元</w:t>
          </w:r>
          <w:r>
            <w:tab/>
          </w:r>
          <w:r>
            <w:fldChar w:fldCharType="begin"/>
          </w:r>
          <w:r>
            <w:instrText xml:space="preserve"> PAGEREF _Toc5638 \h </w:instrText>
          </w:r>
          <w:r>
            <w:fldChar w:fldCharType="separate"/>
          </w:r>
          <w:r>
            <w:t>- 76 -</w:t>
          </w:r>
          <w:r>
            <w:fldChar w:fldCharType="end"/>
          </w:r>
          <w:r>
            <w:rPr>
              <w:rFonts w:hint="eastAsia" w:ascii="宋体" w:hAnsi="宋体" w:eastAsia="宋体" w:cs="宋体"/>
              <w:bCs/>
              <w:color w:val="auto"/>
              <w:szCs w:val="36"/>
            </w:rPr>
            <w:fldChar w:fldCharType="end"/>
          </w:r>
        </w:p>
        <w:p w14:paraId="25FB731A">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_Toc9859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5.3.1常规防护设施和措施安全检查表法</w:t>
          </w:r>
          <w:r>
            <w:tab/>
          </w:r>
          <w:r>
            <w:fldChar w:fldCharType="begin"/>
          </w:r>
          <w:r>
            <w:instrText xml:space="preserve"> PAGEREF _Toc9859 \h </w:instrText>
          </w:r>
          <w:r>
            <w:fldChar w:fldCharType="separate"/>
          </w:r>
          <w:r>
            <w:t>- 76 -</w:t>
          </w:r>
          <w:r>
            <w:fldChar w:fldCharType="end"/>
          </w:r>
          <w:r>
            <w:rPr>
              <w:rFonts w:hint="eastAsia" w:ascii="宋体" w:hAnsi="宋体" w:eastAsia="宋体" w:cs="宋体"/>
              <w:bCs/>
              <w:color w:val="auto"/>
              <w:szCs w:val="36"/>
            </w:rPr>
            <w:fldChar w:fldCharType="end"/>
          </w:r>
        </w:p>
        <w:p w14:paraId="0E4A05CA">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_Toc24099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5.3.2防雷、防静电安全评价子单元安全检查表</w:t>
          </w:r>
          <w:r>
            <w:tab/>
          </w:r>
          <w:r>
            <w:fldChar w:fldCharType="begin"/>
          </w:r>
          <w:r>
            <w:instrText xml:space="preserve"> PAGEREF _Toc24099 \h </w:instrText>
          </w:r>
          <w:r>
            <w:fldChar w:fldCharType="separate"/>
          </w:r>
          <w:r>
            <w:t>- 80 -</w:t>
          </w:r>
          <w:r>
            <w:fldChar w:fldCharType="end"/>
          </w:r>
          <w:r>
            <w:rPr>
              <w:rFonts w:hint="eastAsia" w:ascii="宋体" w:hAnsi="宋体" w:eastAsia="宋体" w:cs="宋体"/>
              <w:bCs/>
              <w:color w:val="auto"/>
              <w:szCs w:val="36"/>
            </w:rPr>
            <w:fldChar w:fldCharType="end"/>
          </w:r>
        </w:p>
        <w:p w14:paraId="3409AEE3">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_Toc13486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5.3.3单元评价小结</w:t>
          </w:r>
          <w:r>
            <w:tab/>
          </w:r>
          <w:r>
            <w:fldChar w:fldCharType="begin"/>
          </w:r>
          <w:r>
            <w:instrText xml:space="preserve"> PAGEREF _Toc13486 \h </w:instrText>
          </w:r>
          <w:r>
            <w:fldChar w:fldCharType="separate"/>
          </w:r>
          <w:r>
            <w:t>- 81 -</w:t>
          </w:r>
          <w:r>
            <w:fldChar w:fldCharType="end"/>
          </w:r>
          <w:r>
            <w:rPr>
              <w:rFonts w:hint="eastAsia" w:ascii="宋体" w:hAnsi="宋体" w:eastAsia="宋体" w:cs="宋体"/>
              <w:bCs/>
              <w:color w:val="auto"/>
              <w:szCs w:val="36"/>
            </w:rPr>
            <w:fldChar w:fldCharType="end"/>
          </w:r>
        </w:p>
        <w:p w14:paraId="77F0372F">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_Toc20151 </w:instrText>
          </w:r>
          <w:r>
            <w:rPr>
              <w:rFonts w:hint="eastAsia" w:ascii="宋体" w:hAnsi="宋体" w:eastAsia="宋体" w:cs="宋体"/>
              <w:bCs/>
              <w:szCs w:val="36"/>
            </w:rPr>
            <w:fldChar w:fldCharType="separate"/>
          </w:r>
          <w:r>
            <w:rPr>
              <w:rFonts w:hint="eastAsia" w:ascii="宋体" w:hAnsi="宋体" w:eastAsia="宋体" w:cs="宋体"/>
              <w:kern w:val="0"/>
            </w:rPr>
            <w:t>5.</w:t>
          </w:r>
          <w:r>
            <w:rPr>
              <w:rFonts w:hint="eastAsia" w:ascii="宋体" w:hAnsi="宋体" w:eastAsia="宋体" w:cs="宋体"/>
              <w:kern w:val="0"/>
              <w:lang w:val="en-US" w:eastAsia="zh-CN"/>
            </w:rPr>
            <w:t>4</w:t>
          </w:r>
          <w:r>
            <w:rPr>
              <w:rFonts w:hint="eastAsia" w:ascii="宋体" w:hAnsi="宋体" w:eastAsia="宋体" w:cs="宋体"/>
              <w:kern w:val="0"/>
            </w:rPr>
            <w:t>公用工程及辅助设施评价单元</w:t>
          </w:r>
          <w:r>
            <w:tab/>
          </w:r>
          <w:r>
            <w:fldChar w:fldCharType="begin"/>
          </w:r>
          <w:r>
            <w:instrText xml:space="preserve"> PAGEREF _Toc20151 \h </w:instrText>
          </w:r>
          <w:r>
            <w:fldChar w:fldCharType="separate"/>
          </w:r>
          <w:r>
            <w:t>- 81 -</w:t>
          </w:r>
          <w:r>
            <w:fldChar w:fldCharType="end"/>
          </w:r>
          <w:r>
            <w:rPr>
              <w:rFonts w:hint="eastAsia" w:ascii="宋体" w:hAnsi="宋体" w:eastAsia="宋体" w:cs="宋体"/>
              <w:bCs/>
              <w:color w:val="auto"/>
              <w:szCs w:val="36"/>
            </w:rPr>
            <w:fldChar w:fldCharType="end"/>
          </w:r>
        </w:p>
        <w:p w14:paraId="57115F58">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_Toc9678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5.4.1 供配电系统安全检查表</w:t>
          </w:r>
          <w:r>
            <w:tab/>
          </w:r>
          <w:r>
            <w:fldChar w:fldCharType="begin"/>
          </w:r>
          <w:r>
            <w:instrText xml:space="preserve"> PAGEREF _Toc9678 \h </w:instrText>
          </w:r>
          <w:r>
            <w:fldChar w:fldCharType="separate"/>
          </w:r>
          <w:r>
            <w:t>- 81 -</w:t>
          </w:r>
          <w:r>
            <w:fldChar w:fldCharType="end"/>
          </w:r>
          <w:r>
            <w:rPr>
              <w:rFonts w:hint="eastAsia" w:ascii="宋体" w:hAnsi="宋体" w:eastAsia="宋体" w:cs="宋体"/>
              <w:bCs/>
              <w:color w:val="auto"/>
              <w:szCs w:val="36"/>
            </w:rPr>
            <w:fldChar w:fldCharType="end"/>
          </w:r>
        </w:p>
        <w:p w14:paraId="46C9D0D5">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_Toc30305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5.4.2 给排水系统安全检查表</w:t>
          </w:r>
          <w:r>
            <w:tab/>
          </w:r>
          <w:r>
            <w:fldChar w:fldCharType="begin"/>
          </w:r>
          <w:r>
            <w:instrText xml:space="preserve"> PAGEREF _Toc30305 \h </w:instrText>
          </w:r>
          <w:r>
            <w:fldChar w:fldCharType="separate"/>
          </w:r>
          <w:r>
            <w:t>- 82 -</w:t>
          </w:r>
          <w:r>
            <w:fldChar w:fldCharType="end"/>
          </w:r>
          <w:r>
            <w:rPr>
              <w:rFonts w:hint="eastAsia" w:ascii="宋体" w:hAnsi="宋体" w:eastAsia="宋体" w:cs="宋体"/>
              <w:bCs/>
              <w:color w:val="auto"/>
              <w:szCs w:val="36"/>
            </w:rPr>
            <w:fldChar w:fldCharType="end"/>
          </w:r>
        </w:p>
        <w:p w14:paraId="77DE2C77">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_Toc29394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5.4.3 消防系统安全检查表</w:t>
          </w:r>
          <w:r>
            <w:tab/>
          </w:r>
          <w:r>
            <w:fldChar w:fldCharType="begin"/>
          </w:r>
          <w:r>
            <w:instrText xml:space="preserve"> PAGEREF _Toc29394 \h </w:instrText>
          </w:r>
          <w:r>
            <w:fldChar w:fldCharType="separate"/>
          </w:r>
          <w:r>
            <w:t>- 83 -</w:t>
          </w:r>
          <w:r>
            <w:fldChar w:fldCharType="end"/>
          </w:r>
          <w:r>
            <w:rPr>
              <w:rFonts w:hint="eastAsia" w:ascii="宋体" w:hAnsi="宋体" w:eastAsia="宋体" w:cs="宋体"/>
              <w:bCs/>
              <w:color w:val="auto"/>
              <w:szCs w:val="36"/>
            </w:rPr>
            <w:fldChar w:fldCharType="end"/>
          </w:r>
        </w:p>
        <w:p w14:paraId="16811884">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_Toc9207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5.4.4 单元小结</w:t>
          </w:r>
          <w:r>
            <w:tab/>
          </w:r>
          <w:r>
            <w:fldChar w:fldCharType="begin"/>
          </w:r>
          <w:r>
            <w:instrText xml:space="preserve"> PAGEREF _Toc9207 \h </w:instrText>
          </w:r>
          <w:r>
            <w:fldChar w:fldCharType="separate"/>
          </w:r>
          <w:r>
            <w:t>- 85 -</w:t>
          </w:r>
          <w:r>
            <w:fldChar w:fldCharType="end"/>
          </w:r>
          <w:r>
            <w:rPr>
              <w:rFonts w:hint="eastAsia" w:ascii="宋体" w:hAnsi="宋体" w:eastAsia="宋体" w:cs="宋体"/>
              <w:bCs/>
              <w:color w:val="auto"/>
              <w:szCs w:val="36"/>
            </w:rPr>
            <w:fldChar w:fldCharType="end"/>
          </w:r>
        </w:p>
        <w:p w14:paraId="12380402">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_Toc2634 </w:instrText>
          </w:r>
          <w:r>
            <w:rPr>
              <w:rFonts w:hint="eastAsia" w:ascii="宋体" w:hAnsi="宋体" w:eastAsia="宋体" w:cs="宋体"/>
              <w:bCs/>
              <w:szCs w:val="36"/>
            </w:rPr>
            <w:fldChar w:fldCharType="separate"/>
          </w:r>
          <w:r>
            <w:rPr>
              <w:rFonts w:hint="eastAsia" w:ascii="宋体" w:hAnsi="宋体" w:eastAsia="宋体" w:cs="宋体"/>
              <w:kern w:val="0"/>
            </w:rPr>
            <w:t>5.5</w:t>
          </w:r>
          <w:r>
            <w:rPr>
              <w:rFonts w:hint="eastAsia" w:ascii="宋体" w:hAnsi="宋体" w:eastAsia="宋体" w:cs="宋体"/>
              <w:kern w:val="0"/>
              <w:lang w:val="en-US" w:eastAsia="zh-CN"/>
            </w:rPr>
            <w:t xml:space="preserve"> </w:t>
          </w:r>
          <w:r>
            <w:rPr>
              <w:rFonts w:hint="eastAsia" w:ascii="宋体" w:hAnsi="宋体" w:eastAsia="宋体" w:cs="宋体"/>
              <w:kern w:val="0"/>
            </w:rPr>
            <w:t>安全生产管理评价单元</w:t>
          </w:r>
          <w:r>
            <w:tab/>
          </w:r>
          <w:r>
            <w:fldChar w:fldCharType="begin"/>
          </w:r>
          <w:r>
            <w:instrText xml:space="preserve"> PAGEREF _Toc2634 \h </w:instrText>
          </w:r>
          <w:r>
            <w:fldChar w:fldCharType="separate"/>
          </w:r>
          <w:r>
            <w:t>- 85 -</w:t>
          </w:r>
          <w:r>
            <w:fldChar w:fldCharType="end"/>
          </w:r>
          <w:r>
            <w:rPr>
              <w:rFonts w:hint="eastAsia" w:ascii="宋体" w:hAnsi="宋体" w:eastAsia="宋体" w:cs="宋体"/>
              <w:bCs/>
              <w:color w:val="auto"/>
              <w:szCs w:val="36"/>
            </w:rPr>
            <w:fldChar w:fldCharType="end"/>
          </w:r>
        </w:p>
        <w:p w14:paraId="20FCC2A9">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_Toc25208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5.5.1安全管理检查表</w:t>
          </w:r>
          <w:r>
            <w:tab/>
          </w:r>
          <w:r>
            <w:fldChar w:fldCharType="begin"/>
          </w:r>
          <w:r>
            <w:instrText xml:space="preserve"> PAGEREF _Toc25208 \h </w:instrText>
          </w:r>
          <w:r>
            <w:fldChar w:fldCharType="separate"/>
          </w:r>
          <w:r>
            <w:t>- 85 -</w:t>
          </w:r>
          <w:r>
            <w:fldChar w:fldCharType="end"/>
          </w:r>
          <w:r>
            <w:rPr>
              <w:rFonts w:hint="eastAsia" w:ascii="宋体" w:hAnsi="宋体" w:eastAsia="宋体" w:cs="宋体"/>
              <w:bCs/>
              <w:color w:val="auto"/>
              <w:szCs w:val="36"/>
            </w:rPr>
            <w:fldChar w:fldCharType="end"/>
          </w:r>
        </w:p>
        <w:p w14:paraId="7BF4801A">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_Toc3886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5.5.2 应急救援预案</w:t>
          </w:r>
          <w:r>
            <w:tab/>
          </w:r>
          <w:r>
            <w:fldChar w:fldCharType="begin"/>
          </w:r>
          <w:r>
            <w:instrText xml:space="preserve"> PAGEREF _Toc3886 \h </w:instrText>
          </w:r>
          <w:r>
            <w:fldChar w:fldCharType="separate"/>
          </w:r>
          <w:r>
            <w:t>- 91 -</w:t>
          </w:r>
          <w:r>
            <w:fldChar w:fldCharType="end"/>
          </w:r>
          <w:r>
            <w:rPr>
              <w:rFonts w:hint="eastAsia" w:ascii="宋体" w:hAnsi="宋体" w:eastAsia="宋体" w:cs="宋体"/>
              <w:bCs/>
              <w:color w:val="auto"/>
              <w:szCs w:val="36"/>
            </w:rPr>
            <w:fldChar w:fldCharType="end"/>
          </w:r>
        </w:p>
        <w:p w14:paraId="1A8CB3F0">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_Toc9537 </w:instrText>
          </w:r>
          <w:r>
            <w:rPr>
              <w:rFonts w:hint="eastAsia" w:ascii="宋体" w:hAnsi="宋体" w:eastAsia="宋体" w:cs="宋体"/>
              <w:bCs/>
              <w:szCs w:val="36"/>
            </w:rPr>
            <w:fldChar w:fldCharType="separate"/>
          </w:r>
          <w:r>
            <w:rPr>
              <w:rFonts w:hint="eastAsia" w:ascii="宋体" w:hAnsi="宋体" w:eastAsia="宋体" w:cs="宋体"/>
              <w:snapToGrid w:val="0"/>
              <w:kern w:val="0"/>
              <w:szCs w:val="28"/>
              <w:lang w:val="en-US" w:eastAsia="zh-CN"/>
            </w:rPr>
            <w:t>5.5.3 单元小结</w:t>
          </w:r>
          <w:r>
            <w:tab/>
          </w:r>
          <w:r>
            <w:fldChar w:fldCharType="begin"/>
          </w:r>
          <w:r>
            <w:instrText xml:space="preserve"> PAGEREF _Toc9537 \h </w:instrText>
          </w:r>
          <w:r>
            <w:fldChar w:fldCharType="separate"/>
          </w:r>
          <w:r>
            <w:t>- 92 -</w:t>
          </w:r>
          <w:r>
            <w:fldChar w:fldCharType="end"/>
          </w:r>
          <w:r>
            <w:rPr>
              <w:rFonts w:hint="eastAsia" w:ascii="宋体" w:hAnsi="宋体" w:eastAsia="宋体" w:cs="宋体"/>
              <w:bCs/>
              <w:color w:val="auto"/>
              <w:szCs w:val="36"/>
            </w:rPr>
            <w:fldChar w:fldCharType="end"/>
          </w:r>
        </w:p>
        <w:p w14:paraId="60AA7AAA">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_Toc6808 </w:instrText>
          </w:r>
          <w:r>
            <w:rPr>
              <w:rFonts w:hint="eastAsia" w:ascii="宋体" w:hAnsi="宋体" w:eastAsia="宋体" w:cs="宋体"/>
              <w:bCs/>
              <w:szCs w:val="36"/>
            </w:rPr>
            <w:fldChar w:fldCharType="separate"/>
          </w:r>
          <w:r>
            <w:rPr>
              <w:rFonts w:hint="eastAsia" w:ascii="宋体" w:hAnsi="宋体" w:eastAsia="宋体" w:cs="宋体"/>
              <w:kern w:val="0"/>
            </w:rPr>
            <w:t>5.6 重大事故隐患</w:t>
          </w:r>
          <w:r>
            <w:rPr>
              <w:rFonts w:hint="eastAsia" w:ascii="宋体" w:hAnsi="宋体" w:eastAsia="宋体" w:cs="宋体"/>
              <w:kern w:val="0"/>
              <w:lang w:val="en-US" w:eastAsia="zh-CN"/>
            </w:rPr>
            <w:t>评价</w:t>
          </w:r>
          <w:r>
            <w:rPr>
              <w:rFonts w:hint="eastAsia" w:ascii="宋体" w:hAnsi="宋体" w:eastAsia="宋体" w:cs="宋体"/>
              <w:kern w:val="0"/>
            </w:rPr>
            <w:t>单元</w:t>
          </w:r>
          <w:r>
            <w:tab/>
          </w:r>
          <w:r>
            <w:fldChar w:fldCharType="begin"/>
          </w:r>
          <w:r>
            <w:instrText xml:space="preserve"> PAGEREF _Toc6808 \h </w:instrText>
          </w:r>
          <w:r>
            <w:fldChar w:fldCharType="separate"/>
          </w:r>
          <w:r>
            <w:t>- 92 -</w:t>
          </w:r>
          <w:r>
            <w:fldChar w:fldCharType="end"/>
          </w:r>
          <w:r>
            <w:rPr>
              <w:rFonts w:hint="eastAsia" w:ascii="宋体" w:hAnsi="宋体" w:eastAsia="宋体" w:cs="宋体"/>
              <w:bCs/>
              <w:color w:val="auto"/>
              <w:szCs w:val="36"/>
            </w:rPr>
            <w:fldChar w:fldCharType="end"/>
          </w:r>
        </w:p>
        <w:p w14:paraId="217DCDA8">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_Toc12115 </w:instrText>
          </w:r>
          <w:r>
            <w:rPr>
              <w:rFonts w:hint="eastAsia" w:ascii="宋体" w:hAnsi="宋体" w:eastAsia="宋体" w:cs="宋体"/>
              <w:bCs/>
              <w:szCs w:val="36"/>
            </w:rPr>
            <w:fldChar w:fldCharType="separate"/>
          </w:r>
          <w:r>
            <w:rPr>
              <w:rFonts w:hint="eastAsia" w:ascii="宋体" w:hAnsi="宋体" w:eastAsia="宋体" w:cs="宋体"/>
              <w:kern w:val="0"/>
              <w:lang w:val="en-US" w:eastAsia="zh-CN"/>
            </w:rPr>
            <w:t>5.7评价小结</w:t>
          </w:r>
          <w:r>
            <w:tab/>
          </w:r>
          <w:r>
            <w:fldChar w:fldCharType="begin"/>
          </w:r>
          <w:r>
            <w:instrText xml:space="preserve"> PAGEREF _Toc12115 \h </w:instrText>
          </w:r>
          <w:r>
            <w:fldChar w:fldCharType="separate"/>
          </w:r>
          <w:r>
            <w:t>- 94 -</w:t>
          </w:r>
          <w:r>
            <w:fldChar w:fldCharType="end"/>
          </w:r>
          <w:r>
            <w:rPr>
              <w:rFonts w:hint="eastAsia" w:ascii="宋体" w:hAnsi="宋体" w:eastAsia="宋体" w:cs="宋体"/>
              <w:bCs/>
              <w:color w:val="auto"/>
              <w:szCs w:val="36"/>
            </w:rPr>
            <w:fldChar w:fldCharType="end"/>
          </w:r>
        </w:p>
        <w:p w14:paraId="765C6AFC">
          <w:pPr>
            <w:pStyle w:val="17"/>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_Toc147 </w:instrText>
          </w:r>
          <w:r>
            <w:rPr>
              <w:rFonts w:hint="eastAsia" w:ascii="宋体" w:hAnsi="宋体" w:eastAsia="宋体" w:cs="宋体"/>
              <w:bCs/>
              <w:szCs w:val="36"/>
            </w:rPr>
            <w:fldChar w:fldCharType="separate"/>
          </w:r>
          <w:r>
            <w:rPr>
              <w:rFonts w:hint="eastAsia" w:ascii="宋体" w:hAnsi="宋体" w:eastAsia="宋体" w:cs="宋体"/>
              <w:bCs/>
              <w:szCs w:val="36"/>
              <w:lang w:val="en-US" w:eastAsia="zh-CN"/>
            </w:rPr>
            <w:t>第6章安全对策措施建议</w:t>
          </w:r>
          <w:r>
            <w:tab/>
          </w:r>
          <w:r>
            <w:fldChar w:fldCharType="begin"/>
          </w:r>
          <w:r>
            <w:instrText xml:space="preserve"> PAGEREF _Toc147 \h </w:instrText>
          </w:r>
          <w:r>
            <w:fldChar w:fldCharType="separate"/>
          </w:r>
          <w:r>
            <w:t>- 95 -</w:t>
          </w:r>
          <w:r>
            <w:fldChar w:fldCharType="end"/>
          </w:r>
          <w:r>
            <w:rPr>
              <w:rFonts w:hint="eastAsia" w:ascii="宋体" w:hAnsi="宋体" w:eastAsia="宋体" w:cs="宋体"/>
              <w:bCs/>
              <w:color w:val="auto"/>
              <w:szCs w:val="36"/>
            </w:rPr>
            <w:fldChar w:fldCharType="end"/>
          </w:r>
        </w:p>
        <w:p w14:paraId="75096F54">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_Toc21870 </w:instrText>
          </w:r>
          <w:r>
            <w:rPr>
              <w:rFonts w:hint="eastAsia" w:ascii="宋体" w:hAnsi="宋体" w:eastAsia="宋体" w:cs="宋体"/>
              <w:bCs/>
              <w:szCs w:val="36"/>
            </w:rPr>
            <w:fldChar w:fldCharType="separate"/>
          </w:r>
          <w:r>
            <w:rPr>
              <w:rFonts w:hint="eastAsia" w:ascii="宋体" w:hAnsi="宋体" w:eastAsia="宋体" w:cs="宋体"/>
              <w:bCs/>
              <w:kern w:val="0"/>
              <w:szCs w:val="30"/>
              <w:lang w:val="en-US" w:eastAsia="zh-CN" w:bidi="ar"/>
            </w:rPr>
            <w:t>6.1存在的问题及整改情况说明</w:t>
          </w:r>
          <w:r>
            <w:tab/>
          </w:r>
          <w:r>
            <w:fldChar w:fldCharType="begin"/>
          </w:r>
          <w:r>
            <w:instrText xml:space="preserve"> PAGEREF _Toc21870 \h </w:instrText>
          </w:r>
          <w:r>
            <w:fldChar w:fldCharType="separate"/>
          </w:r>
          <w:r>
            <w:t>- 95 -</w:t>
          </w:r>
          <w:r>
            <w:fldChar w:fldCharType="end"/>
          </w:r>
          <w:r>
            <w:rPr>
              <w:rFonts w:hint="eastAsia" w:ascii="宋体" w:hAnsi="宋体" w:eastAsia="宋体" w:cs="宋体"/>
              <w:bCs/>
              <w:color w:val="auto"/>
              <w:szCs w:val="36"/>
            </w:rPr>
            <w:fldChar w:fldCharType="end"/>
          </w:r>
        </w:p>
        <w:p w14:paraId="50F2020B">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_Toc22581 </w:instrText>
          </w:r>
          <w:r>
            <w:rPr>
              <w:rFonts w:hint="eastAsia" w:ascii="宋体" w:hAnsi="宋体" w:eastAsia="宋体" w:cs="宋体"/>
              <w:bCs/>
              <w:szCs w:val="36"/>
            </w:rPr>
            <w:fldChar w:fldCharType="separate"/>
          </w:r>
          <w:r>
            <w:rPr>
              <w:rFonts w:hint="eastAsia" w:ascii="宋体" w:hAnsi="宋体" w:eastAsia="宋体" w:cs="宋体"/>
              <w:bCs/>
              <w:kern w:val="0"/>
              <w:szCs w:val="28"/>
              <w:lang w:val="en-US" w:eastAsia="zh-CN" w:bidi="ar"/>
            </w:rPr>
            <w:t>6.1.1存在的主要问题</w:t>
          </w:r>
          <w:r>
            <w:tab/>
          </w:r>
          <w:r>
            <w:fldChar w:fldCharType="begin"/>
          </w:r>
          <w:r>
            <w:instrText xml:space="preserve"> PAGEREF _Toc22581 \h </w:instrText>
          </w:r>
          <w:r>
            <w:fldChar w:fldCharType="separate"/>
          </w:r>
          <w:r>
            <w:t>- 95 -</w:t>
          </w:r>
          <w:r>
            <w:fldChar w:fldCharType="end"/>
          </w:r>
          <w:r>
            <w:rPr>
              <w:rFonts w:hint="eastAsia" w:ascii="宋体" w:hAnsi="宋体" w:eastAsia="宋体" w:cs="宋体"/>
              <w:bCs/>
              <w:color w:val="auto"/>
              <w:szCs w:val="36"/>
            </w:rPr>
            <w:fldChar w:fldCharType="end"/>
          </w:r>
        </w:p>
        <w:p w14:paraId="3B4F9025">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_Toc31303 </w:instrText>
          </w:r>
          <w:r>
            <w:rPr>
              <w:rFonts w:hint="eastAsia" w:ascii="宋体" w:hAnsi="宋体" w:eastAsia="宋体" w:cs="宋体"/>
              <w:bCs/>
              <w:szCs w:val="36"/>
            </w:rPr>
            <w:fldChar w:fldCharType="separate"/>
          </w:r>
          <w:r>
            <w:rPr>
              <w:rFonts w:hint="eastAsia" w:ascii="宋体" w:hAnsi="宋体" w:eastAsia="宋体" w:cs="宋体"/>
              <w:bCs/>
              <w:szCs w:val="24"/>
              <w:lang w:val="en-US" w:eastAsia="zh-CN"/>
            </w:rPr>
            <w:t>6.1.2整改建议</w:t>
          </w:r>
          <w:r>
            <w:tab/>
          </w:r>
          <w:r>
            <w:fldChar w:fldCharType="begin"/>
          </w:r>
          <w:r>
            <w:instrText xml:space="preserve"> PAGEREF _Toc31303 \h </w:instrText>
          </w:r>
          <w:r>
            <w:fldChar w:fldCharType="separate"/>
          </w:r>
          <w:r>
            <w:t>- 95 -</w:t>
          </w:r>
          <w:r>
            <w:fldChar w:fldCharType="end"/>
          </w:r>
          <w:r>
            <w:rPr>
              <w:rFonts w:hint="eastAsia" w:ascii="宋体" w:hAnsi="宋体" w:eastAsia="宋体" w:cs="宋体"/>
              <w:bCs/>
              <w:color w:val="auto"/>
              <w:szCs w:val="36"/>
            </w:rPr>
            <w:fldChar w:fldCharType="end"/>
          </w:r>
        </w:p>
        <w:p w14:paraId="130C943F">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_Toc18834 </w:instrText>
          </w:r>
          <w:r>
            <w:rPr>
              <w:rFonts w:hint="eastAsia" w:ascii="宋体" w:hAnsi="宋体" w:eastAsia="宋体" w:cs="宋体"/>
              <w:bCs/>
              <w:szCs w:val="36"/>
            </w:rPr>
            <w:fldChar w:fldCharType="separate"/>
          </w:r>
          <w:r>
            <w:rPr>
              <w:rFonts w:hint="eastAsia" w:ascii="宋体" w:hAnsi="宋体" w:eastAsia="宋体" w:cs="宋体"/>
              <w:bCs/>
              <w:szCs w:val="24"/>
              <w:lang w:val="en-US" w:eastAsia="zh-CN"/>
            </w:rPr>
            <w:t>6.1.3整改完成情况</w:t>
          </w:r>
          <w:r>
            <w:tab/>
          </w:r>
          <w:r>
            <w:fldChar w:fldCharType="begin"/>
          </w:r>
          <w:r>
            <w:instrText xml:space="preserve"> PAGEREF _Toc18834 \h </w:instrText>
          </w:r>
          <w:r>
            <w:fldChar w:fldCharType="separate"/>
          </w:r>
          <w:r>
            <w:t>- 95 -</w:t>
          </w:r>
          <w:r>
            <w:fldChar w:fldCharType="end"/>
          </w:r>
          <w:r>
            <w:rPr>
              <w:rFonts w:hint="eastAsia" w:ascii="宋体" w:hAnsi="宋体" w:eastAsia="宋体" w:cs="宋体"/>
              <w:bCs/>
              <w:color w:val="auto"/>
              <w:szCs w:val="36"/>
            </w:rPr>
            <w:fldChar w:fldCharType="end"/>
          </w:r>
        </w:p>
        <w:p w14:paraId="074A0BFF">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_Toc23841 </w:instrText>
          </w:r>
          <w:r>
            <w:rPr>
              <w:rFonts w:hint="eastAsia" w:ascii="宋体" w:hAnsi="宋体" w:eastAsia="宋体" w:cs="宋体"/>
              <w:bCs/>
              <w:szCs w:val="36"/>
            </w:rPr>
            <w:fldChar w:fldCharType="separate"/>
          </w:r>
          <w:r>
            <w:rPr>
              <w:rFonts w:hint="eastAsia" w:ascii="宋体" w:hAnsi="宋体" w:eastAsia="宋体" w:cs="宋体"/>
              <w:bCs/>
              <w:kern w:val="0"/>
              <w:szCs w:val="30"/>
              <w:lang w:val="en-US" w:eastAsia="zh-CN" w:bidi="ar"/>
            </w:rPr>
            <w:t>6.2安全防范措施建议</w:t>
          </w:r>
          <w:r>
            <w:tab/>
          </w:r>
          <w:r>
            <w:fldChar w:fldCharType="begin"/>
          </w:r>
          <w:r>
            <w:instrText xml:space="preserve"> PAGEREF _Toc23841 \h </w:instrText>
          </w:r>
          <w:r>
            <w:fldChar w:fldCharType="separate"/>
          </w:r>
          <w:r>
            <w:t>- 95 -</w:t>
          </w:r>
          <w:r>
            <w:fldChar w:fldCharType="end"/>
          </w:r>
          <w:r>
            <w:rPr>
              <w:rFonts w:hint="eastAsia" w:ascii="宋体" w:hAnsi="宋体" w:eastAsia="宋体" w:cs="宋体"/>
              <w:bCs/>
              <w:color w:val="auto"/>
              <w:szCs w:val="36"/>
            </w:rPr>
            <w:fldChar w:fldCharType="end"/>
          </w:r>
        </w:p>
        <w:p w14:paraId="4C233066">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_Toc30801 </w:instrText>
          </w:r>
          <w:r>
            <w:rPr>
              <w:rFonts w:hint="eastAsia" w:ascii="宋体" w:hAnsi="宋体" w:eastAsia="宋体" w:cs="宋体"/>
              <w:bCs/>
              <w:szCs w:val="36"/>
            </w:rPr>
            <w:fldChar w:fldCharType="separate"/>
          </w:r>
          <w:r>
            <w:rPr>
              <w:rFonts w:hint="eastAsia" w:ascii="宋体" w:hAnsi="宋体" w:eastAsia="宋体" w:cs="宋体"/>
              <w:bCs/>
              <w:kern w:val="0"/>
              <w:szCs w:val="28"/>
              <w:lang w:val="en-US" w:eastAsia="zh-CN" w:bidi="ar"/>
            </w:rPr>
            <w:t>6.2.1厂址及总平面布置方面安全防范措施建议</w:t>
          </w:r>
          <w:r>
            <w:tab/>
          </w:r>
          <w:r>
            <w:fldChar w:fldCharType="begin"/>
          </w:r>
          <w:r>
            <w:instrText xml:space="preserve"> PAGEREF _Toc30801 \h </w:instrText>
          </w:r>
          <w:r>
            <w:fldChar w:fldCharType="separate"/>
          </w:r>
          <w:r>
            <w:t>- 95 -</w:t>
          </w:r>
          <w:r>
            <w:fldChar w:fldCharType="end"/>
          </w:r>
          <w:r>
            <w:rPr>
              <w:rFonts w:hint="eastAsia" w:ascii="宋体" w:hAnsi="宋体" w:eastAsia="宋体" w:cs="宋体"/>
              <w:bCs/>
              <w:color w:val="auto"/>
              <w:szCs w:val="36"/>
            </w:rPr>
            <w:fldChar w:fldCharType="end"/>
          </w:r>
        </w:p>
        <w:p w14:paraId="13114F70">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_Toc22169 </w:instrText>
          </w:r>
          <w:r>
            <w:rPr>
              <w:rFonts w:hint="eastAsia" w:ascii="宋体" w:hAnsi="宋体" w:eastAsia="宋体" w:cs="宋体"/>
              <w:bCs/>
              <w:szCs w:val="36"/>
            </w:rPr>
            <w:fldChar w:fldCharType="separate"/>
          </w:r>
          <w:r>
            <w:rPr>
              <w:rFonts w:hint="eastAsia" w:ascii="宋体" w:hAnsi="宋体" w:eastAsia="宋体" w:cs="宋体"/>
              <w:bCs/>
              <w:kern w:val="0"/>
              <w:szCs w:val="28"/>
              <w:lang w:val="en-US" w:eastAsia="zh-CN" w:bidi="ar"/>
            </w:rPr>
            <w:t>6.2.2生产设备安全防范措施建议</w:t>
          </w:r>
          <w:r>
            <w:tab/>
          </w:r>
          <w:r>
            <w:fldChar w:fldCharType="begin"/>
          </w:r>
          <w:r>
            <w:instrText xml:space="preserve"> PAGEREF _Toc22169 \h </w:instrText>
          </w:r>
          <w:r>
            <w:fldChar w:fldCharType="separate"/>
          </w:r>
          <w:r>
            <w:t>- 96 -</w:t>
          </w:r>
          <w:r>
            <w:fldChar w:fldCharType="end"/>
          </w:r>
          <w:r>
            <w:rPr>
              <w:rFonts w:hint="eastAsia" w:ascii="宋体" w:hAnsi="宋体" w:eastAsia="宋体" w:cs="宋体"/>
              <w:bCs/>
              <w:color w:val="auto"/>
              <w:szCs w:val="36"/>
            </w:rPr>
            <w:fldChar w:fldCharType="end"/>
          </w:r>
        </w:p>
        <w:p w14:paraId="51C88CD9">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_Toc22508 </w:instrText>
          </w:r>
          <w:r>
            <w:rPr>
              <w:rFonts w:hint="eastAsia" w:ascii="宋体" w:hAnsi="宋体" w:eastAsia="宋体" w:cs="宋体"/>
              <w:bCs/>
              <w:szCs w:val="36"/>
            </w:rPr>
            <w:fldChar w:fldCharType="separate"/>
          </w:r>
          <w:r>
            <w:rPr>
              <w:rFonts w:hint="eastAsia" w:ascii="宋体" w:hAnsi="宋体" w:eastAsia="宋体" w:cs="宋体"/>
              <w:bCs/>
              <w:kern w:val="0"/>
              <w:szCs w:val="28"/>
              <w:lang w:val="en-US" w:eastAsia="zh-CN" w:bidi="ar"/>
            </w:rPr>
            <w:t>6.2.3公共辅助设施安全防范措施建议</w:t>
          </w:r>
          <w:r>
            <w:tab/>
          </w:r>
          <w:r>
            <w:fldChar w:fldCharType="begin"/>
          </w:r>
          <w:r>
            <w:instrText xml:space="preserve"> PAGEREF _Toc22508 \h </w:instrText>
          </w:r>
          <w:r>
            <w:fldChar w:fldCharType="separate"/>
          </w:r>
          <w:r>
            <w:t>- 97 -</w:t>
          </w:r>
          <w:r>
            <w:fldChar w:fldCharType="end"/>
          </w:r>
          <w:r>
            <w:rPr>
              <w:rFonts w:hint="eastAsia" w:ascii="宋体" w:hAnsi="宋体" w:eastAsia="宋体" w:cs="宋体"/>
              <w:bCs/>
              <w:color w:val="auto"/>
              <w:szCs w:val="36"/>
            </w:rPr>
            <w:fldChar w:fldCharType="end"/>
          </w:r>
        </w:p>
        <w:p w14:paraId="2DFF33E1">
          <w:pPr>
            <w:pStyle w:val="12"/>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_Toc15458 </w:instrText>
          </w:r>
          <w:r>
            <w:rPr>
              <w:rFonts w:hint="eastAsia" w:ascii="宋体" w:hAnsi="宋体" w:eastAsia="宋体" w:cs="宋体"/>
              <w:bCs/>
              <w:szCs w:val="36"/>
            </w:rPr>
            <w:fldChar w:fldCharType="separate"/>
          </w:r>
          <w:r>
            <w:rPr>
              <w:rFonts w:hint="eastAsia" w:ascii="宋体" w:hAnsi="宋体" w:eastAsia="宋体" w:cs="宋体"/>
              <w:bCs/>
              <w:kern w:val="0"/>
              <w:szCs w:val="28"/>
              <w:lang w:val="en-US" w:eastAsia="zh-CN" w:bidi="ar"/>
            </w:rPr>
            <w:t>6.2.</w:t>
          </w:r>
          <w:r>
            <w:rPr>
              <w:rFonts w:hint="eastAsia" w:hAnsi="宋体" w:cs="宋体"/>
              <w:bCs/>
              <w:kern w:val="0"/>
              <w:szCs w:val="28"/>
              <w:lang w:val="en-US" w:eastAsia="zh-CN" w:bidi="ar"/>
            </w:rPr>
            <w:t>4</w:t>
          </w:r>
          <w:r>
            <w:rPr>
              <w:rFonts w:hint="eastAsia" w:ascii="宋体" w:hAnsi="宋体" w:eastAsia="宋体" w:cs="宋体"/>
              <w:bCs/>
              <w:kern w:val="0"/>
              <w:szCs w:val="28"/>
              <w:lang w:val="en-US" w:eastAsia="zh-CN" w:bidi="ar"/>
            </w:rPr>
            <w:t>安全管理安全防范措施建议</w:t>
          </w:r>
          <w:r>
            <w:tab/>
          </w:r>
          <w:r>
            <w:fldChar w:fldCharType="begin"/>
          </w:r>
          <w:r>
            <w:instrText xml:space="preserve"> PAGEREF _Toc15458 \h </w:instrText>
          </w:r>
          <w:r>
            <w:fldChar w:fldCharType="separate"/>
          </w:r>
          <w:r>
            <w:t>- 97 -</w:t>
          </w:r>
          <w:r>
            <w:fldChar w:fldCharType="end"/>
          </w:r>
          <w:r>
            <w:rPr>
              <w:rFonts w:hint="eastAsia" w:ascii="宋体" w:hAnsi="宋体" w:eastAsia="宋体" w:cs="宋体"/>
              <w:bCs/>
              <w:color w:val="auto"/>
              <w:szCs w:val="36"/>
            </w:rPr>
            <w:fldChar w:fldCharType="end"/>
          </w:r>
        </w:p>
        <w:p w14:paraId="0C296D27">
          <w:pPr>
            <w:pStyle w:val="17"/>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_Toc24286 </w:instrText>
          </w:r>
          <w:r>
            <w:rPr>
              <w:rFonts w:hint="eastAsia" w:ascii="宋体" w:hAnsi="宋体" w:eastAsia="宋体" w:cs="宋体"/>
              <w:bCs/>
              <w:szCs w:val="36"/>
            </w:rPr>
            <w:fldChar w:fldCharType="separate"/>
          </w:r>
          <w:r>
            <w:rPr>
              <w:rFonts w:hint="eastAsia" w:ascii="宋体" w:hAnsi="宋体" w:eastAsia="宋体" w:cs="宋体"/>
              <w:bCs/>
              <w:kern w:val="0"/>
              <w:szCs w:val="36"/>
              <w:lang w:val="en-US" w:eastAsia="zh-CN" w:bidi="ar"/>
            </w:rPr>
            <w:t>第7章安全评价结论</w:t>
          </w:r>
          <w:r>
            <w:tab/>
          </w:r>
          <w:r>
            <w:fldChar w:fldCharType="begin"/>
          </w:r>
          <w:r>
            <w:instrText xml:space="preserve"> PAGEREF _Toc24286 \h </w:instrText>
          </w:r>
          <w:r>
            <w:fldChar w:fldCharType="separate"/>
          </w:r>
          <w:r>
            <w:t>- 100 -</w:t>
          </w:r>
          <w:r>
            <w:fldChar w:fldCharType="end"/>
          </w:r>
          <w:r>
            <w:rPr>
              <w:rFonts w:hint="eastAsia" w:ascii="宋体" w:hAnsi="宋体" w:eastAsia="宋体" w:cs="宋体"/>
              <w:bCs/>
              <w:color w:val="auto"/>
              <w:szCs w:val="36"/>
            </w:rPr>
            <w:fldChar w:fldCharType="end"/>
          </w:r>
        </w:p>
        <w:p w14:paraId="34215B74">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_Toc11328 </w:instrText>
          </w:r>
          <w:r>
            <w:rPr>
              <w:rFonts w:hint="eastAsia" w:ascii="宋体" w:hAnsi="宋体" w:eastAsia="宋体" w:cs="宋体"/>
              <w:bCs/>
              <w:szCs w:val="36"/>
            </w:rPr>
            <w:fldChar w:fldCharType="separate"/>
          </w:r>
          <w:r>
            <w:rPr>
              <w:rFonts w:hint="eastAsia" w:ascii="宋体" w:hAnsi="宋体" w:eastAsia="宋体" w:cs="宋体"/>
              <w:bCs/>
              <w:kern w:val="0"/>
              <w:szCs w:val="30"/>
              <w:lang w:val="en-US" w:eastAsia="zh-CN" w:bidi="ar"/>
            </w:rPr>
            <w:t>7.1综合评述</w:t>
          </w:r>
          <w:r>
            <w:tab/>
          </w:r>
          <w:r>
            <w:fldChar w:fldCharType="begin"/>
          </w:r>
          <w:r>
            <w:instrText xml:space="preserve"> PAGEREF _Toc11328 \h </w:instrText>
          </w:r>
          <w:r>
            <w:fldChar w:fldCharType="separate"/>
          </w:r>
          <w:r>
            <w:t>- 100 -</w:t>
          </w:r>
          <w:r>
            <w:fldChar w:fldCharType="end"/>
          </w:r>
          <w:r>
            <w:rPr>
              <w:rFonts w:hint="eastAsia" w:ascii="宋体" w:hAnsi="宋体" w:eastAsia="宋体" w:cs="宋体"/>
              <w:bCs/>
              <w:color w:val="auto"/>
              <w:szCs w:val="36"/>
            </w:rPr>
            <w:fldChar w:fldCharType="end"/>
          </w:r>
        </w:p>
        <w:p w14:paraId="597B9A5C">
          <w:pPr>
            <w:pStyle w:val="20"/>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_Toc30794 </w:instrText>
          </w:r>
          <w:r>
            <w:rPr>
              <w:rFonts w:hint="eastAsia" w:ascii="宋体" w:hAnsi="宋体" w:eastAsia="宋体" w:cs="宋体"/>
              <w:bCs/>
              <w:szCs w:val="36"/>
            </w:rPr>
            <w:fldChar w:fldCharType="separate"/>
          </w:r>
          <w:r>
            <w:rPr>
              <w:rFonts w:hint="eastAsia" w:ascii="宋体" w:hAnsi="宋体" w:eastAsia="宋体" w:cs="宋体"/>
              <w:bCs/>
              <w:spacing w:val="2"/>
              <w:szCs w:val="28"/>
              <w:lang w:val="en-US" w:eastAsia="zh-CN"/>
            </w:rPr>
            <w:t>7</w:t>
          </w:r>
          <w:r>
            <w:rPr>
              <w:rFonts w:ascii="宋体" w:hAnsi="宋体" w:eastAsia="宋体" w:cs="宋体"/>
              <w:bCs/>
              <w:spacing w:val="2"/>
              <w:szCs w:val="28"/>
            </w:rPr>
            <w:t>.2总体评价结论</w:t>
          </w:r>
          <w:r>
            <w:tab/>
          </w:r>
          <w:r>
            <w:fldChar w:fldCharType="begin"/>
          </w:r>
          <w:r>
            <w:instrText xml:space="preserve"> PAGEREF _Toc30794 \h </w:instrText>
          </w:r>
          <w:r>
            <w:fldChar w:fldCharType="separate"/>
          </w:r>
          <w:r>
            <w:t>- 101 -</w:t>
          </w:r>
          <w:r>
            <w:fldChar w:fldCharType="end"/>
          </w:r>
          <w:r>
            <w:rPr>
              <w:rFonts w:hint="eastAsia" w:ascii="宋体" w:hAnsi="宋体" w:eastAsia="宋体" w:cs="宋体"/>
              <w:bCs/>
              <w:color w:val="auto"/>
              <w:szCs w:val="36"/>
            </w:rPr>
            <w:fldChar w:fldCharType="end"/>
          </w:r>
        </w:p>
        <w:p w14:paraId="25533635">
          <w:pPr>
            <w:pStyle w:val="17"/>
            <w:tabs>
              <w:tab w:val="right" w:leader="dot" w:pos="9185"/>
            </w:tabs>
          </w:pPr>
          <w:r>
            <w:rPr>
              <w:rFonts w:hint="eastAsia" w:ascii="宋体" w:hAnsi="宋体" w:eastAsia="宋体" w:cs="宋体"/>
              <w:bCs/>
              <w:color w:val="auto"/>
              <w:szCs w:val="36"/>
            </w:rPr>
            <w:fldChar w:fldCharType="begin"/>
          </w:r>
          <w:r>
            <w:rPr>
              <w:rFonts w:hint="eastAsia" w:ascii="宋体" w:hAnsi="宋体" w:eastAsia="宋体" w:cs="宋体"/>
              <w:bCs/>
              <w:szCs w:val="36"/>
            </w:rPr>
            <w:instrText xml:space="preserve"> HYPERLINK \l _Toc16265 </w:instrText>
          </w:r>
          <w:r>
            <w:rPr>
              <w:rFonts w:hint="eastAsia" w:ascii="宋体" w:hAnsi="宋体" w:eastAsia="宋体" w:cs="宋体"/>
              <w:bCs/>
              <w:szCs w:val="36"/>
            </w:rPr>
            <w:fldChar w:fldCharType="separate"/>
          </w:r>
          <w:r>
            <w:rPr>
              <w:rFonts w:hint="eastAsia" w:ascii="宋体" w:hAnsi="宋体" w:eastAsia="宋体" w:cs="宋体"/>
              <w:bCs/>
              <w:kern w:val="2"/>
              <w:szCs w:val="36"/>
              <w:lang w:val="en-US" w:eastAsia="zh-CN" w:bidi="ar-SA"/>
            </w:rPr>
            <w:t>第8章与建设单位交换意见情况说明</w:t>
          </w:r>
          <w:r>
            <w:tab/>
          </w:r>
          <w:r>
            <w:fldChar w:fldCharType="begin"/>
          </w:r>
          <w:r>
            <w:instrText xml:space="preserve"> PAGEREF _Toc16265 \h </w:instrText>
          </w:r>
          <w:r>
            <w:fldChar w:fldCharType="separate"/>
          </w:r>
          <w:r>
            <w:t>- 103 -</w:t>
          </w:r>
          <w:r>
            <w:fldChar w:fldCharType="end"/>
          </w:r>
          <w:r>
            <w:rPr>
              <w:rFonts w:hint="eastAsia" w:ascii="宋体" w:hAnsi="宋体" w:eastAsia="宋体" w:cs="宋体"/>
              <w:bCs/>
              <w:color w:val="auto"/>
              <w:szCs w:val="36"/>
            </w:rPr>
            <w:fldChar w:fldCharType="end"/>
          </w:r>
        </w:p>
        <w:p w14:paraId="4CCCBC27">
          <w:pPr>
            <w:bidi w:val="0"/>
            <w:jc w:val="center"/>
            <w:rPr>
              <w:rFonts w:hint="eastAsia" w:ascii="宋体" w:hAnsi="宋体" w:eastAsia="宋体" w:cs="宋体"/>
              <w:bCs/>
              <w:color w:val="auto"/>
              <w:sz w:val="24"/>
              <w:szCs w:val="36"/>
              <w:lang w:val="en-US" w:eastAsia="zh-CN" w:bidi="ar-SA"/>
            </w:rPr>
          </w:pPr>
          <w:r>
            <w:rPr>
              <w:rFonts w:hint="eastAsia" w:ascii="宋体" w:hAnsi="宋体" w:eastAsia="宋体" w:cs="宋体"/>
              <w:bCs/>
              <w:color w:val="auto"/>
              <w:szCs w:val="36"/>
            </w:rPr>
            <w:fldChar w:fldCharType="end"/>
          </w:r>
        </w:p>
      </w:sdtContent>
    </w:sdt>
    <w:p w14:paraId="77CC8113">
      <w:pPr>
        <w:bidi w:val="0"/>
        <w:jc w:val="center"/>
        <w:rPr>
          <w:rFonts w:hint="eastAsia" w:ascii="宋体" w:hAnsi="宋体" w:eastAsia="宋体" w:cs="宋体"/>
          <w:bCs/>
          <w:color w:val="auto"/>
          <w:sz w:val="24"/>
          <w:szCs w:val="36"/>
          <w:lang w:val="en-US" w:eastAsia="zh-CN" w:bidi="ar-SA"/>
        </w:rPr>
      </w:pPr>
    </w:p>
    <w:p w14:paraId="6B9C9EA4">
      <w:pPr>
        <w:bidi w:val="0"/>
        <w:rPr>
          <w:rFonts w:hint="eastAsia" w:ascii="宋体" w:hAnsi="Times New Roman" w:eastAsia="宋体" w:cs="Times New Roman"/>
          <w:sz w:val="24"/>
          <w:lang w:val="en-US" w:eastAsia="zh-CN" w:bidi="ar-SA"/>
        </w:rPr>
      </w:pPr>
    </w:p>
    <w:p w14:paraId="6ECDFD18">
      <w:pPr>
        <w:bidi w:val="0"/>
        <w:rPr>
          <w:rFonts w:hint="eastAsia"/>
          <w:lang w:val="en-US" w:eastAsia="zh-CN"/>
        </w:rPr>
      </w:pPr>
    </w:p>
    <w:p w14:paraId="124421EF">
      <w:pPr>
        <w:bidi w:val="0"/>
        <w:rPr>
          <w:rFonts w:hint="eastAsia"/>
          <w:lang w:val="en-US" w:eastAsia="zh-CN"/>
        </w:rPr>
      </w:pPr>
    </w:p>
    <w:p w14:paraId="1439CD7B">
      <w:pPr>
        <w:bidi w:val="0"/>
        <w:rPr>
          <w:rFonts w:hint="eastAsia"/>
          <w:lang w:val="en-US" w:eastAsia="zh-CN"/>
        </w:rPr>
      </w:pPr>
    </w:p>
    <w:p w14:paraId="762A7B96">
      <w:pPr>
        <w:bidi w:val="0"/>
        <w:rPr>
          <w:rFonts w:hint="eastAsia"/>
          <w:lang w:val="en-US" w:eastAsia="zh-CN"/>
        </w:rPr>
      </w:pPr>
    </w:p>
    <w:p w14:paraId="45147B00">
      <w:pPr>
        <w:bidi w:val="0"/>
        <w:rPr>
          <w:rFonts w:hint="eastAsia"/>
          <w:lang w:val="en-US" w:eastAsia="zh-CN"/>
        </w:rPr>
      </w:pPr>
    </w:p>
    <w:p w14:paraId="6F74A0C5">
      <w:pPr>
        <w:bidi w:val="0"/>
        <w:rPr>
          <w:rFonts w:hint="eastAsia"/>
          <w:lang w:val="en-US" w:eastAsia="zh-CN"/>
        </w:rPr>
      </w:pPr>
    </w:p>
    <w:p w14:paraId="2B8BE7FB">
      <w:pPr>
        <w:bidi w:val="0"/>
        <w:rPr>
          <w:rFonts w:hint="eastAsia"/>
          <w:lang w:val="en-US" w:eastAsia="zh-CN"/>
        </w:rPr>
      </w:pPr>
    </w:p>
    <w:p w14:paraId="4FC0AFC0">
      <w:pPr>
        <w:bidi w:val="0"/>
        <w:rPr>
          <w:rFonts w:hint="eastAsia"/>
          <w:lang w:val="en-US" w:eastAsia="zh-CN"/>
        </w:rPr>
      </w:pPr>
    </w:p>
    <w:p w14:paraId="7C9CD5FD">
      <w:pPr>
        <w:bidi w:val="0"/>
        <w:rPr>
          <w:rFonts w:hint="eastAsia"/>
          <w:lang w:val="en-US" w:eastAsia="zh-CN"/>
        </w:rPr>
      </w:pPr>
    </w:p>
    <w:p w14:paraId="54CCFBB7">
      <w:pPr>
        <w:bidi w:val="0"/>
        <w:rPr>
          <w:rFonts w:hint="eastAsia"/>
          <w:lang w:val="en-US" w:eastAsia="zh-CN"/>
        </w:rPr>
      </w:pPr>
    </w:p>
    <w:p w14:paraId="38092E55">
      <w:pPr>
        <w:bidi w:val="0"/>
        <w:rPr>
          <w:rFonts w:hint="eastAsia"/>
          <w:lang w:val="en-US" w:eastAsia="zh-CN"/>
        </w:rPr>
      </w:pPr>
    </w:p>
    <w:p w14:paraId="1ABAD7BE">
      <w:pPr>
        <w:bidi w:val="0"/>
        <w:rPr>
          <w:rFonts w:hint="eastAsia"/>
          <w:lang w:val="en-US" w:eastAsia="zh-CN"/>
        </w:rPr>
      </w:pPr>
    </w:p>
    <w:p w14:paraId="0FD4C280">
      <w:pPr>
        <w:bidi w:val="0"/>
        <w:rPr>
          <w:rFonts w:hint="eastAsia"/>
          <w:lang w:val="en-US" w:eastAsia="zh-CN"/>
        </w:rPr>
      </w:pPr>
    </w:p>
    <w:p w14:paraId="02C6B2F7">
      <w:pPr>
        <w:bidi w:val="0"/>
        <w:rPr>
          <w:rFonts w:hint="eastAsia"/>
          <w:lang w:val="en-US" w:eastAsia="zh-CN"/>
        </w:rPr>
      </w:pPr>
    </w:p>
    <w:p w14:paraId="26DEE2F3">
      <w:pPr>
        <w:bidi w:val="0"/>
        <w:rPr>
          <w:rFonts w:hint="eastAsia"/>
          <w:lang w:val="en-US" w:eastAsia="zh-CN"/>
        </w:rPr>
      </w:pPr>
    </w:p>
    <w:p w14:paraId="74A219DD">
      <w:pPr>
        <w:bidi w:val="0"/>
        <w:rPr>
          <w:rFonts w:hint="eastAsia"/>
          <w:lang w:val="en-US" w:eastAsia="zh-CN"/>
        </w:rPr>
      </w:pPr>
    </w:p>
    <w:p w14:paraId="1E65CD55">
      <w:pPr>
        <w:tabs>
          <w:tab w:val="center" w:pos="4592"/>
        </w:tabs>
        <w:bidi w:val="0"/>
        <w:jc w:val="left"/>
        <w:rPr>
          <w:rFonts w:hint="eastAsia"/>
          <w:lang w:val="en-US" w:eastAsia="zh-CN"/>
        </w:rPr>
        <w:sectPr>
          <w:pgSz w:w="11906" w:h="16838"/>
          <w:pgMar w:top="1417" w:right="1134" w:bottom="1134" w:left="1587" w:header="851" w:footer="992" w:gutter="0"/>
          <w:cols w:space="0" w:num="1"/>
          <w:rtlGutter w:val="0"/>
          <w:docGrid w:type="lines" w:linePitch="312" w:charSpace="0"/>
        </w:sectPr>
      </w:pPr>
      <w:r>
        <w:rPr>
          <w:rFonts w:hint="eastAsia"/>
          <w:lang w:val="en-US" w:eastAsia="zh-CN"/>
        </w:rPr>
        <w:tab/>
      </w:r>
    </w:p>
    <w:bookmarkEnd w:id="0"/>
    <w:p w14:paraId="51A734BD">
      <w:pPr>
        <w:pageBreakBefore w:val="0"/>
        <w:widowControl w:val="0"/>
        <w:kinsoku/>
        <w:wordWrap/>
        <w:overflowPunct/>
        <w:topLinePunct w:val="0"/>
        <w:autoSpaceDE/>
        <w:autoSpaceDN/>
        <w:bidi w:val="0"/>
        <w:spacing w:line="600" w:lineRule="exact"/>
        <w:jc w:val="center"/>
        <w:textAlignment w:val="auto"/>
        <w:outlineLvl w:val="0"/>
        <w:rPr>
          <w:rFonts w:hint="eastAsia" w:ascii="宋体" w:hAnsi="宋体" w:eastAsia="宋体" w:cs="宋体"/>
          <w:b/>
          <w:bCs/>
          <w:color w:val="auto"/>
          <w:sz w:val="36"/>
          <w:szCs w:val="36"/>
        </w:rPr>
      </w:pPr>
      <w:bookmarkStart w:id="1" w:name="_Toc7902"/>
      <w:bookmarkStart w:id="2" w:name="_Toc14792"/>
      <w:r>
        <w:rPr>
          <w:rFonts w:hint="eastAsia" w:ascii="宋体" w:hAnsi="宋体" w:eastAsia="宋体" w:cs="宋体"/>
          <w:b/>
          <w:bCs/>
          <w:color w:val="auto"/>
          <w:sz w:val="36"/>
          <w:szCs w:val="36"/>
        </w:rPr>
        <w:t>第1章编制说明</w:t>
      </w:r>
      <w:bookmarkEnd w:id="1"/>
      <w:bookmarkEnd w:id="2"/>
    </w:p>
    <w:p w14:paraId="458DF194">
      <w:pPr>
        <w:pStyle w:val="3"/>
        <w:keepNext/>
        <w:keepLines/>
        <w:pageBreakBefore w:val="0"/>
        <w:widowControl w:val="0"/>
        <w:kinsoku/>
        <w:wordWrap/>
        <w:overflowPunct/>
        <w:topLinePunct w:val="0"/>
        <w:autoSpaceDE/>
        <w:autoSpaceDN/>
        <w:bidi w:val="0"/>
        <w:adjustRightInd/>
        <w:snapToGrid w:val="0"/>
        <w:spacing w:before="0" w:after="0" w:line="500" w:lineRule="exact"/>
        <w:textAlignment w:val="auto"/>
        <w:rPr>
          <w:rFonts w:hint="eastAsia" w:ascii="宋体" w:hAnsi="宋体" w:eastAsia="宋体" w:cs="宋体"/>
          <w:color w:val="auto"/>
          <w:kern w:val="0"/>
          <w:sz w:val="30"/>
          <w:szCs w:val="30"/>
        </w:rPr>
      </w:pPr>
      <w:bookmarkStart w:id="3" w:name="_Toc20457"/>
      <w:bookmarkStart w:id="4" w:name="_Toc335926124"/>
      <w:bookmarkStart w:id="5" w:name="_Toc313453419"/>
      <w:bookmarkStart w:id="6" w:name="_Toc15715"/>
      <w:bookmarkStart w:id="7" w:name="_Toc6525"/>
      <w:bookmarkStart w:id="8" w:name="_Toc17743"/>
      <w:bookmarkStart w:id="9" w:name="_Toc26914"/>
      <w:r>
        <w:rPr>
          <w:rFonts w:hint="eastAsia" w:ascii="宋体" w:hAnsi="宋体" w:eastAsia="宋体" w:cs="宋体"/>
          <w:color w:val="auto"/>
          <w:kern w:val="0"/>
          <w:sz w:val="30"/>
          <w:szCs w:val="30"/>
        </w:rPr>
        <w:t>1.1安全评价的目的</w:t>
      </w:r>
      <w:bookmarkEnd w:id="3"/>
      <w:bookmarkEnd w:id="4"/>
      <w:bookmarkEnd w:id="5"/>
      <w:bookmarkEnd w:id="6"/>
      <w:bookmarkEnd w:id="7"/>
      <w:bookmarkEnd w:id="8"/>
      <w:bookmarkEnd w:id="9"/>
    </w:p>
    <w:p w14:paraId="4E5A9483">
      <w:pPr>
        <w:keepNext w:val="0"/>
        <w:keepLines w:val="0"/>
        <w:pageBreakBefore w:val="0"/>
        <w:widowControl w:val="0"/>
        <w:kinsoku/>
        <w:wordWrap/>
        <w:overflowPunct/>
        <w:topLinePunct w:val="0"/>
        <w:autoSpaceDE/>
        <w:autoSpaceDN/>
        <w:bidi w:val="0"/>
        <w:adjustRightInd w:val="0"/>
        <w:snapToGrid w:val="0"/>
        <w:spacing w:line="500" w:lineRule="exact"/>
        <w:ind w:firstLine="560" w:firstLineChars="200"/>
        <w:textAlignment w:val="auto"/>
        <w:rPr>
          <w:rFonts w:hint="eastAsia" w:ascii="宋体" w:hAnsi="宋体" w:eastAsia="宋体" w:cs="宋体"/>
          <w:snapToGrid w:val="0"/>
          <w:color w:val="auto"/>
          <w:sz w:val="28"/>
        </w:rPr>
      </w:pPr>
      <w:bookmarkStart w:id="10" w:name="_Toc121910185"/>
      <w:r>
        <w:rPr>
          <w:rFonts w:hint="eastAsia" w:ascii="宋体" w:hAnsi="宋体" w:eastAsia="宋体" w:cs="宋体"/>
          <w:color w:val="auto"/>
          <w:sz w:val="28"/>
        </w:rPr>
        <w:t>1．为贯彻</w:t>
      </w:r>
      <w:r>
        <w:rPr>
          <w:rFonts w:hint="eastAsia" w:ascii="宋体" w:hAnsi="宋体" w:eastAsia="宋体" w:cs="宋体"/>
          <w:color w:val="auto"/>
          <w:sz w:val="28"/>
          <w:szCs w:val="28"/>
        </w:rPr>
        <w:t>我们党和国家始终不渝的</w:t>
      </w:r>
      <w:r>
        <w:rPr>
          <w:rFonts w:hint="eastAsia" w:ascii="宋体" w:hAnsi="宋体" w:eastAsia="宋体" w:cs="宋体"/>
          <w:color w:val="auto"/>
          <w:sz w:val="28"/>
        </w:rPr>
        <w:t>“安全第一、预防为主、综合治理”</w:t>
      </w:r>
      <w:r>
        <w:rPr>
          <w:rFonts w:hint="eastAsia" w:ascii="宋体" w:hAnsi="宋体" w:eastAsia="宋体" w:cs="宋体"/>
          <w:color w:val="auto"/>
          <w:sz w:val="28"/>
          <w:szCs w:val="28"/>
        </w:rPr>
        <w:t>安全生产方针</w:t>
      </w:r>
      <w:r>
        <w:rPr>
          <w:rFonts w:hint="eastAsia" w:ascii="宋体" w:hAnsi="宋体" w:eastAsia="宋体" w:cs="宋体"/>
          <w:color w:val="auto"/>
          <w:sz w:val="28"/>
        </w:rPr>
        <w:t>，本次安全评价工作的目的是向</w:t>
      </w:r>
      <w:r>
        <w:rPr>
          <w:rFonts w:hint="eastAsia" w:hAnsi="宋体" w:cs="宋体"/>
          <w:color w:val="auto"/>
          <w:sz w:val="28"/>
          <w:lang w:val="en-US" w:eastAsia="zh-CN"/>
        </w:rPr>
        <w:t>云南普菲特数控机械有限公司</w:t>
      </w:r>
      <w:r>
        <w:rPr>
          <w:rFonts w:hint="eastAsia" w:ascii="宋体" w:hAnsi="宋体" w:eastAsia="宋体" w:cs="宋体"/>
          <w:color w:val="auto"/>
          <w:sz w:val="28"/>
          <w:szCs w:val="28"/>
        </w:rPr>
        <w:t>提供安全现状评价报告</w:t>
      </w:r>
      <w:r>
        <w:rPr>
          <w:rFonts w:hint="eastAsia" w:ascii="宋体" w:hAnsi="宋体" w:eastAsia="宋体" w:cs="宋体"/>
          <w:snapToGrid w:val="0"/>
          <w:color w:val="auto"/>
          <w:sz w:val="28"/>
        </w:rPr>
        <w:t>；</w:t>
      </w:r>
    </w:p>
    <w:p w14:paraId="246BBE28">
      <w:pPr>
        <w:keepNext w:val="0"/>
        <w:keepLines w:val="0"/>
        <w:pageBreakBefore w:val="0"/>
        <w:widowControl w:val="0"/>
        <w:kinsoku/>
        <w:wordWrap/>
        <w:overflowPunct/>
        <w:topLinePunct w:val="0"/>
        <w:autoSpaceDE/>
        <w:autoSpaceDN/>
        <w:bidi w:val="0"/>
        <w:adjustRightInd w:val="0"/>
        <w:snapToGrid w:val="0"/>
        <w:spacing w:line="500" w:lineRule="exact"/>
        <w:ind w:firstLine="560" w:firstLineChars="200"/>
        <w:textAlignment w:val="auto"/>
        <w:rPr>
          <w:rFonts w:hint="eastAsia" w:ascii="宋体" w:hAnsi="宋体" w:eastAsia="宋体" w:cs="宋体"/>
          <w:snapToGrid w:val="0"/>
          <w:color w:val="auto"/>
          <w:sz w:val="28"/>
        </w:rPr>
      </w:pPr>
      <w:r>
        <w:rPr>
          <w:rFonts w:hint="eastAsia" w:ascii="宋体" w:hAnsi="宋体" w:eastAsia="宋体" w:cs="宋体"/>
          <w:color w:val="auto"/>
          <w:sz w:val="28"/>
        </w:rPr>
        <w:t>2</w:t>
      </w:r>
      <w:r>
        <w:rPr>
          <w:rFonts w:hint="eastAsia" w:ascii="宋体" w:hAnsi="宋体" w:eastAsia="宋体" w:cs="宋体"/>
          <w:snapToGrid w:val="0"/>
          <w:color w:val="auto"/>
          <w:sz w:val="28"/>
        </w:rPr>
        <w:t>．通过对该公司</w:t>
      </w:r>
      <w:r>
        <w:rPr>
          <w:rFonts w:hint="eastAsia" w:ascii="宋体" w:hAnsi="宋体" w:eastAsia="宋体" w:cs="宋体"/>
          <w:snapToGrid w:val="0"/>
          <w:color w:val="auto"/>
          <w:sz w:val="28"/>
          <w:lang w:val="en-US" w:eastAsia="zh-CN"/>
        </w:rPr>
        <w:t>机床制造</w:t>
      </w:r>
      <w:r>
        <w:rPr>
          <w:rFonts w:hint="eastAsia" w:ascii="宋体" w:hAnsi="宋体" w:eastAsia="宋体" w:cs="宋体"/>
          <w:snapToGrid w:val="0"/>
          <w:color w:val="auto"/>
          <w:sz w:val="28"/>
        </w:rPr>
        <w:t>过程中的危险、有害因素辨识，</w:t>
      </w:r>
      <w:r>
        <w:rPr>
          <w:rFonts w:hint="eastAsia" w:ascii="宋体" w:hAnsi="宋体" w:eastAsia="宋体" w:cs="宋体"/>
          <w:color w:val="auto"/>
          <w:sz w:val="28"/>
          <w:szCs w:val="28"/>
        </w:rPr>
        <w:t>分析出可能存在的主要危险、有害因素及其产生危险、危害后果的主要条件；</w:t>
      </w:r>
      <w:r>
        <w:rPr>
          <w:rFonts w:hint="eastAsia" w:ascii="宋体" w:hAnsi="宋体" w:eastAsia="宋体" w:cs="宋体"/>
          <w:snapToGrid w:val="0"/>
          <w:color w:val="auto"/>
          <w:sz w:val="28"/>
        </w:rPr>
        <w:t>预测发生事故或造成职业危害的可能性及其严重程度，并提出科学、合理、可行的安全对策措施建议；</w:t>
      </w:r>
    </w:p>
    <w:p w14:paraId="5F52930F">
      <w:pPr>
        <w:keepNext w:val="0"/>
        <w:keepLines w:val="0"/>
        <w:pageBreakBefore w:val="0"/>
        <w:widowControl w:val="0"/>
        <w:kinsoku/>
        <w:wordWrap/>
        <w:overflowPunct/>
        <w:topLinePunct w:val="0"/>
        <w:autoSpaceDE/>
        <w:autoSpaceDN/>
        <w:bidi w:val="0"/>
        <w:adjustRightInd w:val="0"/>
        <w:snapToGrid w:val="0"/>
        <w:spacing w:line="500" w:lineRule="exact"/>
        <w:ind w:firstLine="560" w:firstLineChars="200"/>
        <w:textAlignment w:val="auto"/>
        <w:rPr>
          <w:rFonts w:hint="eastAsia" w:ascii="宋体" w:hAnsi="宋体" w:eastAsia="宋体" w:cs="宋体"/>
          <w:snapToGrid w:val="0"/>
          <w:color w:val="auto"/>
          <w:sz w:val="28"/>
        </w:rPr>
      </w:pPr>
      <w:r>
        <w:rPr>
          <w:rFonts w:hint="eastAsia" w:ascii="宋体" w:hAnsi="宋体" w:eastAsia="宋体" w:cs="宋体"/>
          <w:snapToGrid w:val="0"/>
          <w:color w:val="auto"/>
          <w:sz w:val="28"/>
          <w:szCs w:val="30"/>
        </w:rPr>
        <w:t>3．</w:t>
      </w:r>
      <w:r>
        <w:rPr>
          <w:rFonts w:hint="eastAsia" w:ascii="宋体" w:hAnsi="宋体" w:eastAsia="宋体" w:cs="宋体"/>
          <w:snapToGrid w:val="0"/>
          <w:color w:val="auto"/>
          <w:sz w:val="28"/>
        </w:rPr>
        <w:t>通过安全评价，该企业可进一步全面了解和掌握企业安全生产条件和安全管理状况，并通过完善安全措施，提高企业本质安全程度，预防事故发生，保障人员的生命安全及企业的财产安全；</w:t>
      </w:r>
    </w:p>
    <w:p w14:paraId="22C7C308">
      <w:pPr>
        <w:keepNext w:val="0"/>
        <w:keepLines w:val="0"/>
        <w:pageBreakBefore w:val="0"/>
        <w:widowControl w:val="0"/>
        <w:kinsoku/>
        <w:wordWrap/>
        <w:overflowPunct/>
        <w:topLinePunct w:val="0"/>
        <w:autoSpaceDE/>
        <w:autoSpaceDN/>
        <w:bidi w:val="0"/>
        <w:adjustRightInd w:val="0"/>
        <w:snapToGrid w:val="0"/>
        <w:spacing w:line="500" w:lineRule="exact"/>
        <w:ind w:firstLine="560" w:firstLineChars="200"/>
        <w:textAlignment w:val="auto"/>
        <w:rPr>
          <w:rFonts w:hint="eastAsia" w:ascii="宋体" w:hAnsi="宋体" w:eastAsia="宋体" w:cs="宋体"/>
          <w:color w:val="auto"/>
          <w:sz w:val="28"/>
        </w:rPr>
      </w:pPr>
      <w:r>
        <w:rPr>
          <w:rFonts w:hint="eastAsia" w:ascii="宋体" w:hAnsi="宋体" w:eastAsia="宋体" w:cs="宋体"/>
          <w:snapToGrid w:val="0"/>
          <w:color w:val="auto"/>
          <w:sz w:val="28"/>
          <w:szCs w:val="30"/>
        </w:rPr>
        <w:t>4</w:t>
      </w:r>
      <w:r>
        <w:rPr>
          <w:rFonts w:hint="eastAsia" w:ascii="宋体" w:hAnsi="宋体" w:eastAsia="宋体" w:cs="宋体"/>
          <w:color w:val="auto"/>
          <w:sz w:val="28"/>
        </w:rPr>
        <w:t>．为该企业生产运行以及日常管理提供依据，</w:t>
      </w:r>
      <w:r>
        <w:rPr>
          <w:rFonts w:hint="eastAsia" w:ascii="宋体" w:hAnsi="宋体" w:eastAsia="宋体" w:cs="宋体"/>
          <w:snapToGrid w:val="0"/>
          <w:color w:val="auto"/>
          <w:sz w:val="28"/>
          <w:szCs w:val="28"/>
        </w:rPr>
        <w:t>为实现企业安全技术、安全管理的标准化和科学化创造条件，</w:t>
      </w:r>
      <w:r>
        <w:rPr>
          <w:rFonts w:hint="eastAsia" w:ascii="宋体" w:hAnsi="宋体" w:eastAsia="宋体" w:cs="宋体"/>
          <w:color w:val="auto"/>
          <w:sz w:val="28"/>
        </w:rPr>
        <w:t>并为各级安全生产监督管理部门和行业主管部门实行安全监察、监督提供依据。</w:t>
      </w:r>
      <w:bookmarkEnd w:id="10"/>
      <w:bookmarkStart w:id="11" w:name="_Toc10910"/>
      <w:bookmarkStart w:id="12" w:name="_Toc2586"/>
      <w:bookmarkStart w:id="13" w:name="_Toc313453420"/>
      <w:bookmarkStart w:id="14" w:name="_Toc22448"/>
      <w:bookmarkStart w:id="15" w:name="_Toc335926125"/>
    </w:p>
    <w:p w14:paraId="219176FF">
      <w:pPr>
        <w:keepNext w:val="0"/>
        <w:keepLines w:val="0"/>
        <w:pageBreakBefore w:val="0"/>
        <w:widowControl w:val="0"/>
        <w:kinsoku/>
        <w:wordWrap/>
        <w:overflowPunct/>
        <w:topLinePunct w:val="0"/>
        <w:autoSpaceDE/>
        <w:autoSpaceDN/>
        <w:bidi w:val="0"/>
        <w:adjustRightInd w:val="0"/>
        <w:snapToGrid w:val="0"/>
        <w:spacing w:line="500" w:lineRule="exact"/>
        <w:textAlignment w:val="auto"/>
        <w:outlineLvl w:val="1"/>
        <w:rPr>
          <w:rFonts w:hint="eastAsia" w:ascii="宋体" w:hAnsi="宋体" w:eastAsia="宋体" w:cs="宋体"/>
          <w:b/>
          <w:bCs/>
          <w:color w:val="auto"/>
          <w:kern w:val="0"/>
          <w:sz w:val="30"/>
          <w:szCs w:val="30"/>
        </w:rPr>
      </w:pPr>
      <w:bookmarkStart w:id="16" w:name="_Toc31085"/>
      <w:bookmarkStart w:id="17" w:name="_Toc15353"/>
      <w:r>
        <w:rPr>
          <w:rFonts w:hint="eastAsia" w:ascii="宋体" w:hAnsi="宋体" w:eastAsia="宋体" w:cs="宋体"/>
          <w:b/>
          <w:bCs/>
          <w:color w:val="auto"/>
          <w:kern w:val="0"/>
          <w:sz w:val="30"/>
          <w:szCs w:val="30"/>
        </w:rPr>
        <w:t>1.2安全评价依据</w:t>
      </w:r>
      <w:bookmarkEnd w:id="11"/>
      <w:bookmarkEnd w:id="12"/>
      <w:bookmarkEnd w:id="13"/>
      <w:bookmarkEnd w:id="14"/>
      <w:bookmarkEnd w:id="15"/>
      <w:bookmarkEnd w:id="16"/>
      <w:bookmarkEnd w:id="17"/>
    </w:p>
    <w:p w14:paraId="70B09B84">
      <w:pPr>
        <w:pStyle w:val="4"/>
        <w:keepNext/>
        <w:keepLines/>
        <w:pageBreakBefore w:val="0"/>
        <w:widowControl w:val="0"/>
        <w:kinsoku/>
        <w:wordWrap/>
        <w:overflowPunct/>
        <w:topLinePunct w:val="0"/>
        <w:autoSpaceDE/>
        <w:autoSpaceDN/>
        <w:bidi w:val="0"/>
        <w:adjustRightInd/>
        <w:snapToGrid w:val="0"/>
        <w:spacing w:before="0" w:after="0" w:line="500" w:lineRule="exact"/>
        <w:ind w:leftChars="0" w:firstLine="562" w:firstLineChars="200"/>
        <w:textAlignment w:val="auto"/>
        <w:rPr>
          <w:rFonts w:hint="eastAsia" w:ascii="宋体" w:hAnsi="宋体" w:eastAsia="宋体" w:cs="宋体"/>
          <w:snapToGrid w:val="0"/>
          <w:color w:val="auto"/>
          <w:kern w:val="0"/>
          <w:sz w:val="28"/>
          <w:szCs w:val="28"/>
        </w:rPr>
      </w:pPr>
      <w:bookmarkStart w:id="18" w:name="_Toc22500"/>
      <w:bookmarkStart w:id="19" w:name="_Toc313453421"/>
      <w:bookmarkStart w:id="20" w:name="_Toc8798"/>
      <w:bookmarkStart w:id="21" w:name="_Toc20655"/>
      <w:bookmarkStart w:id="22" w:name="_Toc25627"/>
      <w:bookmarkStart w:id="23" w:name="_Toc335926126"/>
      <w:bookmarkStart w:id="24" w:name="_Toc7156"/>
      <w:r>
        <w:rPr>
          <w:rFonts w:hint="eastAsia" w:ascii="宋体" w:hAnsi="宋体" w:eastAsia="宋体" w:cs="宋体"/>
          <w:snapToGrid w:val="0"/>
          <w:color w:val="auto"/>
          <w:kern w:val="0"/>
          <w:sz w:val="28"/>
          <w:szCs w:val="28"/>
        </w:rPr>
        <w:t>1</w:t>
      </w:r>
      <w:r>
        <w:rPr>
          <w:rFonts w:hint="eastAsia" w:ascii="宋体" w:hAnsi="宋体" w:eastAsia="宋体" w:cs="宋体"/>
          <w:color w:val="auto"/>
          <w:kern w:val="0"/>
          <w:sz w:val="28"/>
          <w:szCs w:val="28"/>
        </w:rPr>
        <w:t>.</w:t>
      </w:r>
      <w:r>
        <w:rPr>
          <w:rFonts w:hint="eastAsia" w:ascii="宋体" w:hAnsi="宋体" w:eastAsia="宋体" w:cs="宋体"/>
          <w:snapToGrid w:val="0"/>
          <w:color w:val="auto"/>
          <w:kern w:val="0"/>
          <w:sz w:val="28"/>
          <w:szCs w:val="28"/>
        </w:rPr>
        <w:t>2</w:t>
      </w:r>
      <w:r>
        <w:rPr>
          <w:rFonts w:hint="eastAsia" w:ascii="宋体" w:hAnsi="宋体" w:eastAsia="宋体" w:cs="宋体"/>
          <w:color w:val="auto"/>
          <w:kern w:val="0"/>
          <w:sz w:val="28"/>
          <w:szCs w:val="28"/>
        </w:rPr>
        <w:t>.</w:t>
      </w:r>
      <w:r>
        <w:rPr>
          <w:rFonts w:hint="eastAsia" w:ascii="宋体" w:hAnsi="宋体" w:eastAsia="宋体" w:cs="宋体"/>
          <w:snapToGrid w:val="0"/>
          <w:color w:val="auto"/>
          <w:kern w:val="0"/>
          <w:sz w:val="28"/>
          <w:szCs w:val="28"/>
        </w:rPr>
        <w:t>1法律法规</w:t>
      </w:r>
      <w:bookmarkEnd w:id="18"/>
      <w:bookmarkEnd w:id="19"/>
      <w:bookmarkEnd w:id="20"/>
      <w:bookmarkEnd w:id="21"/>
      <w:bookmarkEnd w:id="22"/>
      <w:bookmarkEnd w:id="23"/>
      <w:bookmarkEnd w:id="24"/>
    </w:p>
    <w:p w14:paraId="3AAF5B28">
      <w:pPr>
        <w:keepNext w:val="0"/>
        <w:keepLines w:val="0"/>
        <w:pageBreakBefore w:val="0"/>
        <w:widowControl w:val="0"/>
        <w:kinsoku w:val="0"/>
        <w:wordWrap/>
        <w:overflowPunct w:val="0"/>
        <w:topLinePunct w:val="0"/>
        <w:autoSpaceDE/>
        <w:autoSpaceDN/>
        <w:bidi w:val="0"/>
        <w:adjustRightInd/>
        <w:snapToGrid/>
        <w:spacing w:line="500" w:lineRule="exact"/>
        <w:ind w:left="0" w:firstLine="560" w:firstLineChars="200"/>
        <w:textAlignment w:val="auto"/>
        <w:rPr>
          <w:rFonts w:hint="eastAsia" w:ascii="宋体" w:hAnsi="宋体" w:eastAsia="宋体" w:cs="宋体"/>
          <w:snapToGrid w:val="0"/>
          <w:color w:val="auto"/>
          <w:sz w:val="28"/>
          <w:szCs w:val="30"/>
          <w:highlight w:val="none"/>
        </w:rPr>
      </w:pPr>
      <w:r>
        <w:rPr>
          <w:rFonts w:hint="eastAsia" w:ascii="宋体" w:hAnsi="宋体" w:eastAsia="宋体" w:cs="宋体"/>
          <w:snapToGrid w:val="0"/>
          <w:color w:val="auto"/>
          <w:sz w:val="28"/>
          <w:szCs w:val="30"/>
          <w:highlight w:val="none"/>
        </w:rPr>
        <w:t>1</w:t>
      </w:r>
      <w:r>
        <w:rPr>
          <w:rFonts w:hint="eastAsia" w:ascii="宋体" w:hAnsi="宋体" w:eastAsia="宋体" w:cs="宋体"/>
          <w:snapToGrid w:val="0"/>
          <w:color w:val="auto"/>
          <w:sz w:val="28"/>
          <w:szCs w:val="30"/>
          <w:highlight w:val="none"/>
          <w:lang w:val="en-US" w:eastAsia="zh-CN"/>
        </w:rPr>
        <w:t>、</w:t>
      </w:r>
      <w:r>
        <w:rPr>
          <w:rFonts w:hint="eastAsia" w:ascii="宋体" w:hAnsi="宋体" w:eastAsia="宋体" w:cs="宋体"/>
          <w:snapToGrid w:val="0"/>
          <w:color w:val="auto"/>
          <w:sz w:val="28"/>
          <w:szCs w:val="30"/>
          <w:highlight w:val="none"/>
        </w:rPr>
        <w:t>《中华人民共和国安全生产法》（中华人</w:t>
      </w:r>
      <w:r>
        <w:rPr>
          <w:rFonts w:hint="eastAsia" w:ascii="宋体" w:hAnsi="宋体" w:eastAsia="宋体" w:cs="宋体"/>
          <w:snapToGrid w:val="0"/>
          <w:color w:val="auto"/>
          <w:sz w:val="28"/>
          <w:szCs w:val="30"/>
          <w:highlight w:val="none"/>
          <w:lang w:eastAsia="zh-CN"/>
        </w:rPr>
        <w:t>民</w:t>
      </w:r>
      <w:r>
        <w:rPr>
          <w:rFonts w:hint="eastAsia" w:ascii="宋体" w:hAnsi="宋体" w:eastAsia="宋体" w:cs="宋体"/>
          <w:snapToGrid w:val="0"/>
          <w:color w:val="auto"/>
          <w:sz w:val="28"/>
          <w:szCs w:val="30"/>
          <w:highlight w:val="none"/>
        </w:rPr>
        <w:t>共和国主席令第88号，全国人民代表大会常务委员会关于修改&lt;中华人民共和国安全生产法〉的决定，已由中华人民共和国第十三届全国人民代表大会常务委员会第二十九次会议于2021年6月10日通过，现予公布，自2021年9月1日起施行）；</w:t>
      </w:r>
    </w:p>
    <w:p w14:paraId="1F13892A">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napToGrid w:val="0"/>
          <w:color w:val="auto"/>
          <w:sz w:val="28"/>
          <w:szCs w:val="30"/>
          <w:highlight w:val="none"/>
        </w:rPr>
      </w:pPr>
      <w:r>
        <w:rPr>
          <w:rFonts w:hint="eastAsia" w:ascii="宋体" w:hAnsi="宋体" w:eastAsia="宋体" w:cs="宋体"/>
          <w:snapToGrid w:val="0"/>
          <w:color w:val="auto"/>
          <w:sz w:val="28"/>
          <w:szCs w:val="30"/>
          <w:highlight w:val="none"/>
        </w:rPr>
        <w:t>2、</w:t>
      </w:r>
      <w:r>
        <w:rPr>
          <w:rFonts w:hint="eastAsia" w:ascii="宋体" w:hAnsi="宋体" w:eastAsia="宋体" w:cs="宋体"/>
          <w:color w:val="auto"/>
          <w:sz w:val="28"/>
          <w:szCs w:val="28"/>
          <w:highlight w:val="none"/>
        </w:rPr>
        <w:t>《中华人民共和国劳动法》（中华人民共和国主席令第</w:t>
      </w:r>
      <w:r>
        <w:rPr>
          <w:rFonts w:hint="eastAsia" w:ascii="宋体" w:hAnsi="宋体" w:eastAsia="宋体" w:cs="宋体"/>
          <w:color w:val="auto"/>
          <w:sz w:val="28"/>
          <w:szCs w:val="28"/>
          <w:highlight w:val="none"/>
          <w:lang w:val="en-US" w:eastAsia="zh-CN"/>
        </w:rPr>
        <w:t>23</w:t>
      </w:r>
      <w:r>
        <w:rPr>
          <w:rFonts w:hint="eastAsia" w:ascii="宋体" w:hAnsi="宋体" w:eastAsia="宋体" w:cs="宋体"/>
          <w:color w:val="auto"/>
          <w:sz w:val="28"/>
          <w:szCs w:val="28"/>
          <w:highlight w:val="none"/>
        </w:rPr>
        <w:t>号，根据2018年12月29日第十三届全国人民代表大会常务委员会第七次会议《关于修改〈中华人民共和国劳动法〉等七部法律的决定》第二次修正</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2018</w:t>
      </w:r>
      <w:r>
        <w:rPr>
          <w:rFonts w:hint="eastAsia" w:ascii="宋体" w:hAnsi="宋体" w:eastAsia="宋体" w:cs="宋体"/>
          <w:color w:val="auto"/>
          <w:sz w:val="28"/>
          <w:szCs w:val="28"/>
          <w:highlight w:val="none"/>
          <w:lang w:val="en-US" w:eastAsia="zh-CN"/>
        </w:rPr>
        <w:t>年</w:t>
      </w:r>
      <w:r>
        <w:rPr>
          <w:rFonts w:hint="eastAsia" w:ascii="宋体" w:hAnsi="宋体" w:eastAsia="宋体" w:cs="宋体"/>
          <w:color w:val="auto"/>
          <w:sz w:val="28"/>
          <w:szCs w:val="28"/>
          <w:highlight w:val="none"/>
        </w:rPr>
        <w:t>12</w:t>
      </w:r>
      <w:r>
        <w:rPr>
          <w:rFonts w:hint="eastAsia" w:ascii="宋体" w:hAnsi="宋体" w:eastAsia="宋体" w:cs="宋体"/>
          <w:color w:val="auto"/>
          <w:sz w:val="28"/>
          <w:szCs w:val="28"/>
          <w:highlight w:val="none"/>
          <w:lang w:val="en-US" w:eastAsia="zh-CN"/>
        </w:rPr>
        <w:t>月</w:t>
      </w:r>
      <w:r>
        <w:rPr>
          <w:rFonts w:hint="eastAsia" w:ascii="宋体" w:hAnsi="宋体" w:eastAsia="宋体" w:cs="宋体"/>
          <w:color w:val="auto"/>
          <w:sz w:val="28"/>
          <w:szCs w:val="28"/>
          <w:highlight w:val="none"/>
        </w:rPr>
        <w:t>29</w:t>
      </w:r>
      <w:r>
        <w:rPr>
          <w:rFonts w:hint="eastAsia" w:ascii="宋体" w:hAnsi="宋体" w:eastAsia="宋体" w:cs="宋体"/>
          <w:color w:val="auto"/>
          <w:sz w:val="28"/>
          <w:szCs w:val="28"/>
          <w:highlight w:val="none"/>
          <w:lang w:val="en-US" w:eastAsia="zh-CN"/>
        </w:rPr>
        <w:t>日施行</w:t>
      </w:r>
      <w:r>
        <w:rPr>
          <w:rFonts w:hint="eastAsia" w:ascii="宋体" w:hAnsi="宋体" w:eastAsia="宋体" w:cs="宋体"/>
          <w:color w:val="auto"/>
          <w:sz w:val="28"/>
          <w:szCs w:val="28"/>
          <w:highlight w:val="none"/>
        </w:rPr>
        <w:t>）</w:t>
      </w:r>
      <w:r>
        <w:rPr>
          <w:rFonts w:hint="eastAsia" w:ascii="宋体" w:hAnsi="宋体" w:eastAsia="宋体" w:cs="宋体"/>
          <w:snapToGrid w:val="0"/>
          <w:color w:val="auto"/>
          <w:sz w:val="28"/>
          <w:szCs w:val="30"/>
          <w:highlight w:val="none"/>
        </w:rPr>
        <w:t>；</w:t>
      </w:r>
    </w:p>
    <w:p w14:paraId="57A700E3">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lang w:val="en-US" w:eastAsia="zh-CN"/>
        </w:rPr>
        <w:t>3</w:t>
      </w:r>
      <w:r>
        <w:rPr>
          <w:rFonts w:hint="eastAsia" w:ascii="宋体" w:hAnsi="宋体" w:eastAsia="宋体" w:cs="宋体"/>
          <w:snapToGrid w:val="0"/>
          <w:color w:val="auto"/>
          <w:sz w:val="28"/>
          <w:szCs w:val="30"/>
        </w:rPr>
        <w:t>、</w:t>
      </w:r>
      <w:r>
        <w:rPr>
          <w:rFonts w:hint="eastAsia" w:ascii="宋体" w:hAnsi="宋体" w:eastAsia="宋体" w:cs="宋体"/>
          <w:color w:val="auto"/>
          <w:sz w:val="28"/>
          <w:szCs w:val="28"/>
        </w:rPr>
        <w:t>《中华人民共和国消防法》（中华人民共和国主席令第八十一号</w:t>
      </w:r>
      <w:r>
        <w:rPr>
          <w:rFonts w:hint="eastAsia" w:hAnsi="宋体" w:cs="宋体"/>
          <w:color w:val="auto"/>
          <w:sz w:val="28"/>
          <w:szCs w:val="28"/>
          <w:lang w:val="en-US" w:eastAsia="zh-CN"/>
        </w:rPr>
        <w:t xml:space="preserve"> 《全国人民代表大会常务委员会关于修改〈中华人民共和国道路交通安全法〉等八部法律的决定》已由中华人民共和国第十三届全国人民代表大会常务委员会第二十八次会议于 2021 年 4 月 29 日通过，现予公布，自公布之日起施行。</w:t>
      </w:r>
      <w:r>
        <w:rPr>
          <w:rFonts w:hint="eastAsia" w:ascii="宋体" w:hAnsi="宋体" w:eastAsia="宋体" w:cs="宋体"/>
          <w:color w:val="auto"/>
          <w:sz w:val="28"/>
          <w:szCs w:val="28"/>
        </w:rPr>
        <w:t>）</w:t>
      </w:r>
      <w:r>
        <w:rPr>
          <w:rFonts w:hint="eastAsia" w:ascii="宋体" w:hAnsi="宋体" w:eastAsia="宋体" w:cs="宋体"/>
          <w:snapToGrid w:val="0"/>
          <w:color w:val="auto"/>
          <w:sz w:val="28"/>
          <w:szCs w:val="30"/>
        </w:rPr>
        <w:t>；</w:t>
      </w:r>
    </w:p>
    <w:p w14:paraId="34ACB4FA">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lang w:val="en-US" w:eastAsia="zh-CN"/>
        </w:rPr>
        <w:t>4</w:t>
      </w:r>
      <w:r>
        <w:rPr>
          <w:rFonts w:hint="eastAsia" w:ascii="宋体" w:hAnsi="宋体" w:eastAsia="宋体" w:cs="宋体"/>
          <w:snapToGrid w:val="0"/>
          <w:color w:val="auto"/>
          <w:sz w:val="28"/>
          <w:szCs w:val="30"/>
        </w:rPr>
        <w:t>、</w:t>
      </w:r>
      <w:r>
        <w:rPr>
          <w:rFonts w:hint="eastAsia" w:ascii="宋体" w:hAnsi="宋体" w:eastAsia="宋体" w:cs="宋体"/>
          <w:color w:val="auto"/>
          <w:sz w:val="28"/>
          <w:szCs w:val="28"/>
        </w:rPr>
        <w:t>《中华人民共和国职业病防治法》（中华人民共和国主席令第24号，2018年12月29日第三次修正）</w:t>
      </w:r>
      <w:r>
        <w:rPr>
          <w:rFonts w:hint="eastAsia" w:ascii="宋体" w:hAnsi="宋体" w:eastAsia="宋体" w:cs="宋体"/>
          <w:snapToGrid w:val="0"/>
          <w:color w:val="auto"/>
          <w:sz w:val="28"/>
          <w:szCs w:val="30"/>
        </w:rPr>
        <w:t>；</w:t>
      </w:r>
    </w:p>
    <w:p w14:paraId="63DEB817">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lang w:val="en-US" w:eastAsia="zh-CN"/>
        </w:rPr>
        <w:t>5</w:t>
      </w:r>
      <w:r>
        <w:rPr>
          <w:rFonts w:hint="eastAsia" w:ascii="宋体" w:hAnsi="宋体" w:eastAsia="宋体" w:cs="宋体"/>
          <w:snapToGrid w:val="0"/>
          <w:color w:val="auto"/>
          <w:sz w:val="28"/>
          <w:szCs w:val="30"/>
        </w:rPr>
        <w:t>、《中华人民共和国大气污染防治法》（中华人民共和国主席令第31号）；</w:t>
      </w:r>
    </w:p>
    <w:p w14:paraId="7E1C9BD9">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snapToGrid w:val="0"/>
          <w:color w:val="auto"/>
          <w:sz w:val="28"/>
          <w:szCs w:val="30"/>
          <w:lang w:val="en-US" w:eastAsia="zh-CN"/>
        </w:rPr>
        <w:t>6</w:t>
      </w:r>
      <w:r>
        <w:rPr>
          <w:rFonts w:hint="eastAsia" w:ascii="宋体" w:hAnsi="宋体" w:eastAsia="宋体" w:cs="宋体"/>
          <w:snapToGrid w:val="0"/>
          <w:color w:val="auto"/>
          <w:sz w:val="28"/>
          <w:szCs w:val="30"/>
        </w:rPr>
        <w:t>、</w:t>
      </w:r>
      <w:r>
        <w:rPr>
          <w:rFonts w:hint="eastAsia" w:ascii="宋体" w:hAnsi="宋体" w:eastAsia="宋体" w:cs="宋体"/>
          <w:color w:val="auto"/>
          <w:sz w:val="28"/>
          <w:szCs w:val="28"/>
        </w:rPr>
        <w:t>《中华人民共和国环境保护法》（中华人民共和国主席令第9号，自2015年1月1日起施行）；</w:t>
      </w:r>
    </w:p>
    <w:p w14:paraId="35C8EB75">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snapToGrid w:val="0"/>
          <w:color w:val="000000" w:themeColor="text1"/>
          <w:sz w:val="28"/>
          <w:szCs w:val="30"/>
          <w:shd w:val="clear" w:color="auto" w:fill="auto"/>
          <w:lang w:val="en-US" w:eastAsia="zh-CN"/>
          <w14:textFill>
            <w14:solidFill>
              <w14:schemeClr w14:val="tx1"/>
            </w14:solidFill>
          </w14:textFill>
        </w:rPr>
        <w:t>7</w:t>
      </w:r>
      <w:r>
        <w:rPr>
          <w:rFonts w:hint="eastAsia" w:ascii="宋体" w:hAnsi="宋体" w:eastAsia="宋体" w:cs="宋体"/>
          <w:snapToGrid w:val="0"/>
          <w:color w:val="000000" w:themeColor="text1"/>
          <w:sz w:val="28"/>
          <w:szCs w:val="30"/>
          <w:shd w:val="clear" w:color="auto" w:fill="auto"/>
          <w14:textFill>
            <w14:solidFill>
              <w14:schemeClr w14:val="tx1"/>
            </w14:solidFill>
          </w14:textFill>
        </w:rPr>
        <w:t>、</w:t>
      </w:r>
      <w:r>
        <w:rPr>
          <w:rFonts w:hint="eastAsia" w:ascii="宋体" w:hAnsi="宋体" w:eastAsia="宋体" w:cs="宋体"/>
          <w:i w:val="0"/>
          <w:iCs w:val="0"/>
          <w:caps w:val="0"/>
          <w:color w:val="000000" w:themeColor="text1"/>
          <w:spacing w:val="0"/>
          <w:sz w:val="28"/>
          <w:szCs w:val="28"/>
          <w:shd w:val="clear" w:color="auto" w:fill="auto"/>
          <w14:textFill>
            <w14:solidFill>
              <w14:schemeClr w14:val="tx1"/>
            </w14:solidFill>
          </w14:textFill>
        </w:rPr>
        <w:t>《</w:t>
      </w:r>
      <w:r>
        <w:rPr>
          <w:rFonts w:hint="eastAsia" w:ascii="宋体" w:hAnsi="宋体" w:eastAsia="宋体" w:cs="宋体"/>
          <w:color w:val="000000" w:themeColor="text1"/>
          <w:sz w:val="28"/>
          <w:szCs w:val="28"/>
          <w:shd w:val="clear" w:color="auto" w:fill="auto"/>
          <w14:textFill>
            <w14:solidFill>
              <w14:schemeClr w14:val="tx1"/>
            </w14:solidFill>
          </w14:textFill>
        </w:rPr>
        <w:t>中华人民共和国能源法》（中华人民共和国主席令第</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37</w:t>
      </w:r>
      <w:r>
        <w:rPr>
          <w:rFonts w:hint="eastAsia" w:ascii="宋体" w:hAnsi="宋体" w:eastAsia="宋体" w:cs="宋体"/>
          <w:color w:val="000000" w:themeColor="text1"/>
          <w:sz w:val="28"/>
          <w:szCs w:val="28"/>
          <w:shd w:val="clear" w:color="auto" w:fill="auto"/>
          <w14:textFill>
            <w14:solidFill>
              <w14:schemeClr w14:val="tx1"/>
            </w14:solidFill>
          </w14:textFill>
        </w:rPr>
        <w:t>号</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w:t>
      </w:r>
      <w:r>
        <w:rPr>
          <w:rFonts w:hint="eastAsia" w:ascii="宋体" w:hAnsi="宋体" w:eastAsia="宋体" w:cs="宋体"/>
          <w:color w:val="000000" w:themeColor="text1"/>
          <w:sz w:val="28"/>
          <w:szCs w:val="28"/>
          <w:shd w:val="clear" w:color="auto" w:fill="auto"/>
          <w14:textFill>
            <w14:solidFill>
              <w14:schemeClr w14:val="tx1"/>
            </w14:solidFill>
          </w14:textFill>
        </w:rPr>
        <w:t>自2025年1月1日起施行）。</w:t>
      </w:r>
    </w:p>
    <w:p w14:paraId="2DF620E8">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hAnsi="宋体" w:cs="宋体"/>
          <w:color w:val="000000" w:themeColor="text1"/>
          <w:sz w:val="28"/>
          <w:szCs w:val="28"/>
          <w:shd w:val="clear" w:color="auto" w:fill="auto"/>
          <w:lang w:val="en-US" w:eastAsia="zh-CN"/>
          <w14:textFill>
            <w14:solidFill>
              <w14:schemeClr w14:val="tx1"/>
            </w14:solidFill>
          </w14:textFill>
        </w:rPr>
        <w:t>8、</w:t>
      </w:r>
      <w:r>
        <w:rPr>
          <w:rFonts w:hint="eastAsia" w:ascii="宋体" w:hAnsi="宋体" w:eastAsia="宋体" w:cs="宋体"/>
          <w:color w:val="000000" w:themeColor="text1"/>
          <w:sz w:val="28"/>
          <w:szCs w:val="28"/>
          <w:shd w:val="clear" w:color="auto" w:fill="auto"/>
          <w14:textFill>
            <w14:solidFill>
              <w14:schemeClr w14:val="tx1"/>
            </w14:solidFill>
          </w14:textFill>
        </w:rPr>
        <w:t>《中华人民共和国突发事件应对法》（中华人民共和国主席令第</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25</w:t>
      </w:r>
      <w:r>
        <w:rPr>
          <w:rFonts w:hint="eastAsia" w:ascii="宋体" w:hAnsi="宋体" w:eastAsia="宋体" w:cs="宋体"/>
          <w:color w:val="000000" w:themeColor="text1"/>
          <w:sz w:val="28"/>
          <w:szCs w:val="28"/>
          <w:shd w:val="clear" w:color="auto" w:fill="auto"/>
          <w14:textFill>
            <w14:solidFill>
              <w14:schemeClr w14:val="tx1"/>
            </w14:solidFill>
          </w14:textFill>
        </w:rPr>
        <w:t>号</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w:t>
      </w:r>
      <w:r>
        <w:rPr>
          <w:rFonts w:hint="eastAsia" w:ascii="宋体" w:hAnsi="宋体" w:eastAsia="宋体" w:cs="宋体"/>
          <w:color w:val="000000" w:themeColor="text1"/>
          <w:sz w:val="28"/>
          <w:szCs w:val="28"/>
          <w:shd w:val="clear" w:color="auto" w:fill="auto"/>
          <w14:textFill>
            <w14:solidFill>
              <w14:schemeClr w14:val="tx1"/>
            </w14:solidFill>
          </w14:textFill>
        </w:rPr>
        <w:t>自202</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4</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11</w:t>
      </w:r>
      <w:r>
        <w:rPr>
          <w:rFonts w:hint="eastAsia" w:ascii="宋体" w:hAnsi="宋体" w:eastAsia="宋体" w:cs="宋体"/>
          <w:color w:val="000000" w:themeColor="text1"/>
          <w:sz w:val="28"/>
          <w:szCs w:val="28"/>
          <w:shd w:val="clear" w:color="auto" w:fill="auto"/>
          <w14:textFill>
            <w14:solidFill>
              <w14:schemeClr w14:val="tx1"/>
            </w14:solidFill>
          </w14:textFill>
        </w:rPr>
        <w:t>月1日起施行）。</w:t>
      </w:r>
    </w:p>
    <w:p w14:paraId="3929A5F2">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rPr>
          <w:rFonts w:hint="eastAsia" w:hAnsi="宋体" w:cs="宋体"/>
          <w:color w:val="000000" w:themeColor="text1"/>
          <w:sz w:val="28"/>
          <w:szCs w:val="28"/>
          <w:shd w:val="clear" w:color="auto" w:fill="auto"/>
          <w:lang w:val="en-US" w:eastAsia="zh-CN"/>
          <w14:textFill>
            <w14:solidFill>
              <w14:schemeClr w14:val="tx1"/>
            </w14:solidFill>
          </w14:textFill>
        </w:rPr>
      </w:pPr>
      <w:r>
        <w:rPr>
          <w:rFonts w:hint="eastAsia" w:hAnsi="宋体" w:cs="宋体"/>
          <w:color w:val="000000" w:themeColor="text1"/>
          <w:sz w:val="28"/>
          <w:szCs w:val="28"/>
          <w:shd w:val="clear" w:color="auto" w:fill="auto"/>
          <w:lang w:val="en-US" w:eastAsia="zh-CN"/>
          <w14:textFill>
            <w14:solidFill>
              <w14:schemeClr w14:val="tx1"/>
            </w14:solidFill>
          </w14:textFill>
        </w:rPr>
        <w:t>9、《中华人民共和国特种设备安全法》（中华人民共和国主席令第四号，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自</w:t>
      </w:r>
      <w:r>
        <w:rPr>
          <w:rFonts w:hint="eastAsia" w:ascii="宋体" w:hAnsi="宋体" w:eastAsia="宋体" w:cs="宋体"/>
          <w:color w:val="000000" w:themeColor="text1"/>
          <w:sz w:val="28"/>
          <w:szCs w:val="28"/>
          <w:shd w:val="clear" w:color="auto" w:fill="auto"/>
          <w14:textFill>
            <w14:solidFill>
              <w14:schemeClr w14:val="tx1"/>
            </w14:solidFill>
          </w14:textFill>
        </w:rPr>
        <w:t>20</w:t>
      </w:r>
      <w:r>
        <w:rPr>
          <w:rFonts w:hint="eastAsia" w:hAnsi="宋体" w:cs="宋体"/>
          <w:color w:val="000000" w:themeColor="text1"/>
          <w:sz w:val="28"/>
          <w:szCs w:val="28"/>
          <w:shd w:val="clear" w:color="auto" w:fill="auto"/>
          <w:lang w:val="en-US" w:eastAsia="zh-CN"/>
          <w14:textFill>
            <w14:solidFill>
              <w14:schemeClr w14:val="tx1"/>
            </w14:solidFill>
          </w14:textFill>
        </w:rPr>
        <w:t>1</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4</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1</w:t>
      </w:r>
      <w:r>
        <w:rPr>
          <w:rFonts w:hint="eastAsia" w:ascii="宋体" w:hAnsi="宋体" w:eastAsia="宋体" w:cs="宋体"/>
          <w:color w:val="000000" w:themeColor="text1"/>
          <w:sz w:val="28"/>
          <w:szCs w:val="28"/>
          <w:shd w:val="clear" w:color="auto" w:fill="auto"/>
          <w14:textFill>
            <w14:solidFill>
              <w14:schemeClr w14:val="tx1"/>
            </w14:solidFill>
          </w14:textFill>
        </w:rPr>
        <w:t>月1日起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起施行</w:t>
      </w:r>
      <w:r>
        <w:rPr>
          <w:rFonts w:hint="eastAsia" w:hAnsi="宋体" w:cs="宋体"/>
          <w:color w:val="000000" w:themeColor="text1"/>
          <w:sz w:val="28"/>
          <w:szCs w:val="28"/>
          <w:shd w:val="clear" w:color="auto" w:fill="auto"/>
          <w:lang w:val="en-US" w:eastAsia="zh-CN"/>
          <w14:textFill>
            <w14:solidFill>
              <w14:schemeClr w14:val="tx1"/>
            </w14:solidFill>
          </w14:textFill>
        </w:rPr>
        <w:t>）</w:t>
      </w:r>
    </w:p>
    <w:p w14:paraId="16AA1364">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rPr>
          <w:rFonts w:hint="eastAsia" w:hAnsi="宋体" w:eastAsia="宋体" w:cs="宋体"/>
          <w:color w:val="000000" w:themeColor="text1"/>
          <w:sz w:val="28"/>
          <w:szCs w:val="28"/>
          <w:shd w:val="clear" w:color="auto" w:fill="auto"/>
          <w:lang w:val="en-US" w:eastAsia="zh-CN"/>
          <w14:textFill>
            <w14:solidFill>
              <w14:schemeClr w14:val="tx1"/>
            </w14:solidFill>
          </w14:textFill>
        </w:rPr>
      </w:pPr>
      <w:r>
        <w:rPr>
          <w:rFonts w:hint="eastAsia" w:hAnsi="宋体" w:cs="宋体"/>
          <w:color w:val="000000" w:themeColor="text1"/>
          <w:sz w:val="28"/>
          <w:szCs w:val="28"/>
          <w:shd w:val="clear" w:color="auto" w:fill="auto"/>
          <w:lang w:val="en-US" w:eastAsia="zh-CN"/>
          <w14:textFill>
            <w14:solidFill>
              <w14:schemeClr w14:val="tx1"/>
            </w14:solidFill>
          </w14:textFill>
        </w:rPr>
        <w:t>10、</w:t>
      </w:r>
      <w:r>
        <w:rPr>
          <w:rFonts w:ascii="Times New Roman"/>
          <w:sz w:val="28"/>
          <w:szCs w:val="28"/>
        </w:rPr>
        <w:t>《中华人民共和国防震减灾法》</w:t>
      </w:r>
      <w:r>
        <w:rPr>
          <w:rFonts w:hint="eastAsia" w:ascii="Times New Roman"/>
          <w:sz w:val="28"/>
          <w:szCs w:val="28"/>
        </w:rPr>
        <w:t>（中华人民共和国主席令第七号</w:t>
      </w:r>
      <w:r>
        <w:rPr>
          <w:rFonts w:hint="eastAsia" w:ascii="Times New Roman"/>
          <w:sz w:val="28"/>
          <w:szCs w:val="28"/>
          <w:lang w:eastAsia="zh-CN"/>
        </w:rPr>
        <w:t>，自</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2009年５月１日起</w:t>
      </w:r>
      <w:r>
        <w:rPr>
          <w:rFonts w:hint="eastAsia" w:ascii="Times New Roman"/>
          <w:sz w:val="28"/>
          <w:szCs w:val="28"/>
          <w:lang w:eastAsia="zh-CN"/>
        </w:rPr>
        <w:t>施行</w:t>
      </w:r>
      <w:r>
        <w:rPr>
          <w:rFonts w:hint="eastAsia" w:ascii="Times New Roman"/>
          <w:sz w:val="28"/>
          <w:szCs w:val="28"/>
        </w:rPr>
        <w:t>）</w:t>
      </w:r>
      <w:r>
        <w:rPr>
          <w:rFonts w:hint="eastAsia" w:ascii="Times New Roman"/>
          <w:sz w:val="28"/>
          <w:szCs w:val="28"/>
          <w:lang w:eastAsia="zh-CN"/>
        </w:rPr>
        <w:t>。</w:t>
      </w:r>
    </w:p>
    <w:p w14:paraId="1C0F31D1">
      <w:pPr>
        <w:pStyle w:val="4"/>
        <w:pageBreakBefore w:val="0"/>
        <w:widowControl w:val="0"/>
        <w:wordWrap/>
        <w:topLinePunct w:val="0"/>
        <w:autoSpaceDE/>
        <w:autoSpaceDN/>
        <w:bidi w:val="0"/>
        <w:snapToGrid w:val="0"/>
        <w:spacing w:before="20" w:after="20" w:line="500" w:lineRule="exact"/>
        <w:ind w:leftChars="0"/>
        <w:textAlignment w:val="auto"/>
        <w:rPr>
          <w:rFonts w:hint="eastAsia" w:hAnsi="宋体"/>
          <w:snapToGrid w:val="0"/>
          <w:color w:val="auto"/>
          <w:kern w:val="0"/>
          <w:sz w:val="28"/>
          <w:szCs w:val="28"/>
        </w:rPr>
      </w:pPr>
      <w:bookmarkStart w:id="25" w:name="_Toc313453422"/>
      <w:bookmarkStart w:id="26" w:name="_Toc24707"/>
      <w:bookmarkStart w:id="27" w:name="_Toc13385"/>
      <w:bookmarkStart w:id="28" w:name="_Toc26315"/>
      <w:bookmarkStart w:id="29" w:name="_Toc335926127"/>
      <w:bookmarkStart w:id="30" w:name="_Toc29257"/>
      <w:bookmarkStart w:id="31" w:name="_Toc16623"/>
      <w:r>
        <w:rPr>
          <w:rFonts w:hint="eastAsia" w:hAnsi="宋体"/>
          <w:snapToGrid w:val="0"/>
          <w:color w:val="auto"/>
          <w:kern w:val="0"/>
          <w:sz w:val="28"/>
          <w:szCs w:val="28"/>
        </w:rPr>
        <w:t>1.2.2</w:t>
      </w:r>
      <w:bookmarkEnd w:id="25"/>
      <w:r>
        <w:rPr>
          <w:rFonts w:hint="eastAsia" w:hAnsi="宋体"/>
          <w:snapToGrid w:val="0"/>
          <w:color w:val="auto"/>
          <w:kern w:val="0"/>
          <w:sz w:val="28"/>
          <w:szCs w:val="28"/>
        </w:rPr>
        <w:t>行政法规</w:t>
      </w:r>
      <w:bookmarkEnd w:id="26"/>
      <w:bookmarkEnd w:id="27"/>
      <w:bookmarkEnd w:id="28"/>
      <w:bookmarkEnd w:id="29"/>
      <w:bookmarkEnd w:id="30"/>
      <w:bookmarkEnd w:id="31"/>
    </w:p>
    <w:p w14:paraId="0B802079">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Ansi="宋体"/>
          <w:snapToGrid w:val="0"/>
          <w:color w:val="auto"/>
          <w:sz w:val="28"/>
          <w:szCs w:val="30"/>
        </w:rPr>
      </w:pPr>
      <w:r>
        <w:rPr>
          <w:rFonts w:hint="eastAsia" w:hAnsi="宋体"/>
          <w:snapToGrid w:val="0"/>
          <w:color w:val="auto"/>
          <w:sz w:val="28"/>
          <w:szCs w:val="30"/>
        </w:rPr>
        <w:t>1、《国务院关于进一步加强企业安全生产工作的通知》（国发〔2010〕23号）；</w:t>
      </w:r>
    </w:p>
    <w:p w14:paraId="0A826B9F">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hAnsi="宋体"/>
          <w:snapToGrid w:val="0"/>
          <w:color w:val="auto"/>
          <w:sz w:val="28"/>
          <w:szCs w:val="30"/>
        </w:rPr>
      </w:pPr>
      <w:r>
        <w:rPr>
          <w:rFonts w:hint="eastAsia" w:hAnsi="宋体"/>
          <w:snapToGrid w:val="0"/>
          <w:color w:val="auto"/>
          <w:sz w:val="28"/>
          <w:szCs w:val="30"/>
        </w:rPr>
        <w:t>2、</w:t>
      </w:r>
      <w:r>
        <w:rPr>
          <w:rFonts w:hAnsi="宋体"/>
          <w:snapToGrid w:val="0"/>
          <w:color w:val="auto"/>
          <w:sz w:val="28"/>
          <w:szCs w:val="30"/>
        </w:rPr>
        <w:t>《中华人民共和国尘肺病防治条例》</w:t>
      </w:r>
      <w:r>
        <w:rPr>
          <w:rFonts w:hint="eastAsia" w:hAnsi="宋体"/>
          <w:snapToGrid w:val="0"/>
          <w:color w:val="auto"/>
          <w:sz w:val="28"/>
          <w:szCs w:val="30"/>
        </w:rPr>
        <w:t>（</w:t>
      </w:r>
      <w:r>
        <w:rPr>
          <w:rFonts w:hAnsi="宋体"/>
          <w:snapToGrid w:val="0"/>
          <w:color w:val="auto"/>
          <w:sz w:val="28"/>
          <w:szCs w:val="30"/>
        </w:rPr>
        <w:t>国务院1987年12月3日颁布实施</w:t>
      </w:r>
      <w:r>
        <w:rPr>
          <w:rFonts w:hint="eastAsia" w:hAnsi="宋体"/>
          <w:snapToGrid w:val="0"/>
          <w:color w:val="auto"/>
          <w:sz w:val="28"/>
          <w:szCs w:val="30"/>
        </w:rPr>
        <w:t>）；</w:t>
      </w:r>
    </w:p>
    <w:p w14:paraId="607251F6">
      <w:pPr>
        <w:keepNext w:val="0"/>
        <w:keepLines w:val="0"/>
        <w:pageBreakBefore w:val="0"/>
        <w:widowControl w:val="0"/>
        <w:kinsoku w:val="0"/>
        <w:wordWrap/>
        <w:overflowPunct w:val="0"/>
        <w:topLinePunct w:val="0"/>
        <w:autoSpaceDE/>
        <w:autoSpaceDN/>
        <w:bidi w:val="0"/>
        <w:adjustRightInd/>
        <w:snapToGrid/>
        <w:spacing w:line="500" w:lineRule="exact"/>
        <w:ind w:left="0" w:firstLine="560" w:firstLineChars="200"/>
        <w:jc w:val="left"/>
        <w:textAlignment w:val="auto"/>
        <w:rPr>
          <w:rFonts w:hint="eastAsia" w:hAnsi="宋体"/>
          <w:snapToGrid w:val="0"/>
          <w:color w:val="auto"/>
          <w:sz w:val="28"/>
          <w:szCs w:val="30"/>
        </w:rPr>
      </w:pPr>
      <w:r>
        <w:rPr>
          <w:rFonts w:hint="eastAsia" w:hAnsi="宋体"/>
          <w:snapToGrid w:val="0"/>
          <w:color w:val="auto"/>
          <w:sz w:val="28"/>
          <w:szCs w:val="30"/>
        </w:rPr>
        <w:t>3、《国务院关于修改〈工伤保险条例〉的决定》（中华人民共和国国务院令第</w:t>
      </w:r>
      <w:r>
        <w:rPr>
          <w:rFonts w:hAnsi="宋体"/>
          <w:snapToGrid w:val="0"/>
          <w:color w:val="auto"/>
          <w:sz w:val="28"/>
          <w:szCs w:val="30"/>
        </w:rPr>
        <w:t>586</w:t>
      </w:r>
      <w:r>
        <w:rPr>
          <w:rFonts w:hint="eastAsia" w:hAnsi="宋体"/>
          <w:snapToGrid w:val="0"/>
          <w:color w:val="auto"/>
          <w:sz w:val="28"/>
          <w:szCs w:val="30"/>
        </w:rPr>
        <w:t>号）；</w:t>
      </w:r>
    </w:p>
    <w:p w14:paraId="20796E55">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hAnsi="宋体"/>
          <w:snapToGrid w:val="0"/>
          <w:color w:val="auto"/>
          <w:sz w:val="28"/>
          <w:szCs w:val="30"/>
        </w:rPr>
      </w:pPr>
      <w:r>
        <w:rPr>
          <w:rFonts w:hint="eastAsia" w:hAnsi="宋体"/>
          <w:snapToGrid w:val="0"/>
          <w:color w:val="auto"/>
          <w:sz w:val="28"/>
          <w:szCs w:val="30"/>
        </w:rPr>
        <w:t>4、《危险化学品安全管理条例》（中华人民共和国国务院令第591号，2011年12月1日施行，根据国务院令第645号修订）；</w:t>
      </w:r>
    </w:p>
    <w:p w14:paraId="0B72357C">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hAnsi="宋体"/>
          <w:snapToGrid w:val="0"/>
          <w:color w:val="auto"/>
          <w:sz w:val="28"/>
          <w:szCs w:val="30"/>
        </w:rPr>
      </w:pPr>
      <w:r>
        <w:rPr>
          <w:rFonts w:hint="eastAsia" w:hAnsi="宋体"/>
          <w:snapToGrid w:val="0"/>
          <w:color w:val="auto"/>
          <w:sz w:val="28"/>
          <w:szCs w:val="30"/>
        </w:rPr>
        <w:t>5、《国务院关于修改〈特种设备安全监察条例〉的决定》（中华人民共和国国务院令第549号）；</w:t>
      </w:r>
    </w:p>
    <w:p w14:paraId="6BECCA4D">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Ansi="宋体"/>
          <w:snapToGrid w:val="0"/>
          <w:color w:val="auto"/>
          <w:sz w:val="28"/>
          <w:szCs w:val="30"/>
        </w:rPr>
      </w:pPr>
      <w:r>
        <w:rPr>
          <w:rFonts w:hint="eastAsia" w:hAnsi="宋体"/>
          <w:snapToGrid w:val="0"/>
          <w:color w:val="auto"/>
          <w:sz w:val="28"/>
          <w:szCs w:val="30"/>
        </w:rPr>
        <w:t>6、《国务院关于修改部分行政法规的决定》（中华人民共和国国务院令第645号）；</w:t>
      </w:r>
    </w:p>
    <w:p w14:paraId="30C90D1A">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hAnsi="宋体"/>
          <w:snapToGrid w:val="0"/>
          <w:color w:val="auto"/>
          <w:sz w:val="28"/>
          <w:szCs w:val="30"/>
        </w:rPr>
      </w:pPr>
      <w:r>
        <w:rPr>
          <w:rFonts w:hint="eastAsia" w:hAnsi="宋体"/>
          <w:snapToGrid w:val="0"/>
          <w:color w:val="auto"/>
          <w:sz w:val="28"/>
          <w:szCs w:val="30"/>
        </w:rPr>
        <w:t>7、《国务院关于坚持科学发展安全发展促进安全生产形势持续稳定好转的意见》（国发〔2011〕40号）；</w:t>
      </w:r>
    </w:p>
    <w:p w14:paraId="3A28E12F">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hAnsi="宋体"/>
          <w:snapToGrid w:val="0"/>
          <w:color w:val="auto"/>
          <w:sz w:val="28"/>
          <w:szCs w:val="30"/>
        </w:rPr>
      </w:pPr>
      <w:r>
        <w:rPr>
          <w:rFonts w:hint="eastAsia" w:hAnsi="宋体"/>
          <w:snapToGrid w:val="0"/>
          <w:color w:val="auto"/>
          <w:sz w:val="28"/>
          <w:szCs w:val="30"/>
        </w:rPr>
        <w:t>8、</w:t>
      </w:r>
      <w:r>
        <w:rPr>
          <w:rFonts w:hAnsi="宋体"/>
          <w:snapToGrid w:val="0"/>
          <w:color w:val="auto"/>
          <w:sz w:val="28"/>
          <w:szCs w:val="30"/>
        </w:rPr>
        <w:t>《国务院办公厅关于进一步做好防雷减灾工作的通知》</w:t>
      </w:r>
      <w:r>
        <w:rPr>
          <w:rFonts w:hint="eastAsia" w:hAnsi="宋体"/>
          <w:snapToGrid w:val="0"/>
          <w:color w:val="auto"/>
          <w:sz w:val="28"/>
          <w:szCs w:val="30"/>
        </w:rPr>
        <w:t>（</w:t>
      </w:r>
      <w:r>
        <w:rPr>
          <w:rFonts w:hAnsi="宋体"/>
          <w:snapToGrid w:val="0"/>
          <w:color w:val="auto"/>
          <w:sz w:val="28"/>
          <w:szCs w:val="30"/>
        </w:rPr>
        <w:t>国办发明电</w:t>
      </w:r>
      <w:r>
        <w:rPr>
          <w:rFonts w:hint="eastAsia" w:hAnsi="宋体"/>
          <w:snapToGrid w:val="0"/>
          <w:color w:val="auto"/>
          <w:sz w:val="28"/>
          <w:szCs w:val="30"/>
        </w:rPr>
        <w:t>〔</w:t>
      </w:r>
      <w:r>
        <w:rPr>
          <w:rFonts w:hAnsi="宋体"/>
          <w:snapToGrid w:val="0"/>
          <w:color w:val="auto"/>
          <w:sz w:val="28"/>
          <w:szCs w:val="30"/>
        </w:rPr>
        <w:t>2006</w:t>
      </w:r>
      <w:r>
        <w:rPr>
          <w:rFonts w:hint="eastAsia" w:hAnsi="宋体"/>
          <w:snapToGrid w:val="0"/>
          <w:color w:val="auto"/>
          <w:sz w:val="28"/>
          <w:szCs w:val="30"/>
        </w:rPr>
        <w:t>〕</w:t>
      </w:r>
      <w:r>
        <w:rPr>
          <w:rFonts w:hAnsi="宋体"/>
          <w:snapToGrid w:val="0"/>
          <w:color w:val="auto"/>
          <w:sz w:val="28"/>
          <w:szCs w:val="30"/>
        </w:rPr>
        <w:t>28号</w:t>
      </w:r>
      <w:r>
        <w:rPr>
          <w:rFonts w:hint="eastAsia" w:hAnsi="宋体"/>
          <w:snapToGrid w:val="0"/>
          <w:color w:val="auto"/>
          <w:sz w:val="28"/>
          <w:szCs w:val="30"/>
        </w:rPr>
        <w:t>）；</w:t>
      </w:r>
    </w:p>
    <w:p w14:paraId="09BAE360">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hAnsi="宋体"/>
          <w:snapToGrid w:val="0"/>
          <w:color w:val="auto"/>
          <w:sz w:val="28"/>
          <w:szCs w:val="30"/>
        </w:rPr>
      </w:pPr>
      <w:r>
        <w:rPr>
          <w:rFonts w:hint="eastAsia" w:hAnsi="宋体"/>
          <w:snapToGrid w:val="0"/>
          <w:color w:val="auto"/>
          <w:sz w:val="28"/>
          <w:szCs w:val="30"/>
        </w:rPr>
        <w:t>9、</w:t>
      </w:r>
      <w:r>
        <w:rPr>
          <w:rFonts w:hAnsi="宋体"/>
          <w:snapToGrid w:val="0"/>
          <w:color w:val="auto"/>
          <w:sz w:val="28"/>
          <w:szCs w:val="30"/>
        </w:rPr>
        <w:t>《建设工程安全生产管理条例》</w:t>
      </w:r>
      <w:r>
        <w:rPr>
          <w:rFonts w:hint="eastAsia" w:hAnsi="宋体"/>
          <w:snapToGrid w:val="0"/>
          <w:color w:val="auto"/>
          <w:sz w:val="28"/>
          <w:szCs w:val="30"/>
        </w:rPr>
        <w:t>（</w:t>
      </w:r>
      <w:r>
        <w:rPr>
          <w:rFonts w:hAnsi="宋体"/>
          <w:snapToGrid w:val="0"/>
          <w:color w:val="auto"/>
          <w:sz w:val="28"/>
          <w:szCs w:val="30"/>
        </w:rPr>
        <w:t>中华人民共和国国务院令第393号</w:t>
      </w:r>
      <w:r>
        <w:rPr>
          <w:rFonts w:hint="eastAsia" w:hAnsi="宋体"/>
          <w:snapToGrid w:val="0"/>
          <w:color w:val="auto"/>
          <w:sz w:val="28"/>
          <w:szCs w:val="30"/>
        </w:rPr>
        <w:t>）；</w:t>
      </w:r>
    </w:p>
    <w:p w14:paraId="581870A9">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hAnsi="宋体" w:eastAsia="宋体"/>
          <w:snapToGrid w:val="0"/>
          <w:color w:val="auto"/>
          <w:sz w:val="28"/>
          <w:szCs w:val="30"/>
          <w:lang w:eastAsia="zh-CN"/>
        </w:rPr>
      </w:pPr>
      <w:r>
        <w:rPr>
          <w:rFonts w:hint="eastAsia" w:hAnsi="宋体"/>
          <w:snapToGrid w:val="0"/>
          <w:color w:val="auto"/>
          <w:sz w:val="28"/>
          <w:szCs w:val="30"/>
        </w:rPr>
        <w:t>10、</w:t>
      </w:r>
      <w:r>
        <w:rPr>
          <w:rFonts w:hAnsi="宋体"/>
          <w:snapToGrid w:val="0"/>
          <w:color w:val="auto"/>
          <w:sz w:val="28"/>
          <w:szCs w:val="30"/>
        </w:rPr>
        <w:t>《生产安全事故报告和调查处理条例》（国务院令第493号）</w:t>
      </w:r>
      <w:r>
        <w:rPr>
          <w:rFonts w:hint="eastAsia" w:hAnsi="宋体"/>
          <w:snapToGrid w:val="0"/>
          <w:color w:val="auto"/>
          <w:sz w:val="28"/>
          <w:szCs w:val="30"/>
          <w:lang w:eastAsia="zh-CN"/>
        </w:rPr>
        <w:t>；</w:t>
      </w:r>
    </w:p>
    <w:p w14:paraId="0E757FDC">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hAnsi="宋体" w:eastAsia="宋体"/>
          <w:snapToGrid w:val="0"/>
          <w:color w:val="000000" w:themeColor="text1"/>
          <w:sz w:val="28"/>
          <w:szCs w:val="30"/>
          <w:shd w:val="clear" w:color="auto" w:fill="auto"/>
          <w:lang w:val="en-US" w:eastAsia="zh-CN"/>
          <w14:textFill>
            <w14:solidFill>
              <w14:schemeClr w14:val="tx1"/>
            </w14:solidFill>
          </w14:textFill>
        </w:rPr>
      </w:pPr>
      <w:r>
        <w:rPr>
          <w:rFonts w:hint="eastAsia" w:hAnsi="宋体"/>
          <w:snapToGrid w:val="0"/>
          <w:color w:val="000000" w:themeColor="text1"/>
          <w:sz w:val="28"/>
          <w:szCs w:val="30"/>
          <w:shd w:val="clear" w:color="auto" w:fill="auto"/>
          <w:lang w:val="en-US" w:eastAsia="zh-CN"/>
          <w14:textFill>
            <w14:solidFill>
              <w14:schemeClr w14:val="tx1"/>
            </w14:solidFill>
          </w14:textFill>
        </w:rPr>
        <w:t>11、</w:t>
      </w:r>
      <w:r>
        <w:rPr>
          <w:rFonts w:hAnsi="宋体"/>
          <w:snapToGrid w:val="0"/>
          <w:color w:val="000000" w:themeColor="text1"/>
          <w:sz w:val="28"/>
          <w:szCs w:val="30"/>
          <w:shd w:val="clear" w:color="auto" w:fill="auto"/>
          <w14:textFill>
            <w14:solidFill>
              <w14:schemeClr w14:val="tx1"/>
            </w14:solidFill>
          </w14:textFill>
        </w:rPr>
        <w:t>《生产安全事故应急条例》（中华人民共和国国务院令第708号）</w:t>
      </w:r>
      <w:r>
        <w:rPr>
          <w:rFonts w:hint="eastAsia" w:hAnsi="宋体"/>
          <w:snapToGrid w:val="0"/>
          <w:color w:val="000000" w:themeColor="text1"/>
          <w:sz w:val="28"/>
          <w:szCs w:val="30"/>
          <w:shd w:val="clear" w:color="auto" w:fill="auto"/>
          <w:lang w:eastAsia="zh-CN"/>
          <w14:textFill>
            <w14:solidFill>
              <w14:schemeClr w14:val="tx1"/>
            </w14:solidFill>
          </w14:textFill>
        </w:rPr>
        <w:t>。</w:t>
      </w:r>
    </w:p>
    <w:p w14:paraId="392BCB38">
      <w:pPr>
        <w:pStyle w:val="4"/>
        <w:pageBreakBefore w:val="0"/>
        <w:widowControl w:val="0"/>
        <w:wordWrap/>
        <w:topLinePunct w:val="0"/>
        <w:autoSpaceDE/>
        <w:autoSpaceDN/>
        <w:bidi w:val="0"/>
        <w:snapToGrid w:val="0"/>
        <w:spacing w:before="20" w:after="20" w:line="500" w:lineRule="exact"/>
        <w:ind w:leftChars="0"/>
        <w:textAlignment w:val="auto"/>
        <w:rPr>
          <w:rFonts w:hint="eastAsia"/>
        </w:rPr>
      </w:pPr>
      <w:bookmarkStart w:id="32" w:name="_Toc20683"/>
      <w:bookmarkStart w:id="33" w:name="_Toc6278"/>
      <w:bookmarkStart w:id="34" w:name="_Toc15873"/>
      <w:bookmarkStart w:id="35" w:name="_Toc353"/>
      <w:bookmarkStart w:id="36" w:name="_Toc22503"/>
      <w:r>
        <w:rPr>
          <w:rFonts w:hint="eastAsia" w:hAnsi="宋体"/>
          <w:snapToGrid w:val="0"/>
          <w:color w:val="auto"/>
          <w:kern w:val="0"/>
          <w:sz w:val="28"/>
          <w:szCs w:val="28"/>
        </w:rPr>
        <w:t>1.2.3部门规章</w:t>
      </w:r>
      <w:bookmarkEnd w:id="32"/>
      <w:bookmarkEnd w:id="33"/>
      <w:bookmarkEnd w:id="34"/>
      <w:bookmarkEnd w:id="35"/>
      <w:bookmarkEnd w:id="36"/>
    </w:p>
    <w:p w14:paraId="5A94D2E3">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560" w:firstLineChars="200"/>
        <w:jc w:val="left"/>
        <w:textAlignment w:val="auto"/>
        <w:rPr>
          <w:rFonts w:hint="eastAsia" w:ascii="宋体" w:hAnsi="宋体" w:eastAsia="宋体" w:cs="宋体"/>
          <w:snapToGrid w:val="0"/>
          <w:color w:val="auto"/>
          <w:sz w:val="28"/>
          <w:szCs w:val="28"/>
        </w:rPr>
      </w:pPr>
      <w:r>
        <w:rPr>
          <w:rFonts w:hint="eastAsia" w:ascii="宋体" w:hAnsi="宋体" w:eastAsia="宋体" w:cs="宋体"/>
          <w:snapToGrid w:val="0"/>
          <w:color w:val="auto"/>
          <w:sz w:val="28"/>
          <w:szCs w:val="28"/>
        </w:rPr>
        <w:t>《冶金企业安全生产监督管理规定》（国家安全生产监督管理总局令第26号）；</w:t>
      </w:r>
    </w:p>
    <w:p w14:paraId="4230344D">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560" w:firstLineChars="200"/>
        <w:jc w:val="left"/>
        <w:textAlignment w:val="auto"/>
        <w:rPr>
          <w:rFonts w:hint="eastAsia" w:ascii="宋体" w:hAnsi="宋体" w:eastAsia="宋体" w:cs="宋体"/>
          <w:snapToGrid w:val="0"/>
          <w:color w:val="auto"/>
          <w:sz w:val="28"/>
          <w:szCs w:val="28"/>
          <w:highlight w:val="none"/>
        </w:rPr>
      </w:pPr>
      <w:r>
        <w:rPr>
          <w:rFonts w:hint="eastAsia" w:ascii="宋体" w:hAnsi="宋体" w:eastAsia="宋体" w:cs="宋体"/>
          <w:snapToGrid w:val="0"/>
          <w:color w:val="auto"/>
          <w:sz w:val="28"/>
          <w:szCs w:val="28"/>
          <w:highlight w:val="none"/>
        </w:rPr>
        <w:t>《财政部</w:t>
      </w:r>
      <w:r>
        <w:rPr>
          <w:rFonts w:hint="eastAsia" w:ascii="宋体" w:hAnsi="宋体" w:eastAsia="宋体" w:cs="宋体"/>
          <w:snapToGrid w:val="0"/>
          <w:color w:val="auto"/>
          <w:sz w:val="28"/>
          <w:szCs w:val="28"/>
          <w:highlight w:val="none"/>
          <w:lang w:val="en-US" w:eastAsia="zh-CN"/>
        </w:rPr>
        <w:t>应急部</w:t>
      </w:r>
      <w:r>
        <w:rPr>
          <w:rFonts w:hint="eastAsia" w:ascii="宋体" w:hAnsi="宋体" w:eastAsia="宋体" w:cs="宋体"/>
          <w:snapToGrid w:val="0"/>
          <w:color w:val="auto"/>
          <w:sz w:val="28"/>
          <w:szCs w:val="28"/>
          <w:highlight w:val="none"/>
        </w:rPr>
        <w:t>关于印发&lt;企业安全生产费用提取和使用管理办法&gt;的通知》（财</w:t>
      </w:r>
      <w:r>
        <w:rPr>
          <w:rFonts w:hint="eastAsia" w:ascii="宋体" w:hAnsi="宋体" w:eastAsia="宋体" w:cs="宋体"/>
          <w:snapToGrid w:val="0"/>
          <w:color w:val="auto"/>
          <w:sz w:val="28"/>
          <w:szCs w:val="28"/>
          <w:highlight w:val="none"/>
          <w:lang w:val="en-US" w:eastAsia="zh-CN"/>
        </w:rPr>
        <w:t>资</w:t>
      </w:r>
      <w:r>
        <w:rPr>
          <w:rFonts w:hint="eastAsia" w:ascii="宋体" w:hAnsi="宋体" w:eastAsia="宋体" w:cs="宋体"/>
          <w:snapToGrid w:val="0"/>
          <w:color w:val="auto"/>
          <w:sz w:val="28"/>
          <w:szCs w:val="28"/>
          <w:highlight w:val="none"/>
        </w:rPr>
        <w:t>〔20</w:t>
      </w:r>
      <w:r>
        <w:rPr>
          <w:rFonts w:hint="eastAsia" w:ascii="宋体" w:hAnsi="宋体" w:eastAsia="宋体" w:cs="宋体"/>
          <w:snapToGrid w:val="0"/>
          <w:color w:val="auto"/>
          <w:sz w:val="28"/>
          <w:szCs w:val="28"/>
          <w:highlight w:val="none"/>
          <w:lang w:val="en-US" w:eastAsia="zh-CN"/>
        </w:rPr>
        <w:t>22</w:t>
      </w:r>
      <w:r>
        <w:rPr>
          <w:rFonts w:hint="eastAsia" w:ascii="宋体" w:hAnsi="宋体" w:eastAsia="宋体" w:cs="宋体"/>
          <w:snapToGrid w:val="0"/>
          <w:color w:val="auto"/>
          <w:sz w:val="28"/>
          <w:szCs w:val="28"/>
          <w:highlight w:val="none"/>
        </w:rPr>
        <w:t>〕1</w:t>
      </w:r>
      <w:r>
        <w:rPr>
          <w:rFonts w:hint="eastAsia" w:ascii="宋体" w:hAnsi="宋体" w:eastAsia="宋体" w:cs="宋体"/>
          <w:snapToGrid w:val="0"/>
          <w:color w:val="auto"/>
          <w:sz w:val="28"/>
          <w:szCs w:val="28"/>
          <w:highlight w:val="none"/>
          <w:lang w:val="en-US" w:eastAsia="zh-CN"/>
        </w:rPr>
        <w:t>3</w:t>
      </w:r>
      <w:r>
        <w:rPr>
          <w:rFonts w:hint="eastAsia" w:ascii="宋体" w:hAnsi="宋体" w:eastAsia="宋体" w:cs="宋体"/>
          <w:snapToGrid w:val="0"/>
          <w:color w:val="auto"/>
          <w:sz w:val="28"/>
          <w:szCs w:val="28"/>
          <w:highlight w:val="none"/>
        </w:rPr>
        <w:t>6号）；</w:t>
      </w:r>
    </w:p>
    <w:p w14:paraId="0C0B153F">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560" w:firstLineChars="200"/>
        <w:jc w:val="left"/>
        <w:textAlignment w:val="auto"/>
        <w:rPr>
          <w:rFonts w:hint="eastAsia" w:ascii="宋体" w:hAnsi="宋体" w:eastAsia="宋体" w:cs="宋体"/>
          <w:snapToGrid w:val="0"/>
          <w:color w:val="auto"/>
          <w:sz w:val="28"/>
          <w:szCs w:val="28"/>
          <w:highlight w:val="none"/>
        </w:rPr>
      </w:pPr>
      <w:bookmarkStart w:id="37" w:name="OLE_LINK4"/>
      <w:r>
        <w:rPr>
          <w:rFonts w:hint="eastAsia" w:ascii="宋体" w:hAnsi="宋体" w:eastAsia="宋体" w:cs="宋体"/>
          <w:snapToGrid w:val="0"/>
          <w:color w:val="auto"/>
          <w:sz w:val="28"/>
          <w:szCs w:val="28"/>
          <w:highlight w:val="none"/>
        </w:rPr>
        <w:t>《生产经营单位安全培训规定》（国家安全生产监督管理总局令第3号，根据国家安全监管总局令第63号修正；根据国家安全监管总局令第80号修正）</w:t>
      </w:r>
      <w:bookmarkEnd w:id="37"/>
      <w:r>
        <w:rPr>
          <w:rFonts w:hint="eastAsia" w:ascii="宋体" w:hAnsi="宋体" w:eastAsia="宋体" w:cs="宋体"/>
          <w:snapToGrid w:val="0"/>
          <w:color w:val="auto"/>
          <w:sz w:val="28"/>
          <w:szCs w:val="28"/>
          <w:highlight w:val="none"/>
        </w:rPr>
        <w:t>；</w:t>
      </w:r>
    </w:p>
    <w:p w14:paraId="370279C7">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560" w:firstLineChars="200"/>
        <w:jc w:val="left"/>
        <w:textAlignment w:val="auto"/>
        <w:rPr>
          <w:rFonts w:hint="eastAsia" w:ascii="宋体" w:hAnsi="宋体" w:eastAsia="宋体" w:cs="宋体"/>
          <w:snapToGrid w:val="0"/>
          <w:color w:val="auto"/>
          <w:sz w:val="28"/>
          <w:szCs w:val="28"/>
        </w:rPr>
      </w:pPr>
      <w:r>
        <w:rPr>
          <w:rFonts w:hint="eastAsia" w:hAnsi="宋体" w:cs="宋体"/>
          <w:snapToGrid w:val="0"/>
          <w:color w:val="auto"/>
          <w:sz w:val="28"/>
          <w:szCs w:val="28"/>
          <w:lang w:eastAsia="zh-CN"/>
        </w:rPr>
        <w:t>《</w:t>
      </w:r>
      <w:r>
        <w:rPr>
          <w:rFonts w:hint="eastAsia" w:ascii="宋体" w:hAnsi="宋体" w:eastAsia="宋体" w:cs="宋体"/>
          <w:snapToGrid w:val="0"/>
          <w:color w:val="auto"/>
          <w:sz w:val="28"/>
          <w:szCs w:val="28"/>
        </w:rPr>
        <w:t>生产安全事故报告和调查处理条例罚款处罚暂行规定</w:t>
      </w:r>
      <w:r>
        <w:rPr>
          <w:rFonts w:hint="eastAsia" w:hAnsi="宋体" w:cs="宋体"/>
          <w:snapToGrid w:val="0"/>
          <w:color w:val="auto"/>
          <w:sz w:val="28"/>
          <w:szCs w:val="28"/>
          <w:lang w:eastAsia="zh-CN"/>
        </w:rPr>
        <w:t>》</w:t>
      </w:r>
      <w:r>
        <w:rPr>
          <w:rFonts w:hint="eastAsia" w:ascii="宋体" w:hAnsi="宋体" w:eastAsia="宋体" w:cs="宋体"/>
          <w:snapToGrid w:val="0"/>
          <w:color w:val="auto"/>
          <w:sz w:val="28"/>
          <w:szCs w:val="28"/>
        </w:rPr>
        <w:t>（国家安全生产监督管理总局令第13号，国家安全监管总局令第42号第一次修正，国家安全监管总局令第77号第二次修正）；</w:t>
      </w:r>
    </w:p>
    <w:p w14:paraId="3ECDFB40">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560" w:firstLineChars="200"/>
        <w:jc w:val="left"/>
        <w:textAlignment w:val="auto"/>
        <w:rPr>
          <w:rFonts w:hint="eastAsia" w:ascii="宋体" w:hAnsi="宋体" w:eastAsia="宋体" w:cs="宋体"/>
          <w:snapToGrid w:val="0"/>
          <w:color w:val="auto"/>
          <w:sz w:val="28"/>
          <w:szCs w:val="28"/>
        </w:rPr>
      </w:pPr>
      <w:r>
        <w:rPr>
          <w:rFonts w:hint="eastAsia" w:ascii="宋体" w:hAnsi="宋体" w:eastAsia="宋体" w:cs="宋体"/>
          <w:snapToGrid w:val="0"/>
          <w:color w:val="auto"/>
          <w:sz w:val="28"/>
          <w:szCs w:val="28"/>
        </w:rPr>
        <w:t>《安全生产违法行为行政处罚办法》（2007年11月30日国家安全生产监督管理总局令第15号公布，自2008年1月1日起施行；根据2015年4月2日国家安全生产监督管理总局令第77号修正）；</w:t>
      </w:r>
    </w:p>
    <w:p w14:paraId="5B76F3D4">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560" w:firstLineChars="200"/>
        <w:jc w:val="left"/>
        <w:textAlignment w:val="auto"/>
        <w:rPr>
          <w:rFonts w:hint="eastAsia" w:ascii="宋体" w:hAnsi="宋体" w:eastAsia="宋体" w:cs="宋体"/>
          <w:snapToGrid w:val="0"/>
          <w:color w:val="auto"/>
          <w:sz w:val="28"/>
          <w:szCs w:val="28"/>
        </w:rPr>
      </w:pPr>
      <w:r>
        <w:rPr>
          <w:rFonts w:hint="eastAsia" w:ascii="宋体" w:hAnsi="宋体" w:eastAsia="宋体" w:cs="宋体"/>
          <w:snapToGrid w:val="0"/>
          <w:color w:val="auto"/>
          <w:sz w:val="28"/>
          <w:szCs w:val="28"/>
        </w:rPr>
        <w:t>《安全生产事故隐患排查治理暂行规定》（国家安全生产监督管理总局令第16号）；</w:t>
      </w:r>
    </w:p>
    <w:p w14:paraId="473802E6">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560" w:firstLineChars="200"/>
        <w:jc w:val="left"/>
        <w:textAlignment w:val="auto"/>
        <w:rPr>
          <w:rFonts w:hint="eastAsia" w:ascii="宋体" w:hAnsi="宋体" w:eastAsia="宋体" w:cs="宋体"/>
          <w:snapToGrid w:val="0"/>
          <w:color w:val="auto"/>
          <w:sz w:val="28"/>
          <w:szCs w:val="28"/>
        </w:rPr>
      </w:pPr>
      <w:r>
        <w:rPr>
          <w:rFonts w:hint="eastAsia" w:ascii="宋体" w:hAnsi="宋体" w:eastAsia="宋体" w:cs="宋体"/>
          <w:snapToGrid w:val="0"/>
          <w:color w:val="auto"/>
          <w:sz w:val="28"/>
          <w:szCs w:val="28"/>
        </w:rPr>
        <w:t>《生产安全事故应急预案管理办法》（2016年6月3日国家安全生产监督管理总局令第88号公布，自2016年7月1日起施行；根据2019年7月11日应急管理部令第2号修正）；</w:t>
      </w:r>
    </w:p>
    <w:p w14:paraId="560057F3">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560" w:firstLineChars="200"/>
        <w:jc w:val="left"/>
        <w:textAlignment w:val="auto"/>
        <w:rPr>
          <w:rFonts w:hint="eastAsia" w:ascii="宋体" w:hAnsi="宋体" w:eastAsia="宋体" w:cs="宋体"/>
          <w:snapToGrid w:val="0"/>
          <w:color w:val="auto"/>
          <w:sz w:val="28"/>
          <w:szCs w:val="28"/>
        </w:rPr>
      </w:pPr>
      <w:r>
        <w:rPr>
          <w:rFonts w:hint="eastAsia" w:ascii="宋体" w:hAnsi="宋体" w:eastAsia="宋体" w:cs="宋体"/>
          <w:snapToGrid w:val="0"/>
          <w:color w:val="auto"/>
          <w:sz w:val="28"/>
          <w:szCs w:val="28"/>
        </w:rPr>
        <w:t>《特种作业人员安全技术培训考核管理规定》（修订）（国家安全生产监督管理总局令第30号发布，根据国家安全监管总局令第63号修正，根据国家安全监管总局令第80号修正）；</w:t>
      </w:r>
    </w:p>
    <w:p w14:paraId="0E310FAF">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560" w:firstLineChars="200"/>
        <w:jc w:val="left"/>
        <w:textAlignment w:val="auto"/>
        <w:rPr>
          <w:rFonts w:hint="eastAsia" w:ascii="宋体" w:hAnsi="宋体" w:eastAsia="宋体" w:cs="宋体"/>
          <w:snapToGrid w:val="0"/>
          <w:color w:val="auto"/>
          <w:sz w:val="28"/>
          <w:szCs w:val="28"/>
        </w:rPr>
      </w:pPr>
      <w:r>
        <w:rPr>
          <w:rFonts w:hint="eastAsia" w:ascii="宋体" w:hAnsi="宋体" w:eastAsia="宋体" w:cs="宋体"/>
          <w:snapToGrid w:val="0"/>
          <w:color w:val="auto"/>
          <w:sz w:val="28"/>
          <w:szCs w:val="28"/>
        </w:rPr>
        <w:t>《安全生产培训管理办法》（国家安全生产监督管理总局令第44号，根据国家安全监管总局令第63号第一次修正</w:t>
      </w:r>
      <w:r>
        <w:rPr>
          <w:rFonts w:hint="eastAsia" w:ascii="宋体" w:hAnsi="宋体" w:eastAsia="宋体" w:cs="宋体"/>
          <w:snapToGrid w:val="0"/>
          <w:color w:val="auto"/>
          <w:sz w:val="28"/>
          <w:szCs w:val="28"/>
          <w:lang w:eastAsia="zh-CN"/>
        </w:rPr>
        <w:t>，</w:t>
      </w:r>
      <w:r>
        <w:rPr>
          <w:rFonts w:hint="eastAsia" w:ascii="宋体" w:hAnsi="宋体" w:eastAsia="宋体" w:cs="宋体"/>
          <w:snapToGrid w:val="0"/>
          <w:color w:val="auto"/>
          <w:sz w:val="28"/>
          <w:szCs w:val="28"/>
        </w:rPr>
        <w:t>根据国家安全监管总局令第80号第二次修正）；</w:t>
      </w:r>
    </w:p>
    <w:p w14:paraId="7FA6EC4D">
      <w:pPr>
        <w:pStyle w:val="9"/>
        <w:keepNext w:val="0"/>
        <w:keepLines w:val="0"/>
        <w:pageBreakBefore w:val="0"/>
        <w:widowControl w:val="0"/>
        <w:numPr>
          <w:ilvl w:val="0"/>
          <w:numId w:val="1"/>
        </w:numPr>
        <w:kinsoku/>
        <w:wordWrap/>
        <w:overflowPunct/>
        <w:topLinePunct w:val="0"/>
        <w:autoSpaceDE/>
        <w:autoSpaceDN/>
        <w:bidi w:val="0"/>
        <w:adjustRightInd/>
        <w:spacing w:line="500" w:lineRule="exact"/>
        <w:ind w:left="0" w:leftChars="0" w:firstLine="560" w:firstLineChars="200"/>
        <w:textAlignment w:val="auto"/>
        <w:rPr>
          <w:rFonts w:hint="eastAsia" w:ascii="宋体" w:hAnsi="宋体" w:eastAsia="宋体" w:cs="宋体"/>
          <w:snapToGrid w:val="0"/>
          <w:color w:val="auto"/>
          <w:sz w:val="28"/>
          <w:szCs w:val="28"/>
        </w:rPr>
      </w:pPr>
      <w:r>
        <w:rPr>
          <w:rFonts w:hint="eastAsia" w:ascii="宋体" w:hAnsi="宋体" w:eastAsia="宋体" w:cs="宋体"/>
          <w:b w:val="0"/>
          <w:bCs w:val="0"/>
          <w:color w:val="auto"/>
          <w:sz w:val="28"/>
          <w:szCs w:val="28"/>
        </w:rPr>
        <w:t>《工作场所职业卫生管理规定》</w:t>
      </w:r>
      <w:r>
        <w:rPr>
          <w:rFonts w:hint="eastAsia" w:ascii="宋体" w:hAnsi="宋体" w:eastAsia="宋体" w:cs="宋体"/>
          <w:b w:val="0"/>
          <w:bCs w:val="0"/>
          <w:color w:val="auto"/>
          <w:sz w:val="28"/>
          <w:szCs w:val="28"/>
          <w:lang w:eastAsia="zh-CN"/>
        </w:rPr>
        <w:t>（</w:t>
      </w:r>
      <w:r>
        <w:rPr>
          <w:rFonts w:hint="eastAsia" w:ascii="宋体" w:hAnsi="宋体" w:eastAsia="宋体" w:cs="宋体"/>
          <w:b w:val="0"/>
          <w:bCs w:val="0"/>
          <w:color w:val="auto"/>
          <w:spacing w:val="-17"/>
          <w:sz w:val="28"/>
          <w:szCs w:val="28"/>
          <w:u w:val="none"/>
        </w:rPr>
        <w:t>国家卫生健康委员会令</w:t>
      </w:r>
      <w:r>
        <w:rPr>
          <w:rFonts w:hint="eastAsia" w:ascii="宋体" w:hAnsi="宋体" w:eastAsia="宋体" w:cs="宋体"/>
          <w:b w:val="0"/>
          <w:bCs w:val="0"/>
          <w:color w:val="auto"/>
          <w:sz w:val="28"/>
          <w:szCs w:val="28"/>
        </w:rPr>
        <w:t>第5 号</w:t>
      </w:r>
      <w:r>
        <w:rPr>
          <w:rFonts w:hint="eastAsia" w:ascii="宋体" w:hAnsi="宋体" w:eastAsia="宋体" w:cs="宋体"/>
          <w:b w:val="0"/>
          <w:bCs w:val="0"/>
          <w:color w:val="auto"/>
          <w:sz w:val="28"/>
          <w:szCs w:val="28"/>
          <w:lang w:eastAsia="zh-CN"/>
        </w:rPr>
        <w:t>，</w:t>
      </w:r>
      <w:r>
        <w:rPr>
          <w:rFonts w:hint="eastAsia" w:ascii="宋体" w:hAnsi="宋体" w:eastAsia="宋体" w:cs="宋体"/>
          <w:b w:val="0"/>
          <w:bCs w:val="0"/>
          <w:color w:val="auto"/>
          <w:spacing w:val="0"/>
          <w:sz w:val="28"/>
          <w:szCs w:val="28"/>
          <w:u w:val="none"/>
        </w:rPr>
        <w:t>自2021年2月1日起施行</w:t>
      </w:r>
      <w:r>
        <w:rPr>
          <w:rFonts w:hint="eastAsia" w:ascii="宋体" w:hAnsi="宋体" w:eastAsia="宋体" w:cs="宋体"/>
          <w:b w:val="0"/>
          <w:bCs w:val="0"/>
          <w:color w:val="auto"/>
          <w:sz w:val="28"/>
          <w:szCs w:val="28"/>
          <w:lang w:eastAsia="zh-CN"/>
        </w:rPr>
        <w:t>）</w:t>
      </w:r>
      <w:r>
        <w:rPr>
          <w:rFonts w:hint="eastAsia" w:ascii="宋体" w:hAnsi="宋体" w:eastAsia="宋体" w:cs="宋体"/>
          <w:b w:val="0"/>
          <w:bCs w:val="0"/>
          <w:color w:val="auto"/>
          <w:sz w:val="28"/>
          <w:szCs w:val="28"/>
          <w:lang w:val="en-US" w:eastAsia="zh-CN"/>
        </w:rPr>
        <w:t>;</w:t>
      </w:r>
    </w:p>
    <w:p w14:paraId="4370EA88">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560" w:firstLineChars="200"/>
        <w:jc w:val="left"/>
        <w:textAlignment w:val="auto"/>
        <w:rPr>
          <w:rFonts w:hint="eastAsia" w:ascii="宋体" w:hAnsi="宋体" w:eastAsia="宋体" w:cs="宋体"/>
          <w:snapToGrid w:val="0"/>
          <w:color w:val="auto"/>
          <w:sz w:val="28"/>
          <w:szCs w:val="28"/>
        </w:rPr>
      </w:pPr>
      <w:r>
        <w:rPr>
          <w:rFonts w:hint="eastAsia" w:ascii="宋体" w:hAnsi="宋体" w:eastAsia="宋体" w:cs="宋体"/>
          <w:snapToGrid w:val="0"/>
          <w:color w:val="auto"/>
          <w:sz w:val="28"/>
          <w:szCs w:val="28"/>
          <w:lang w:val="en-US" w:eastAsia="zh-CN"/>
        </w:rPr>
        <w:t>《工贸企业有限空间作业安全规定》（应急管理部令第13号）</w:t>
      </w:r>
      <w:r>
        <w:rPr>
          <w:rFonts w:hint="eastAsia" w:ascii="宋体" w:hAnsi="宋体" w:eastAsia="宋体" w:cs="宋体"/>
          <w:snapToGrid w:val="0"/>
          <w:color w:val="auto"/>
          <w:sz w:val="28"/>
          <w:szCs w:val="28"/>
        </w:rPr>
        <w:t>；</w:t>
      </w:r>
    </w:p>
    <w:p w14:paraId="7D3856E1">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560" w:firstLineChars="200"/>
        <w:jc w:val="left"/>
        <w:textAlignment w:val="auto"/>
        <w:rPr>
          <w:rFonts w:hint="eastAsia" w:ascii="宋体" w:hAnsi="宋体" w:eastAsia="宋体" w:cs="宋体"/>
          <w:b w:val="0"/>
          <w:bCs w:val="0"/>
          <w:color w:val="000000" w:themeColor="text1"/>
          <w:sz w:val="28"/>
          <w:szCs w:val="28"/>
          <w:shd w:val="clear" w:color="auto" w:fill="auto"/>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color="auto" w:fill="auto"/>
          <w14:textFill>
            <w14:solidFill>
              <w14:schemeClr w14:val="tx1"/>
            </w14:solidFill>
          </w14:textFill>
        </w:rPr>
        <w:t>《</w:t>
      </w:r>
      <w:r>
        <w:rPr>
          <w:rFonts w:hint="eastAsia" w:ascii="宋体" w:hAnsi="宋体" w:eastAsia="宋体" w:cs="宋体"/>
          <w:b w:val="0"/>
          <w:bCs w:val="0"/>
          <w:color w:val="000000" w:themeColor="text1"/>
          <w:sz w:val="28"/>
          <w:szCs w:val="28"/>
          <w:shd w:val="clear" w:color="auto" w:fill="auto"/>
          <w:lang w:val="en-US" w:eastAsia="zh-CN" w:bidi="ar-SA"/>
          <w14:textFill>
            <w14:solidFill>
              <w14:schemeClr w14:val="tx1"/>
            </w14:solidFill>
          </w14:textFill>
        </w:rPr>
        <w:t>生产安全事故罚款处罚规定》</w:t>
      </w:r>
      <w:r>
        <w:rPr>
          <w:rFonts w:hint="eastAsia" w:ascii="宋体" w:hAnsi="宋体" w:eastAsia="宋体" w:cs="宋体"/>
          <w:snapToGrid w:val="0"/>
          <w:color w:val="000000" w:themeColor="text1"/>
          <w:sz w:val="28"/>
          <w:szCs w:val="28"/>
          <w:shd w:val="clear" w:color="auto" w:fill="auto"/>
          <w:lang w:val="en-US" w:eastAsia="zh-CN"/>
          <w14:textFill>
            <w14:solidFill>
              <w14:schemeClr w14:val="tx1"/>
            </w14:solidFill>
          </w14:textFill>
        </w:rPr>
        <w:t>（应急管理部令第1</w:t>
      </w:r>
      <w:r>
        <w:rPr>
          <w:rFonts w:hint="eastAsia" w:hAnsi="宋体" w:cs="宋体"/>
          <w:snapToGrid w:val="0"/>
          <w:color w:val="000000" w:themeColor="text1"/>
          <w:sz w:val="28"/>
          <w:szCs w:val="28"/>
          <w:shd w:val="clear" w:color="auto" w:fill="auto"/>
          <w:lang w:val="en-US" w:eastAsia="zh-CN"/>
          <w14:textFill>
            <w14:solidFill>
              <w14:schemeClr w14:val="tx1"/>
            </w14:solidFill>
          </w14:textFill>
        </w:rPr>
        <w:t>4</w:t>
      </w:r>
      <w:r>
        <w:rPr>
          <w:rFonts w:hint="eastAsia" w:ascii="宋体" w:hAnsi="宋体" w:eastAsia="宋体" w:cs="宋体"/>
          <w:snapToGrid w:val="0"/>
          <w:color w:val="000000" w:themeColor="text1"/>
          <w:sz w:val="28"/>
          <w:szCs w:val="28"/>
          <w:shd w:val="clear" w:color="auto" w:fill="auto"/>
          <w:lang w:val="en-US" w:eastAsia="zh-CN"/>
          <w14:textFill>
            <w14:solidFill>
              <w14:schemeClr w14:val="tx1"/>
            </w14:solidFill>
          </w14:textFill>
        </w:rPr>
        <w:t>号）</w:t>
      </w:r>
      <w:r>
        <w:rPr>
          <w:rFonts w:hint="eastAsia" w:hAnsi="宋体" w:cs="宋体"/>
          <w:snapToGrid w:val="0"/>
          <w:color w:val="000000" w:themeColor="text1"/>
          <w:sz w:val="28"/>
          <w:szCs w:val="28"/>
          <w:shd w:val="clear" w:color="auto" w:fill="auto"/>
          <w:lang w:val="en-US" w:eastAsia="zh-CN"/>
          <w14:textFill>
            <w14:solidFill>
              <w14:schemeClr w14:val="tx1"/>
            </w14:solidFill>
          </w14:textFill>
        </w:rPr>
        <w:t>；</w:t>
      </w:r>
    </w:p>
    <w:p w14:paraId="3755B10A">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560" w:firstLineChars="200"/>
        <w:jc w:val="left"/>
        <w:textAlignment w:val="auto"/>
        <w:rPr>
          <w:rFonts w:hint="eastAsia" w:ascii="宋体" w:hAnsi="宋体" w:eastAsia="宋体" w:cs="宋体"/>
          <w:snapToGrid w:val="0"/>
          <w:color w:val="auto"/>
          <w:sz w:val="28"/>
          <w:szCs w:val="28"/>
        </w:rPr>
      </w:pPr>
      <w:r>
        <w:rPr>
          <w:rFonts w:hint="eastAsia" w:ascii="宋体" w:hAnsi="宋体" w:eastAsia="宋体" w:cs="宋体"/>
          <w:snapToGrid w:val="0"/>
          <w:color w:val="auto"/>
          <w:sz w:val="28"/>
          <w:szCs w:val="28"/>
        </w:rPr>
        <w:t>《国家安全监管总局关于修改&lt;生产安全事故报告和调查处理条例&gt;罚款处罚暂行规定等四部规章的决定》（国家安全生产监督管理总局令第77号）；</w:t>
      </w:r>
    </w:p>
    <w:p w14:paraId="4AA35630">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560" w:firstLineChars="200"/>
        <w:jc w:val="left"/>
        <w:textAlignment w:val="auto"/>
        <w:rPr>
          <w:rFonts w:hint="eastAsia" w:ascii="宋体" w:hAnsi="宋体" w:eastAsia="宋体" w:cs="宋体"/>
          <w:snapToGrid w:val="0"/>
          <w:color w:val="auto"/>
          <w:sz w:val="28"/>
          <w:szCs w:val="28"/>
        </w:rPr>
      </w:pPr>
      <w:r>
        <w:rPr>
          <w:rFonts w:hint="eastAsia" w:ascii="宋体" w:hAnsi="宋体" w:eastAsia="宋体" w:cs="宋体"/>
          <w:snapToGrid w:val="0"/>
          <w:color w:val="auto"/>
          <w:sz w:val="28"/>
          <w:szCs w:val="28"/>
        </w:rPr>
        <w:t>《国家安全监管总局关于废止和修改危险化学品等领域七部规章的决定》（国家安全监管总局令第79号）；</w:t>
      </w:r>
    </w:p>
    <w:p w14:paraId="04A8B4C5">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560" w:firstLineChars="200"/>
        <w:jc w:val="left"/>
        <w:textAlignment w:val="auto"/>
        <w:rPr>
          <w:rFonts w:hint="eastAsia" w:ascii="宋体" w:hAnsi="宋体" w:eastAsia="宋体" w:cs="宋体"/>
          <w:snapToGrid w:val="0"/>
          <w:color w:val="auto"/>
          <w:sz w:val="28"/>
          <w:szCs w:val="28"/>
        </w:rPr>
      </w:pPr>
      <w:r>
        <w:rPr>
          <w:rFonts w:hint="eastAsia" w:ascii="宋体" w:hAnsi="宋体" w:eastAsia="宋体" w:cs="宋体"/>
          <w:snapToGrid w:val="0"/>
          <w:color w:val="auto"/>
          <w:sz w:val="28"/>
          <w:szCs w:val="28"/>
        </w:rPr>
        <w:t>《国家安全监管总局关于废止和修改劳动防护用品和安全培训等领域十部规章的决定》（国家安全生产监督管理总局令第80号）；</w:t>
      </w:r>
    </w:p>
    <w:p w14:paraId="0E4BCBED">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560" w:firstLineChars="200"/>
        <w:jc w:val="left"/>
        <w:textAlignment w:val="auto"/>
        <w:rPr>
          <w:rFonts w:hint="eastAsia" w:ascii="宋体" w:hAnsi="宋体" w:eastAsia="宋体" w:cs="宋体"/>
          <w:snapToGrid w:val="0"/>
          <w:color w:val="000000" w:themeColor="text1"/>
          <w:sz w:val="28"/>
          <w:szCs w:val="28"/>
          <w:shd w:val="clear" w:color="auto" w:fill="auto"/>
          <w14:textFill>
            <w14:solidFill>
              <w14:schemeClr w14:val="tx1"/>
            </w14:solidFill>
          </w14:textFill>
        </w:rPr>
      </w:pPr>
      <w:r>
        <w:rPr>
          <w:rFonts w:hint="eastAsia" w:ascii="宋体" w:hAnsi="宋体" w:eastAsia="宋体" w:cs="宋体"/>
          <w:snapToGrid w:val="0"/>
          <w:color w:val="000000" w:themeColor="text1"/>
          <w:sz w:val="28"/>
          <w:szCs w:val="28"/>
          <w:shd w:val="clear" w:color="auto" w:fill="auto"/>
          <w14:textFill>
            <w14:solidFill>
              <w14:schemeClr w14:val="tx1"/>
            </w14:solidFill>
          </w14:textFill>
        </w:rPr>
        <w:t>《危险化学品目录》（</w:t>
      </w:r>
      <w:r>
        <w:rPr>
          <w:rFonts w:hint="eastAsia" w:ascii="宋体" w:hAnsi="宋体" w:eastAsia="宋体" w:cs="宋体"/>
          <w:snapToGrid w:val="0"/>
          <w:color w:val="000000" w:themeColor="text1"/>
          <w:sz w:val="28"/>
          <w:szCs w:val="28"/>
          <w:shd w:val="clear" w:color="auto" w:fill="auto"/>
          <w:lang w:val="en-US" w:eastAsia="zh-CN"/>
          <w14:textFill>
            <w14:solidFill>
              <w14:schemeClr w14:val="tx1"/>
            </w14:solidFill>
          </w14:textFill>
        </w:rPr>
        <w:t>2022调整版</w:t>
      </w:r>
      <w:r>
        <w:rPr>
          <w:rFonts w:hint="eastAsia" w:ascii="宋体" w:hAnsi="宋体" w:eastAsia="宋体" w:cs="宋体"/>
          <w:snapToGrid w:val="0"/>
          <w:color w:val="000000" w:themeColor="text1"/>
          <w:sz w:val="28"/>
          <w:szCs w:val="28"/>
          <w:shd w:val="clear" w:color="auto" w:fill="auto"/>
          <w14:textFill>
            <w14:solidFill>
              <w14:schemeClr w14:val="tx1"/>
            </w14:solidFill>
          </w14:textFill>
        </w:rPr>
        <w:t>）；</w:t>
      </w:r>
    </w:p>
    <w:p w14:paraId="3AC0177B">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560" w:firstLineChars="200"/>
        <w:jc w:val="left"/>
        <w:textAlignment w:val="auto"/>
        <w:rPr>
          <w:rFonts w:hint="eastAsia" w:ascii="宋体" w:hAnsi="宋体" w:eastAsia="宋体" w:cs="宋体"/>
          <w:snapToGrid w:val="0"/>
          <w:color w:val="auto"/>
          <w:sz w:val="28"/>
          <w:szCs w:val="28"/>
        </w:rPr>
      </w:pPr>
      <w:r>
        <w:rPr>
          <w:rFonts w:hint="eastAsia" w:ascii="宋体" w:hAnsi="宋体" w:eastAsia="宋体" w:cs="宋体"/>
          <w:snapToGrid w:val="0"/>
          <w:color w:val="auto"/>
          <w:sz w:val="28"/>
          <w:szCs w:val="28"/>
        </w:rPr>
        <w:t>《国家安全监管总局关于公布首批重点监管的危险化学品名录的通知》（安监总管三〔2011〕95号）；</w:t>
      </w:r>
    </w:p>
    <w:p w14:paraId="5AAAB836">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560" w:firstLineChars="200"/>
        <w:jc w:val="left"/>
        <w:textAlignment w:val="auto"/>
        <w:rPr>
          <w:rFonts w:hint="eastAsia" w:ascii="宋体" w:hAnsi="宋体" w:eastAsia="宋体" w:cs="宋体"/>
          <w:snapToGrid w:val="0"/>
          <w:color w:val="auto"/>
          <w:sz w:val="28"/>
          <w:szCs w:val="28"/>
        </w:rPr>
      </w:pPr>
      <w:r>
        <w:rPr>
          <w:rFonts w:hint="eastAsia" w:ascii="宋体" w:hAnsi="宋体" w:eastAsia="宋体" w:cs="宋体"/>
          <w:snapToGrid w:val="0"/>
          <w:color w:val="auto"/>
          <w:sz w:val="28"/>
          <w:szCs w:val="28"/>
        </w:rPr>
        <w:t>《国家安全监管总局关于公布第二批重点监管危险化学品名录的通知》（安监总管三〔2013〕12号）；</w:t>
      </w:r>
    </w:p>
    <w:p w14:paraId="340ED5F4">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560" w:firstLineChars="200"/>
        <w:jc w:val="left"/>
        <w:textAlignment w:val="auto"/>
        <w:rPr>
          <w:rFonts w:hint="eastAsia" w:ascii="宋体" w:hAnsi="宋体" w:eastAsia="宋体" w:cs="宋体"/>
          <w:snapToGrid w:val="0"/>
          <w:color w:val="auto"/>
          <w:sz w:val="28"/>
          <w:szCs w:val="28"/>
        </w:rPr>
      </w:pPr>
      <w:r>
        <w:rPr>
          <w:rFonts w:hint="eastAsia" w:ascii="宋体" w:hAnsi="宋体" w:eastAsia="宋体" w:cs="宋体"/>
          <w:snapToGrid w:val="0"/>
          <w:color w:val="auto"/>
          <w:sz w:val="28"/>
          <w:szCs w:val="28"/>
        </w:rPr>
        <w:t>《危险化学品使用量的数量标准（2013年版）》（国家安全生产监督管理总局中华人民共和国公安部中华人民共和国农业部2013年第9号公告）；</w:t>
      </w:r>
    </w:p>
    <w:p w14:paraId="7572E529">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560" w:firstLineChars="200"/>
        <w:jc w:val="left"/>
        <w:textAlignment w:val="auto"/>
        <w:rPr>
          <w:rFonts w:hint="eastAsia" w:ascii="宋体" w:hAnsi="宋体" w:eastAsia="宋体" w:cs="宋体"/>
          <w:snapToGrid w:val="0"/>
          <w:color w:val="auto"/>
          <w:sz w:val="28"/>
          <w:szCs w:val="28"/>
        </w:rPr>
      </w:pPr>
      <w:r>
        <w:rPr>
          <w:rFonts w:hint="eastAsia" w:ascii="宋体" w:hAnsi="宋体" w:eastAsia="宋体" w:cs="宋体"/>
          <w:snapToGrid w:val="0"/>
          <w:color w:val="auto"/>
          <w:sz w:val="28"/>
          <w:szCs w:val="28"/>
        </w:rPr>
        <w:t>《国家安全监管总局关于进一步加强工商贸企业粉尘爆炸事故防范工作的通知》（安监总管四〔2010〕38号）；</w:t>
      </w:r>
    </w:p>
    <w:p w14:paraId="0A63B0DF">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560" w:firstLineChars="200"/>
        <w:jc w:val="left"/>
        <w:textAlignment w:val="auto"/>
        <w:rPr>
          <w:rFonts w:hint="eastAsia" w:ascii="宋体" w:hAnsi="宋体" w:eastAsia="宋体" w:cs="宋体"/>
          <w:snapToGrid w:val="0"/>
          <w:color w:val="auto"/>
          <w:sz w:val="28"/>
          <w:szCs w:val="28"/>
        </w:rPr>
      </w:pPr>
      <w:r>
        <w:rPr>
          <w:rFonts w:hint="eastAsia" w:ascii="宋体" w:hAnsi="宋体" w:eastAsia="宋体" w:cs="宋体"/>
          <w:snapToGrid w:val="0"/>
          <w:color w:val="auto"/>
          <w:sz w:val="28"/>
          <w:szCs w:val="28"/>
        </w:rPr>
        <w:t>《仓库防火安全管理规则》（中华人民共和国公安部令第6号）；</w:t>
      </w:r>
    </w:p>
    <w:p w14:paraId="0DB42D89">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560" w:firstLineChars="200"/>
        <w:jc w:val="left"/>
        <w:textAlignment w:val="auto"/>
        <w:rPr>
          <w:rFonts w:hint="eastAsia" w:ascii="宋体" w:hAnsi="宋体" w:eastAsia="宋体" w:cs="宋体"/>
          <w:snapToGrid w:val="0"/>
          <w:color w:val="auto"/>
          <w:sz w:val="28"/>
          <w:szCs w:val="28"/>
        </w:rPr>
      </w:pPr>
      <w:r>
        <w:rPr>
          <w:rFonts w:hint="eastAsia" w:ascii="宋体" w:hAnsi="宋体" w:eastAsia="宋体" w:cs="宋体"/>
          <w:snapToGrid w:val="0"/>
          <w:color w:val="auto"/>
          <w:sz w:val="28"/>
          <w:szCs w:val="28"/>
        </w:rPr>
        <w:t>《易制爆危险化学品名录》（2017年版）（中华人民共和国公安部</w:t>
      </w:r>
      <w:r>
        <w:rPr>
          <w:rFonts w:hint="eastAsia" w:ascii="宋体" w:hAnsi="宋体" w:eastAsia="宋体" w:cs="宋体"/>
          <w:snapToGrid w:val="0"/>
          <w:color w:val="auto"/>
          <w:sz w:val="28"/>
          <w:szCs w:val="28"/>
          <w:lang w:eastAsia="zh-CN"/>
        </w:rPr>
        <w:t>，</w:t>
      </w:r>
      <w:r>
        <w:rPr>
          <w:rFonts w:hint="eastAsia" w:ascii="宋体" w:hAnsi="宋体" w:eastAsia="宋体" w:cs="宋体"/>
          <w:snapToGrid w:val="0"/>
          <w:color w:val="auto"/>
          <w:sz w:val="28"/>
          <w:szCs w:val="28"/>
        </w:rPr>
        <w:t>2017年5月1日实施）；</w:t>
      </w:r>
    </w:p>
    <w:p w14:paraId="2E6092CF">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560" w:firstLineChars="200"/>
        <w:jc w:val="left"/>
        <w:textAlignment w:val="auto"/>
        <w:rPr>
          <w:rFonts w:hint="eastAsia" w:ascii="宋体" w:hAnsi="宋体" w:eastAsia="宋体" w:cs="宋体"/>
          <w:snapToGrid w:val="0"/>
          <w:color w:val="auto"/>
          <w:sz w:val="28"/>
          <w:szCs w:val="28"/>
        </w:rPr>
      </w:pPr>
      <w:r>
        <w:rPr>
          <w:rFonts w:hint="eastAsia" w:ascii="宋体" w:hAnsi="宋体" w:eastAsia="宋体" w:cs="宋体"/>
          <w:snapToGrid w:val="0"/>
          <w:color w:val="auto"/>
          <w:sz w:val="28"/>
          <w:szCs w:val="28"/>
        </w:rPr>
        <w:t>《消防监督检查规定》（中华人民共和国公安部令第120号）；</w:t>
      </w:r>
    </w:p>
    <w:p w14:paraId="77C6E768">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560" w:firstLineChars="200"/>
        <w:jc w:val="left"/>
        <w:textAlignment w:val="auto"/>
        <w:rPr>
          <w:rFonts w:hint="eastAsia" w:ascii="宋体" w:hAnsi="宋体" w:eastAsia="宋体" w:cs="宋体"/>
          <w:snapToGrid w:val="0"/>
          <w:color w:val="auto"/>
          <w:sz w:val="28"/>
          <w:szCs w:val="28"/>
        </w:rPr>
      </w:pPr>
      <w:r>
        <w:rPr>
          <w:rFonts w:hint="eastAsia" w:ascii="宋体" w:hAnsi="宋体" w:eastAsia="宋体" w:cs="宋体"/>
          <w:snapToGrid w:val="0"/>
          <w:color w:val="auto"/>
          <w:sz w:val="28"/>
          <w:szCs w:val="28"/>
        </w:rPr>
        <w:t>《质检总局关于修订《特种设备目录》的公告》（国家质量监督检验检疫总局2014年第114号）；</w:t>
      </w:r>
    </w:p>
    <w:p w14:paraId="67F1CF9F">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560" w:firstLineChars="200"/>
        <w:jc w:val="left"/>
        <w:textAlignment w:val="auto"/>
        <w:rPr>
          <w:rFonts w:hint="eastAsia" w:ascii="宋体" w:hAnsi="宋体" w:eastAsia="宋体" w:cs="宋体"/>
          <w:snapToGrid w:val="0"/>
          <w:color w:val="auto"/>
          <w:sz w:val="28"/>
          <w:szCs w:val="28"/>
        </w:rPr>
      </w:pPr>
      <w:r>
        <w:rPr>
          <w:rFonts w:hint="eastAsia" w:ascii="宋体" w:hAnsi="宋体" w:eastAsia="宋体" w:cs="宋体"/>
          <w:snapToGrid w:val="0"/>
          <w:color w:val="auto"/>
          <w:sz w:val="28"/>
          <w:szCs w:val="28"/>
        </w:rPr>
        <w:t>《国家质量监督检验检疫总局关于修改&lt;特种设备作业人员监督管理办法&gt;的决定》（国家质量监督检验检疫总局第140号）；</w:t>
      </w:r>
    </w:p>
    <w:p w14:paraId="37A1D5EB">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560" w:firstLineChars="200"/>
        <w:jc w:val="left"/>
        <w:textAlignment w:val="auto"/>
        <w:rPr>
          <w:rFonts w:hint="eastAsia" w:ascii="宋体" w:hAnsi="宋体" w:eastAsia="宋体" w:cs="宋体"/>
          <w:snapToGrid w:val="0"/>
          <w:color w:val="auto"/>
          <w:sz w:val="28"/>
          <w:szCs w:val="28"/>
        </w:rPr>
      </w:pPr>
      <w:r>
        <w:rPr>
          <w:rFonts w:hint="eastAsia" w:ascii="宋体" w:hAnsi="宋体" w:eastAsia="宋体" w:cs="宋体"/>
          <w:snapToGrid w:val="0"/>
          <w:color w:val="auto"/>
          <w:sz w:val="28"/>
          <w:szCs w:val="28"/>
        </w:rPr>
        <w:t>《爆炸危险场所安全规定》（中华人民共和国劳部发〔1995〕56号）；</w:t>
      </w:r>
    </w:p>
    <w:p w14:paraId="7E2AE681">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560" w:firstLineChars="200"/>
        <w:jc w:val="left"/>
        <w:textAlignment w:val="auto"/>
        <w:rPr>
          <w:rFonts w:hint="eastAsia" w:ascii="宋体" w:hAnsi="宋体" w:eastAsia="宋体" w:cs="宋体"/>
          <w:snapToGrid w:val="0"/>
          <w:color w:val="auto"/>
          <w:sz w:val="28"/>
          <w:szCs w:val="28"/>
          <w:lang w:eastAsia="zh-CN"/>
        </w:rPr>
      </w:pPr>
      <w:r>
        <w:rPr>
          <w:rFonts w:hint="eastAsia" w:ascii="宋体" w:hAnsi="宋体" w:eastAsia="宋体" w:cs="宋体"/>
          <w:snapToGrid w:val="0"/>
          <w:color w:val="auto"/>
          <w:sz w:val="28"/>
          <w:szCs w:val="28"/>
        </w:rPr>
        <w:t>《防雷减灾管理办法》（中国气象局第24号）</w:t>
      </w:r>
      <w:r>
        <w:rPr>
          <w:rFonts w:hint="eastAsia" w:ascii="宋体" w:hAnsi="宋体" w:eastAsia="宋体" w:cs="宋体"/>
          <w:color w:val="auto"/>
          <w:sz w:val="28"/>
          <w:szCs w:val="28"/>
          <w:lang w:eastAsia="zh-CN"/>
        </w:rPr>
        <w:t>：</w:t>
      </w:r>
    </w:p>
    <w:p w14:paraId="680FB879">
      <w:pPr>
        <w:keepNext w:val="0"/>
        <w:keepLines w:val="0"/>
        <w:pageBreakBefore w:val="0"/>
        <w:widowControl w:val="0"/>
        <w:numPr>
          <w:ilvl w:val="0"/>
          <w:numId w:val="1"/>
        </w:numPr>
        <w:tabs>
          <w:tab w:val="left" w:pos="0"/>
          <w:tab w:val="left" w:pos="630"/>
          <w:tab w:val="left" w:pos="720"/>
        </w:tabs>
        <w:kinsoku/>
        <w:wordWrap/>
        <w:overflowPunct/>
        <w:topLinePunct w:val="0"/>
        <w:autoSpaceDE/>
        <w:autoSpaceDN/>
        <w:bidi w:val="0"/>
        <w:adjustRightInd/>
        <w:snapToGrid w:val="0"/>
        <w:spacing w:line="500" w:lineRule="exact"/>
        <w:ind w:left="0" w:leftChars="0" w:right="0" w:rightChars="0" w:firstLine="560" w:firstLineChars="200"/>
        <w:textAlignment w:val="auto"/>
        <w:rPr>
          <w:rFonts w:hint="eastAsia" w:ascii="宋体" w:hAnsi="宋体" w:eastAsia="宋体" w:cs="宋体"/>
          <w:color w:val="auto"/>
          <w:spacing w:val="0"/>
          <w:position w:val="0"/>
          <w:sz w:val="28"/>
          <w:szCs w:val="28"/>
        </w:rPr>
      </w:pPr>
      <w:r>
        <w:rPr>
          <w:rFonts w:hint="eastAsia" w:ascii="宋体" w:hAnsi="宋体" w:eastAsia="宋体" w:cs="宋体"/>
          <w:color w:val="auto"/>
          <w:spacing w:val="0"/>
          <w:position w:val="0"/>
          <w:sz w:val="28"/>
          <w:szCs w:val="28"/>
          <w:lang w:eastAsia="zh-CN"/>
        </w:rPr>
        <w:t>《</w:t>
      </w:r>
      <w:r>
        <w:rPr>
          <w:rFonts w:hint="eastAsia" w:ascii="宋体" w:hAnsi="宋体" w:eastAsia="宋体" w:cs="宋体"/>
          <w:color w:val="auto"/>
          <w:spacing w:val="0"/>
          <w:position w:val="0"/>
          <w:sz w:val="28"/>
          <w:szCs w:val="28"/>
        </w:rPr>
        <w:t>应急管理部办公厅关于修订《冶金有色建材机械轻工纺织烟草商贸行业安全监管分类标准（试行）》的通知</w:t>
      </w:r>
      <w:r>
        <w:rPr>
          <w:rFonts w:hint="eastAsia" w:ascii="宋体" w:hAnsi="宋体" w:eastAsia="宋体" w:cs="宋体"/>
          <w:color w:val="auto"/>
          <w:spacing w:val="0"/>
          <w:position w:val="0"/>
          <w:sz w:val="28"/>
          <w:szCs w:val="28"/>
          <w:lang w:eastAsia="zh-CN"/>
        </w:rPr>
        <w:t>》（</w:t>
      </w:r>
      <w:r>
        <w:rPr>
          <w:rFonts w:hint="eastAsia" w:ascii="宋体" w:hAnsi="宋体" w:eastAsia="宋体" w:cs="宋体"/>
          <w:color w:val="auto"/>
          <w:spacing w:val="0"/>
          <w:position w:val="0"/>
          <w:sz w:val="28"/>
          <w:szCs w:val="28"/>
        </w:rPr>
        <w:t>应急厅〔2019〕17号</w:t>
      </w:r>
      <w:r>
        <w:rPr>
          <w:rFonts w:hint="eastAsia" w:ascii="宋体" w:hAnsi="宋体" w:eastAsia="宋体" w:cs="宋体"/>
          <w:color w:val="auto"/>
          <w:spacing w:val="0"/>
          <w:position w:val="0"/>
          <w:sz w:val="28"/>
          <w:szCs w:val="28"/>
          <w:lang w:eastAsia="zh-CN"/>
        </w:rPr>
        <w:t>）；</w:t>
      </w:r>
    </w:p>
    <w:p w14:paraId="7742D7E0">
      <w:pPr>
        <w:keepNext w:val="0"/>
        <w:keepLines w:val="0"/>
        <w:pageBreakBefore w:val="0"/>
        <w:widowControl w:val="0"/>
        <w:numPr>
          <w:ilvl w:val="0"/>
          <w:numId w:val="1"/>
        </w:numPr>
        <w:tabs>
          <w:tab w:val="left" w:pos="0"/>
          <w:tab w:val="left" w:pos="630"/>
          <w:tab w:val="left" w:pos="720"/>
        </w:tabs>
        <w:kinsoku/>
        <w:wordWrap/>
        <w:overflowPunct/>
        <w:topLinePunct w:val="0"/>
        <w:autoSpaceDE/>
        <w:autoSpaceDN/>
        <w:bidi w:val="0"/>
        <w:adjustRightInd/>
        <w:snapToGrid w:val="0"/>
        <w:spacing w:line="500" w:lineRule="exact"/>
        <w:ind w:left="0" w:leftChars="0" w:right="0" w:rightChars="0" w:firstLine="560" w:firstLineChars="200"/>
        <w:textAlignment w:val="auto"/>
        <w:rPr>
          <w:rFonts w:hint="eastAsia" w:ascii="宋体" w:hAnsi="宋体" w:eastAsia="宋体" w:cs="宋体"/>
          <w:color w:val="auto"/>
          <w:spacing w:val="0"/>
          <w:position w:val="0"/>
          <w:sz w:val="28"/>
          <w:szCs w:val="28"/>
        </w:rPr>
      </w:pPr>
      <w:r>
        <w:rPr>
          <w:rFonts w:hint="eastAsia" w:ascii="宋体" w:hAnsi="宋体" w:eastAsia="宋体" w:cs="宋体"/>
          <w:color w:val="auto"/>
          <w:spacing w:val="0"/>
          <w:position w:val="0"/>
          <w:sz w:val="28"/>
          <w:szCs w:val="28"/>
          <w:lang w:eastAsia="zh-CN"/>
        </w:rPr>
        <w:t>《</w:t>
      </w:r>
      <w:r>
        <w:rPr>
          <w:rFonts w:hint="eastAsia" w:ascii="宋体" w:hAnsi="宋体" w:eastAsia="宋体" w:cs="宋体"/>
          <w:color w:val="auto"/>
          <w:spacing w:val="0"/>
          <w:position w:val="0"/>
          <w:sz w:val="28"/>
          <w:szCs w:val="28"/>
        </w:rPr>
        <w:t>工业和信息化部关于进一步加强工业行业安全生产管理的指导意见</w:t>
      </w:r>
      <w:r>
        <w:rPr>
          <w:rFonts w:hint="eastAsia" w:ascii="宋体" w:hAnsi="宋体" w:eastAsia="宋体" w:cs="宋体"/>
          <w:color w:val="auto"/>
          <w:spacing w:val="0"/>
          <w:position w:val="0"/>
          <w:sz w:val="28"/>
          <w:szCs w:val="28"/>
          <w:lang w:eastAsia="zh-CN"/>
        </w:rPr>
        <w:t>》（</w:t>
      </w:r>
      <w:r>
        <w:rPr>
          <w:rFonts w:hint="eastAsia" w:ascii="宋体" w:hAnsi="宋体" w:eastAsia="宋体" w:cs="宋体"/>
          <w:color w:val="auto"/>
          <w:spacing w:val="0"/>
          <w:position w:val="0"/>
          <w:sz w:val="28"/>
          <w:szCs w:val="28"/>
        </w:rPr>
        <w:t>工信部安全〔2020〕83号</w:t>
      </w:r>
      <w:r>
        <w:rPr>
          <w:rFonts w:hint="eastAsia" w:ascii="宋体" w:hAnsi="宋体" w:eastAsia="宋体" w:cs="宋体"/>
          <w:color w:val="auto"/>
          <w:spacing w:val="0"/>
          <w:position w:val="0"/>
          <w:sz w:val="28"/>
          <w:szCs w:val="28"/>
          <w:lang w:eastAsia="zh-CN"/>
        </w:rPr>
        <w:t>）；</w:t>
      </w:r>
    </w:p>
    <w:p w14:paraId="0AFDB7DE">
      <w:pPr>
        <w:keepNext w:val="0"/>
        <w:keepLines w:val="0"/>
        <w:pageBreakBefore w:val="0"/>
        <w:widowControl w:val="0"/>
        <w:numPr>
          <w:ilvl w:val="0"/>
          <w:numId w:val="1"/>
        </w:numPr>
        <w:tabs>
          <w:tab w:val="left" w:pos="0"/>
          <w:tab w:val="left" w:pos="630"/>
          <w:tab w:val="left" w:pos="720"/>
        </w:tabs>
        <w:kinsoku/>
        <w:wordWrap/>
        <w:overflowPunct/>
        <w:topLinePunct w:val="0"/>
        <w:autoSpaceDE/>
        <w:autoSpaceDN/>
        <w:bidi w:val="0"/>
        <w:adjustRightInd/>
        <w:snapToGrid w:val="0"/>
        <w:spacing w:line="500" w:lineRule="exact"/>
        <w:ind w:left="0" w:leftChars="0" w:right="0" w:rightChars="0" w:firstLine="560" w:firstLineChars="200"/>
        <w:textAlignment w:val="auto"/>
        <w:rPr>
          <w:rFonts w:hint="eastAsia" w:ascii="宋体" w:hAnsi="宋体" w:eastAsia="宋体" w:cs="宋体"/>
          <w:color w:val="auto"/>
          <w:spacing w:val="0"/>
          <w:position w:val="0"/>
          <w:sz w:val="28"/>
          <w:szCs w:val="28"/>
          <w:lang w:eastAsia="zh-CN"/>
        </w:rPr>
      </w:pPr>
      <w:r>
        <w:rPr>
          <w:rFonts w:hint="eastAsia" w:ascii="宋体" w:hAnsi="宋体" w:eastAsia="宋体" w:cs="宋体"/>
          <w:color w:val="auto"/>
          <w:spacing w:val="0"/>
          <w:position w:val="0"/>
          <w:sz w:val="28"/>
          <w:szCs w:val="28"/>
          <w:lang w:eastAsia="zh-CN"/>
        </w:rPr>
        <w:t>《工贸行业遏制重特大事故工作意见》（安监总管四[2016]68号）；</w:t>
      </w:r>
    </w:p>
    <w:p w14:paraId="4488BE1F">
      <w:pPr>
        <w:keepNext w:val="0"/>
        <w:keepLines w:val="0"/>
        <w:pageBreakBefore w:val="0"/>
        <w:widowControl w:val="0"/>
        <w:numPr>
          <w:ilvl w:val="0"/>
          <w:numId w:val="1"/>
        </w:numPr>
        <w:tabs>
          <w:tab w:val="left" w:pos="0"/>
          <w:tab w:val="left" w:pos="630"/>
          <w:tab w:val="left" w:pos="720"/>
        </w:tabs>
        <w:kinsoku/>
        <w:wordWrap/>
        <w:overflowPunct/>
        <w:topLinePunct w:val="0"/>
        <w:autoSpaceDE/>
        <w:autoSpaceDN/>
        <w:bidi w:val="0"/>
        <w:adjustRightInd/>
        <w:snapToGrid w:val="0"/>
        <w:spacing w:line="500" w:lineRule="exact"/>
        <w:ind w:left="0" w:leftChars="0" w:right="0" w:rightChars="0" w:firstLine="560" w:firstLineChars="200"/>
        <w:textAlignment w:val="auto"/>
        <w:rPr>
          <w:rFonts w:hint="eastAsia" w:ascii="宋体" w:hAnsi="宋体" w:eastAsia="宋体" w:cs="宋体"/>
          <w:color w:val="auto"/>
          <w:spacing w:val="0"/>
          <w:position w:val="0"/>
          <w:sz w:val="28"/>
          <w:szCs w:val="28"/>
          <w:lang w:eastAsia="zh-CN"/>
        </w:rPr>
      </w:pPr>
      <w:r>
        <w:rPr>
          <w:rFonts w:hint="eastAsia" w:ascii="宋体" w:hAnsi="宋体" w:eastAsia="宋体" w:cs="宋体"/>
          <w:color w:val="auto"/>
          <w:spacing w:val="0"/>
          <w:position w:val="0"/>
          <w:sz w:val="28"/>
          <w:szCs w:val="28"/>
          <w:lang w:eastAsia="zh-CN"/>
        </w:rPr>
        <w:t>《国家安全监管总局关于印发开展工贸企业较大危险因素辨识管控提升防范事故能力行动计划的通知》（安监总管四[2016]31号）；</w:t>
      </w:r>
    </w:p>
    <w:p w14:paraId="68C01436">
      <w:pPr>
        <w:keepNext w:val="0"/>
        <w:keepLines w:val="0"/>
        <w:pageBreakBefore w:val="0"/>
        <w:widowControl w:val="0"/>
        <w:numPr>
          <w:ilvl w:val="0"/>
          <w:numId w:val="1"/>
        </w:numPr>
        <w:tabs>
          <w:tab w:val="left" w:pos="0"/>
          <w:tab w:val="left" w:pos="630"/>
          <w:tab w:val="left" w:pos="720"/>
        </w:tabs>
        <w:kinsoku/>
        <w:wordWrap/>
        <w:overflowPunct/>
        <w:topLinePunct w:val="0"/>
        <w:autoSpaceDE/>
        <w:autoSpaceDN/>
        <w:bidi w:val="0"/>
        <w:adjustRightInd/>
        <w:snapToGrid w:val="0"/>
        <w:spacing w:line="500" w:lineRule="exact"/>
        <w:ind w:left="0" w:leftChars="0" w:right="0" w:rightChars="0" w:firstLine="560" w:firstLineChars="200"/>
        <w:textAlignment w:val="auto"/>
        <w:rPr>
          <w:rFonts w:hint="eastAsia" w:ascii="宋体" w:hAnsi="宋体" w:eastAsia="宋体" w:cs="宋体"/>
          <w:color w:val="auto"/>
          <w:spacing w:val="0"/>
          <w:position w:val="0"/>
          <w:sz w:val="28"/>
          <w:szCs w:val="28"/>
        </w:rPr>
      </w:pPr>
      <w:r>
        <w:rPr>
          <w:rFonts w:hint="eastAsia" w:ascii="宋体" w:hAnsi="宋体" w:eastAsia="宋体" w:cs="宋体"/>
          <w:color w:val="auto"/>
          <w:spacing w:val="0"/>
          <w:position w:val="0"/>
          <w:sz w:val="28"/>
          <w:szCs w:val="28"/>
          <w:lang w:eastAsia="zh-CN"/>
        </w:rPr>
        <w:t>《工贸</w:t>
      </w:r>
      <w:r>
        <w:rPr>
          <w:rFonts w:hint="eastAsia" w:ascii="宋体" w:hAnsi="宋体" w:eastAsia="宋体" w:cs="宋体"/>
          <w:color w:val="auto"/>
          <w:spacing w:val="0"/>
          <w:position w:val="0"/>
          <w:sz w:val="28"/>
          <w:szCs w:val="28"/>
          <w:lang w:val="en-US" w:eastAsia="zh-CN"/>
        </w:rPr>
        <w:t>企业</w:t>
      </w:r>
      <w:r>
        <w:rPr>
          <w:rFonts w:hint="eastAsia" w:ascii="宋体" w:hAnsi="宋体" w:eastAsia="宋体" w:cs="宋体"/>
          <w:color w:val="auto"/>
          <w:spacing w:val="0"/>
          <w:position w:val="0"/>
          <w:sz w:val="28"/>
          <w:szCs w:val="28"/>
          <w:lang w:eastAsia="zh-CN"/>
        </w:rPr>
        <w:t>重大事故隐患判定标准》（</w:t>
      </w:r>
      <w:r>
        <w:rPr>
          <w:rFonts w:hint="eastAsia" w:ascii="宋体" w:hAnsi="宋体" w:eastAsia="宋体" w:cs="宋体"/>
          <w:color w:val="auto"/>
          <w:spacing w:val="0"/>
          <w:position w:val="0"/>
          <w:sz w:val="28"/>
          <w:szCs w:val="28"/>
          <w:lang w:val="en-US" w:eastAsia="zh-CN"/>
        </w:rPr>
        <w:t>应急管理部令第10号，2023年5月15日起施行</w:t>
      </w:r>
      <w:r>
        <w:rPr>
          <w:rFonts w:hint="eastAsia" w:ascii="宋体" w:hAnsi="宋体" w:eastAsia="宋体" w:cs="宋体"/>
          <w:color w:val="auto"/>
          <w:spacing w:val="0"/>
          <w:position w:val="0"/>
          <w:sz w:val="28"/>
          <w:szCs w:val="28"/>
          <w:lang w:eastAsia="zh-CN"/>
        </w:rPr>
        <w:t>）；</w:t>
      </w:r>
    </w:p>
    <w:p w14:paraId="5C67017F">
      <w:pPr>
        <w:keepNext w:val="0"/>
        <w:keepLines w:val="0"/>
        <w:pageBreakBefore w:val="0"/>
        <w:widowControl w:val="0"/>
        <w:numPr>
          <w:ilvl w:val="0"/>
          <w:numId w:val="1"/>
        </w:numPr>
        <w:tabs>
          <w:tab w:val="left" w:pos="0"/>
          <w:tab w:val="left" w:pos="630"/>
          <w:tab w:val="left" w:pos="720"/>
        </w:tabs>
        <w:kinsoku/>
        <w:wordWrap/>
        <w:overflowPunct/>
        <w:topLinePunct w:val="0"/>
        <w:autoSpaceDE/>
        <w:autoSpaceDN/>
        <w:bidi w:val="0"/>
        <w:adjustRightInd/>
        <w:snapToGrid w:val="0"/>
        <w:spacing w:line="500" w:lineRule="exact"/>
        <w:ind w:left="0" w:leftChars="0" w:right="0" w:rightChars="0" w:firstLine="560" w:firstLineChars="200"/>
        <w:textAlignment w:val="auto"/>
        <w:rPr>
          <w:rFonts w:hint="eastAsia" w:ascii="宋体" w:hAnsi="宋体" w:eastAsia="宋体" w:cs="宋体"/>
          <w:color w:val="auto"/>
          <w:spacing w:val="0"/>
          <w:position w:val="0"/>
          <w:sz w:val="28"/>
          <w:szCs w:val="28"/>
        </w:rPr>
      </w:pPr>
      <w:r>
        <w:rPr>
          <w:rFonts w:hint="eastAsia" w:ascii="宋体" w:hAnsi="宋体" w:eastAsia="宋体" w:cs="宋体"/>
          <w:color w:val="auto"/>
          <w:spacing w:val="0"/>
          <w:position w:val="0"/>
          <w:sz w:val="28"/>
          <w:szCs w:val="28"/>
          <w:lang w:val="en-US" w:eastAsia="zh-CN"/>
        </w:rPr>
        <w:t>《建设</w:t>
      </w:r>
      <w:r>
        <w:rPr>
          <w:rFonts w:hint="eastAsia" w:ascii="宋体" w:hAnsi="宋体" w:eastAsia="宋体" w:cs="宋体"/>
          <w:color w:val="auto"/>
          <w:sz w:val="28"/>
          <w:szCs w:val="28"/>
          <w:lang w:val="en-US" w:eastAsia="zh-CN"/>
        </w:rPr>
        <w:t>工程消防设计审查验收管理暂行规定》（住建部令第51号）；</w:t>
      </w:r>
    </w:p>
    <w:p w14:paraId="6FFF6C60">
      <w:pPr>
        <w:keepNext w:val="0"/>
        <w:keepLines w:val="0"/>
        <w:pageBreakBefore w:val="0"/>
        <w:widowControl w:val="0"/>
        <w:numPr>
          <w:ilvl w:val="0"/>
          <w:numId w:val="1"/>
        </w:numPr>
        <w:tabs>
          <w:tab w:val="left" w:pos="0"/>
          <w:tab w:val="left" w:pos="630"/>
          <w:tab w:val="left" w:pos="720"/>
        </w:tabs>
        <w:kinsoku/>
        <w:wordWrap/>
        <w:overflowPunct/>
        <w:topLinePunct w:val="0"/>
        <w:autoSpaceDE/>
        <w:autoSpaceDN/>
        <w:bidi w:val="0"/>
        <w:adjustRightInd/>
        <w:snapToGrid w:val="0"/>
        <w:spacing w:line="500" w:lineRule="exact"/>
        <w:ind w:left="0" w:leftChars="0" w:right="0" w:rightChars="0" w:firstLine="560" w:firstLineChars="200"/>
        <w:textAlignment w:val="auto"/>
        <w:rPr>
          <w:rFonts w:hint="eastAsia"/>
          <w:sz w:val="28"/>
          <w:szCs w:val="28"/>
        </w:rPr>
      </w:pPr>
      <w:r>
        <w:rPr>
          <w:rFonts w:hint="eastAsia" w:ascii="宋体" w:hAnsi="宋体" w:eastAsia="宋体" w:cs="宋体"/>
          <w:color w:val="auto"/>
          <w:spacing w:val="0"/>
          <w:position w:val="0"/>
          <w:sz w:val="28"/>
          <w:szCs w:val="28"/>
          <w:lang w:val="en-US" w:eastAsia="zh-CN"/>
        </w:rPr>
        <w:t>《产业结构调整指导目录》（2024年本）。</w:t>
      </w:r>
    </w:p>
    <w:p w14:paraId="003CB9CF">
      <w:pPr>
        <w:pStyle w:val="4"/>
        <w:pageBreakBefore w:val="0"/>
        <w:widowControl w:val="0"/>
        <w:kinsoku/>
        <w:wordWrap/>
        <w:overflowPunct/>
        <w:topLinePunct w:val="0"/>
        <w:autoSpaceDE/>
        <w:autoSpaceDN/>
        <w:bidi w:val="0"/>
        <w:adjustRightInd/>
        <w:snapToGrid w:val="0"/>
        <w:spacing w:before="0" w:after="0" w:line="500" w:lineRule="exact"/>
        <w:ind w:left="0" w:leftChars="0"/>
        <w:textAlignment w:val="auto"/>
        <w:rPr>
          <w:rFonts w:hint="eastAsia" w:ascii="宋体" w:hAnsi="宋体" w:eastAsia="宋体" w:cs="宋体"/>
          <w:snapToGrid w:val="0"/>
          <w:color w:val="auto"/>
          <w:kern w:val="0"/>
          <w:sz w:val="28"/>
          <w:szCs w:val="28"/>
        </w:rPr>
      </w:pPr>
      <w:bookmarkStart w:id="38" w:name="_Toc21054"/>
      <w:bookmarkStart w:id="39" w:name="_Toc32514"/>
      <w:bookmarkStart w:id="40" w:name="_Toc17207"/>
      <w:r>
        <w:rPr>
          <w:rFonts w:hint="eastAsia" w:ascii="宋体" w:hAnsi="宋体" w:eastAsia="宋体" w:cs="宋体"/>
          <w:snapToGrid w:val="0"/>
          <w:color w:val="auto"/>
          <w:kern w:val="0"/>
          <w:sz w:val="28"/>
          <w:szCs w:val="28"/>
        </w:rPr>
        <w:t>1.2.4地方有关法规文件</w:t>
      </w:r>
      <w:bookmarkEnd w:id="38"/>
      <w:bookmarkEnd w:id="39"/>
      <w:bookmarkEnd w:id="40"/>
    </w:p>
    <w:p w14:paraId="059D8191">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560" w:firstLineChars="200"/>
        <w:jc w:val="left"/>
        <w:textAlignment w:val="auto"/>
        <w:rPr>
          <w:rFonts w:hint="eastAsia" w:ascii="宋体" w:hAnsi="宋体" w:eastAsia="宋体" w:cs="宋体"/>
          <w:snapToGrid w:val="0"/>
          <w:color w:val="auto"/>
          <w:sz w:val="28"/>
          <w:szCs w:val="28"/>
        </w:rPr>
      </w:pPr>
      <w:r>
        <w:rPr>
          <w:rFonts w:hint="eastAsia" w:ascii="宋体" w:hAnsi="宋体" w:eastAsia="宋体" w:cs="宋体"/>
          <w:snapToGrid w:val="0"/>
          <w:color w:val="auto"/>
          <w:sz w:val="28"/>
          <w:szCs w:val="28"/>
        </w:rPr>
        <w:t>《云南省安全生产条例》（云南省第十二届人民代表大会常务委员会公告第63号</w:t>
      </w:r>
      <w:r>
        <w:rPr>
          <w:rFonts w:hint="eastAsia" w:hAnsi="宋体" w:cs="宋体"/>
          <w:snapToGrid w:val="0"/>
          <w:color w:val="auto"/>
          <w:sz w:val="28"/>
          <w:szCs w:val="28"/>
          <w:lang w:val="en-US" w:eastAsia="zh-CN"/>
        </w:rPr>
        <w:t>,</w:t>
      </w:r>
      <w:r>
        <w:rPr>
          <w:rFonts w:hint="eastAsia" w:ascii="宋体" w:hAnsi="宋体" w:eastAsia="宋体" w:cs="宋体"/>
          <w:snapToGrid w:val="0"/>
          <w:color w:val="auto"/>
          <w:sz w:val="28"/>
          <w:szCs w:val="28"/>
        </w:rPr>
        <w:t>云南省第十二届人民代表大会常务委员会第三十八次会议于2017年11月30日修订通过，2018年1月1日起施行）；</w:t>
      </w:r>
    </w:p>
    <w:p w14:paraId="3AE50754">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560" w:firstLineChars="200"/>
        <w:jc w:val="left"/>
        <w:textAlignment w:val="auto"/>
        <w:rPr>
          <w:rFonts w:hint="eastAsia" w:ascii="宋体" w:hAnsi="宋体" w:eastAsia="宋体" w:cs="宋体"/>
          <w:snapToGrid w:val="0"/>
          <w:color w:val="auto"/>
          <w:sz w:val="28"/>
          <w:szCs w:val="28"/>
        </w:rPr>
      </w:pPr>
      <w:r>
        <w:rPr>
          <w:rFonts w:hint="eastAsia" w:ascii="宋体" w:hAnsi="宋体" w:eastAsia="宋体" w:cs="宋体"/>
          <w:snapToGrid w:val="0"/>
          <w:color w:val="auto"/>
          <w:sz w:val="28"/>
          <w:szCs w:val="28"/>
        </w:rPr>
        <w:t>《云南省消防条例》（云南省十一届人大常委会公告第31号，自2011年1月1日起施行）；</w:t>
      </w:r>
    </w:p>
    <w:p w14:paraId="6B4E49C3">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560" w:firstLineChars="200"/>
        <w:jc w:val="left"/>
        <w:textAlignment w:val="auto"/>
        <w:rPr>
          <w:rFonts w:hint="eastAsia" w:ascii="宋体" w:hAnsi="宋体" w:eastAsia="宋体" w:cs="宋体"/>
          <w:snapToGrid w:val="0"/>
          <w:color w:val="auto"/>
          <w:sz w:val="28"/>
          <w:szCs w:val="28"/>
        </w:rPr>
      </w:pPr>
      <w:r>
        <w:rPr>
          <w:rFonts w:hint="eastAsia" w:ascii="宋体" w:hAnsi="宋体" w:eastAsia="宋体" w:cs="宋体"/>
          <w:snapToGrid w:val="0"/>
          <w:color w:val="auto"/>
          <w:sz w:val="28"/>
          <w:szCs w:val="28"/>
        </w:rPr>
        <w:t>《云南省安全生产事故调查暂行规定》（云南省人民政府办公厅2005年12月30日印发）；</w:t>
      </w:r>
    </w:p>
    <w:p w14:paraId="5F8D600D">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560" w:firstLineChars="200"/>
        <w:jc w:val="left"/>
        <w:textAlignment w:val="auto"/>
        <w:rPr>
          <w:rFonts w:hint="eastAsia" w:ascii="宋体" w:hAnsi="宋体" w:eastAsia="宋体" w:cs="宋体"/>
          <w:snapToGrid w:val="0"/>
          <w:color w:val="auto"/>
          <w:sz w:val="28"/>
          <w:szCs w:val="28"/>
        </w:rPr>
      </w:pPr>
      <w:r>
        <w:rPr>
          <w:rFonts w:hint="eastAsia" w:ascii="宋体" w:hAnsi="宋体" w:eastAsia="宋体" w:cs="宋体"/>
          <w:snapToGrid w:val="0"/>
          <w:color w:val="auto"/>
          <w:sz w:val="28"/>
          <w:szCs w:val="28"/>
        </w:rPr>
        <w:t>《云南省人民政府贯彻落实国务院关于进一步加强企业安全生产工作通知的实施意见》（云政发〔2010〕157号）；</w:t>
      </w:r>
    </w:p>
    <w:p w14:paraId="04FE7179">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560" w:firstLineChars="200"/>
        <w:jc w:val="left"/>
        <w:textAlignment w:val="auto"/>
        <w:rPr>
          <w:rFonts w:hint="eastAsia" w:ascii="宋体" w:hAnsi="宋体" w:eastAsia="宋体" w:cs="宋体"/>
          <w:snapToGrid w:val="0"/>
          <w:color w:val="auto"/>
          <w:sz w:val="28"/>
          <w:szCs w:val="28"/>
        </w:rPr>
      </w:pPr>
      <w:r>
        <w:rPr>
          <w:rFonts w:hint="eastAsia" w:ascii="宋体" w:hAnsi="宋体" w:eastAsia="宋体" w:cs="宋体"/>
          <w:snapToGrid w:val="0"/>
          <w:color w:val="auto"/>
          <w:sz w:val="28"/>
          <w:szCs w:val="28"/>
        </w:rPr>
        <w:t>《云南省人民政府关于进一步加强安全生产工作的决定》（云政发〔2011〕229号）；</w:t>
      </w:r>
    </w:p>
    <w:p w14:paraId="55983F72">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560" w:firstLineChars="200"/>
        <w:jc w:val="left"/>
        <w:textAlignment w:val="auto"/>
        <w:rPr>
          <w:rFonts w:hint="eastAsia" w:ascii="宋体" w:hAnsi="宋体" w:eastAsia="宋体" w:cs="宋体"/>
          <w:snapToGrid w:val="0"/>
          <w:color w:val="auto"/>
          <w:sz w:val="28"/>
          <w:szCs w:val="28"/>
        </w:rPr>
      </w:pPr>
      <w:r>
        <w:rPr>
          <w:rFonts w:hint="eastAsia" w:ascii="宋体" w:hAnsi="宋体" w:eastAsia="宋体" w:cs="宋体"/>
          <w:snapToGrid w:val="0"/>
          <w:color w:val="auto"/>
          <w:sz w:val="28"/>
          <w:szCs w:val="28"/>
          <w:lang w:eastAsia="zh-CN"/>
        </w:rPr>
        <w:t>《云南省生产安全事故应急办法》（省政府令第227号）</w:t>
      </w:r>
      <w:r>
        <w:rPr>
          <w:rFonts w:hint="eastAsia" w:ascii="宋体" w:hAnsi="宋体" w:eastAsia="宋体" w:cs="宋体"/>
          <w:snapToGrid w:val="0"/>
          <w:color w:val="auto"/>
          <w:sz w:val="28"/>
          <w:szCs w:val="28"/>
        </w:rPr>
        <w:t>；</w:t>
      </w:r>
      <w:bookmarkStart w:id="41" w:name="OLE_LINK3"/>
    </w:p>
    <w:p w14:paraId="2CAD16BB">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560" w:firstLineChars="200"/>
        <w:jc w:val="left"/>
        <w:textAlignment w:val="auto"/>
        <w:rPr>
          <w:rFonts w:hint="eastAsia" w:ascii="宋体" w:hAnsi="宋体" w:eastAsia="宋体" w:cs="宋体"/>
          <w:snapToGrid w:val="0"/>
          <w:color w:val="auto"/>
          <w:sz w:val="28"/>
          <w:szCs w:val="28"/>
          <w:lang w:eastAsia="zh-CN"/>
        </w:rPr>
      </w:pPr>
      <w:r>
        <w:rPr>
          <w:rFonts w:hint="eastAsia" w:ascii="宋体" w:hAnsi="宋体" w:eastAsia="宋体" w:cs="宋体"/>
          <w:snapToGrid w:val="0"/>
          <w:color w:val="auto"/>
          <w:sz w:val="28"/>
          <w:szCs w:val="28"/>
        </w:rPr>
        <w:t>《云南省安全生产监督管理局关于全面推进全省冶金等工贸行业企业安全生产标准化建设的实施意见》（云安监管（2013）29号）</w:t>
      </w:r>
      <w:bookmarkEnd w:id="41"/>
      <w:r>
        <w:rPr>
          <w:rFonts w:hint="eastAsia" w:ascii="宋体" w:hAnsi="宋体" w:eastAsia="宋体" w:cs="宋体"/>
          <w:snapToGrid w:val="0"/>
          <w:color w:val="auto"/>
          <w:sz w:val="28"/>
          <w:szCs w:val="28"/>
          <w:lang w:eastAsia="zh-CN"/>
        </w:rPr>
        <w:t>；</w:t>
      </w:r>
    </w:p>
    <w:p w14:paraId="3E37E22B">
      <w:pPr>
        <w:keepNext w:val="0"/>
        <w:keepLines w:val="0"/>
        <w:pageBreakBefore w:val="0"/>
        <w:widowControl w:val="0"/>
        <w:numPr>
          <w:ilvl w:val="0"/>
          <w:numId w:val="2"/>
        </w:numPr>
        <w:tabs>
          <w:tab w:val="left" w:pos="0"/>
          <w:tab w:val="left" w:pos="630"/>
          <w:tab w:val="left" w:pos="720"/>
        </w:tabs>
        <w:kinsoku/>
        <w:wordWrap/>
        <w:overflowPunct/>
        <w:topLinePunct w:val="0"/>
        <w:autoSpaceDE/>
        <w:autoSpaceDN/>
        <w:bidi w:val="0"/>
        <w:adjustRightInd/>
        <w:snapToGrid w:val="0"/>
        <w:spacing w:line="500" w:lineRule="exact"/>
        <w:ind w:left="0" w:leftChars="0" w:right="0" w:rightChars="0" w:firstLine="560" w:firstLineChars="200"/>
        <w:textAlignment w:val="auto"/>
        <w:rPr>
          <w:rFonts w:hint="eastAsia" w:ascii="宋体" w:hAnsi="宋体" w:eastAsia="宋体" w:cs="宋体"/>
          <w:color w:val="auto"/>
          <w:spacing w:val="0"/>
          <w:position w:val="0"/>
          <w:sz w:val="28"/>
          <w:szCs w:val="28"/>
          <w:lang w:eastAsia="zh-CN"/>
        </w:rPr>
      </w:pPr>
      <w:r>
        <w:rPr>
          <w:rFonts w:hint="eastAsia" w:hAnsi="宋体" w:cs="宋体"/>
          <w:color w:val="auto"/>
          <w:spacing w:val="0"/>
          <w:position w:val="0"/>
          <w:sz w:val="28"/>
          <w:szCs w:val="28"/>
          <w:lang w:eastAsia="zh-CN"/>
        </w:rPr>
        <w:t>《</w:t>
      </w:r>
      <w:r>
        <w:rPr>
          <w:rFonts w:hint="eastAsia" w:ascii="宋体" w:hAnsi="宋体" w:eastAsia="宋体" w:cs="宋体"/>
          <w:color w:val="auto"/>
          <w:spacing w:val="0"/>
          <w:position w:val="0"/>
          <w:sz w:val="28"/>
          <w:szCs w:val="28"/>
        </w:rPr>
        <w:t>云南省工贸安全生产治本攻坚三年行动实施方案（2024—2026年）</w:t>
      </w:r>
      <w:r>
        <w:rPr>
          <w:rFonts w:hint="eastAsia" w:hAnsi="宋体" w:cs="宋体"/>
          <w:color w:val="auto"/>
          <w:spacing w:val="0"/>
          <w:position w:val="0"/>
          <w:sz w:val="28"/>
          <w:szCs w:val="28"/>
          <w:lang w:eastAsia="zh-CN"/>
        </w:rPr>
        <w:t>》</w:t>
      </w:r>
      <w:r>
        <w:rPr>
          <w:rFonts w:hint="eastAsia" w:ascii="宋体" w:hAnsi="宋体" w:eastAsia="宋体" w:cs="宋体"/>
          <w:color w:val="auto"/>
          <w:spacing w:val="0"/>
          <w:position w:val="0"/>
          <w:sz w:val="28"/>
          <w:szCs w:val="28"/>
        </w:rPr>
        <w:t>（云应急函〔2024〕40号）</w:t>
      </w:r>
      <w:r>
        <w:rPr>
          <w:rFonts w:hint="eastAsia" w:ascii="宋体" w:hAnsi="宋体" w:eastAsia="宋体" w:cs="宋体"/>
          <w:color w:val="auto"/>
          <w:spacing w:val="0"/>
          <w:position w:val="0"/>
          <w:sz w:val="28"/>
          <w:szCs w:val="28"/>
          <w:lang w:eastAsia="zh-CN"/>
        </w:rPr>
        <w:t>；</w:t>
      </w:r>
    </w:p>
    <w:p w14:paraId="79E1BDA0">
      <w:pPr>
        <w:keepNext w:val="0"/>
        <w:keepLines w:val="0"/>
        <w:pageBreakBefore w:val="0"/>
        <w:widowControl w:val="0"/>
        <w:numPr>
          <w:ilvl w:val="0"/>
          <w:numId w:val="2"/>
        </w:numPr>
        <w:tabs>
          <w:tab w:val="left" w:pos="0"/>
          <w:tab w:val="left" w:pos="630"/>
          <w:tab w:val="left" w:pos="720"/>
        </w:tabs>
        <w:kinsoku/>
        <w:wordWrap/>
        <w:overflowPunct/>
        <w:topLinePunct w:val="0"/>
        <w:autoSpaceDE/>
        <w:autoSpaceDN/>
        <w:bidi w:val="0"/>
        <w:adjustRightInd/>
        <w:snapToGrid w:val="0"/>
        <w:spacing w:line="500" w:lineRule="exact"/>
        <w:ind w:left="0" w:leftChars="0" w:right="0" w:rightChars="0" w:firstLine="560" w:firstLineChars="200"/>
        <w:textAlignment w:val="auto"/>
        <w:rPr>
          <w:rFonts w:hint="eastAsia" w:ascii="宋体" w:hAnsi="宋体" w:eastAsia="宋体" w:cs="宋体"/>
          <w:color w:val="auto"/>
          <w:spacing w:val="0"/>
          <w:position w:val="0"/>
          <w:sz w:val="28"/>
          <w:szCs w:val="28"/>
          <w:lang w:val="en-US" w:eastAsia="zh-CN"/>
        </w:rPr>
      </w:pPr>
      <w:r>
        <w:rPr>
          <w:rFonts w:hint="eastAsia" w:ascii="宋体" w:hAnsi="宋体" w:eastAsia="宋体" w:cs="宋体"/>
          <w:color w:val="auto"/>
          <w:spacing w:val="0"/>
          <w:position w:val="0"/>
          <w:sz w:val="28"/>
          <w:szCs w:val="28"/>
          <w:lang w:val="en-US" w:eastAsia="zh-CN"/>
        </w:rPr>
        <w:t>《中共云南省委云南省人民政府关于推进安全生产领域改革发展的实施意见》（云政发（2017）22号）；</w:t>
      </w:r>
    </w:p>
    <w:p w14:paraId="115EA506">
      <w:pPr>
        <w:pStyle w:val="9"/>
        <w:keepNext w:val="0"/>
        <w:keepLines w:val="0"/>
        <w:pageBreakBefore w:val="0"/>
        <w:widowControl w:val="0"/>
        <w:numPr>
          <w:ilvl w:val="0"/>
          <w:numId w:val="2"/>
        </w:numPr>
        <w:kinsoku/>
        <w:wordWrap/>
        <w:overflowPunct/>
        <w:topLinePunct w:val="0"/>
        <w:autoSpaceDE/>
        <w:autoSpaceDN/>
        <w:bidi w:val="0"/>
        <w:adjustRightInd/>
        <w:spacing w:line="50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pacing w:val="0"/>
          <w:position w:val="0"/>
          <w:sz w:val="28"/>
          <w:szCs w:val="28"/>
          <w:lang w:val="en-US" w:eastAsia="zh-CN"/>
        </w:rPr>
        <w:t>云南省安全生产监督管理局关于印发《云南省金属冶炼企业安全风险分级监管暂行管理办法（试行）的通知》（云安监管[2017]52号）；</w:t>
      </w:r>
    </w:p>
    <w:p w14:paraId="23E591D8">
      <w:pPr>
        <w:pStyle w:val="9"/>
        <w:keepNext w:val="0"/>
        <w:keepLines w:val="0"/>
        <w:pageBreakBefore w:val="0"/>
        <w:widowControl w:val="0"/>
        <w:numPr>
          <w:ilvl w:val="0"/>
          <w:numId w:val="2"/>
        </w:numPr>
        <w:kinsoku/>
        <w:wordWrap/>
        <w:overflowPunct/>
        <w:topLinePunct w:val="0"/>
        <w:autoSpaceDE/>
        <w:autoSpaceDN/>
        <w:bidi w:val="0"/>
        <w:adjustRightInd/>
        <w:spacing w:line="50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pacing w:val="0"/>
          <w:position w:val="0"/>
          <w:sz w:val="28"/>
          <w:szCs w:val="28"/>
          <w:lang w:val="en-US" w:eastAsia="zh-CN"/>
        </w:rPr>
        <w:t>《云南省人民政府关于印发云南省生产经营单位安全生产主体责任规定的通知》（云政规〔2022〕4号）。</w:t>
      </w:r>
    </w:p>
    <w:p w14:paraId="3B695A79">
      <w:pPr>
        <w:pStyle w:val="4"/>
        <w:pageBreakBefore w:val="0"/>
        <w:widowControl w:val="0"/>
        <w:wordWrap/>
        <w:topLinePunct w:val="0"/>
        <w:autoSpaceDE/>
        <w:autoSpaceDN/>
        <w:bidi w:val="0"/>
        <w:snapToGrid w:val="0"/>
        <w:spacing w:before="20" w:after="20" w:line="500" w:lineRule="exact"/>
        <w:ind w:leftChars="0"/>
        <w:textAlignment w:val="auto"/>
        <w:rPr>
          <w:rFonts w:hint="eastAsia" w:ascii="宋体" w:hAnsi="宋体" w:eastAsia="宋体" w:cs="宋体"/>
          <w:snapToGrid w:val="0"/>
          <w:color w:val="auto"/>
          <w:kern w:val="0"/>
          <w:sz w:val="28"/>
          <w:szCs w:val="28"/>
        </w:rPr>
      </w:pPr>
      <w:bookmarkStart w:id="42" w:name="_Toc5259"/>
      <w:bookmarkStart w:id="43" w:name="_Toc335926129"/>
      <w:bookmarkStart w:id="44" w:name="_Toc7192"/>
      <w:bookmarkStart w:id="45" w:name="_Toc32169"/>
      <w:bookmarkStart w:id="46" w:name="_Toc31498"/>
      <w:bookmarkStart w:id="47" w:name="_Toc27341"/>
      <w:r>
        <w:rPr>
          <w:rFonts w:hint="eastAsia" w:ascii="宋体" w:hAnsi="宋体" w:eastAsia="宋体" w:cs="宋体"/>
          <w:snapToGrid w:val="0"/>
          <w:color w:val="auto"/>
          <w:kern w:val="0"/>
          <w:sz w:val="28"/>
          <w:szCs w:val="28"/>
        </w:rPr>
        <w:t>1.2.5国家标准</w:t>
      </w:r>
      <w:bookmarkEnd w:id="42"/>
      <w:bookmarkEnd w:id="43"/>
      <w:bookmarkEnd w:id="44"/>
      <w:bookmarkEnd w:id="45"/>
      <w:bookmarkEnd w:id="46"/>
      <w:bookmarkEnd w:id="47"/>
    </w:p>
    <w:p w14:paraId="703F6D1B">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1、《工业企业设计卫生标准》（GBZ1-2010）；</w:t>
      </w:r>
    </w:p>
    <w:p w14:paraId="5E428092">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2、《工业企业总平面设计规范》（GB50187-2012）；</w:t>
      </w:r>
    </w:p>
    <w:p w14:paraId="6F0CBED3">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3、</w:t>
      </w:r>
      <w:r>
        <w:rPr>
          <w:rFonts w:hint="eastAsia" w:hAnsi="宋体" w:cs="宋体"/>
          <w:snapToGrid w:val="0"/>
          <w:color w:val="auto"/>
          <w:sz w:val="28"/>
          <w:szCs w:val="30"/>
          <w:lang w:val="en-US" w:eastAsia="zh-CN"/>
        </w:rPr>
        <w:t>《建筑防火通用规范》（GB55037-2022）；</w:t>
      </w:r>
    </w:p>
    <w:p w14:paraId="2FC52C8D">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4、《生产过程安全卫生要求总则》（</w:t>
      </w:r>
      <w:r>
        <w:rPr>
          <w:rFonts w:hint="eastAsia" w:ascii="宋体" w:hAnsi="宋体" w:eastAsia="宋体" w:cs="宋体"/>
          <w:snapToGrid w:val="0"/>
          <w:color w:val="auto"/>
          <w:sz w:val="28"/>
          <w:szCs w:val="30"/>
          <w:lang w:eastAsia="zh-CN"/>
        </w:rPr>
        <w:t>GB/T12801-2008</w:t>
      </w:r>
      <w:r>
        <w:rPr>
          <w:rFonts w:hint="eastAsia" w:ascii="宋体" w:hAnsi="宋体" w:eastAsia="宋体" w:cs="宋体"/>
          <w:snapToGrid w:val="0"/>
          <w:color w:val="auto"/>
          <w:sz w:val="28"/>
          <w:szCs w:val="30"/>
        </w:rPr>
        <w:t>）；</w:t>
      </w:r>
    </w:p>
    <w:p w14:paraId="0310FD5E">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5、《生产设备安全卫生设计总则》（GB5083-</w:t>
      </w:r>
      <w:r>
        <w:rPr>
          <w:rFonts w:hint="eastAsia" w:hAnsi="宋体" w:cs="宋体"/>
          <w:snapToGrid w:val="0"/>
          <w:color w:val="auto"/>
          <w:sz w:val="28"/>
          <w:szCs w:val="30"/>
          <w:lang w:val="en-US" w:eastAsia="zh-CN"/>
        </w:rPr>
        <w:t>2023</w:t>
      </w:r>
      <w:r>
        <w:rPr>
          <w:rFonts w:hint="eastAsia" w:ascii="宋体" w:hAnsi="宋体" w:eastAsia="宋体" w:cs="宋体"/>
          <w:snapToGrid w:val="0"/>
          <w:color w:val="auto"/>
          <w:sz w:val="28"/>
          <w:szCs w:val="30"/>
        </w:rPr>
        <w:t>）；</w:t>
      </w:r>
    </w:p>
    <w:p w14:paraId="060BFC9C">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6、《工业企业厂内铁路、道路运输安全规程》（GB4387-2008）；</w:t>
      </w:r>
    </w:p>
    <w:p w14:paraId="7F6650CF">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7、《工业企业噪声控制设计规范》（GB/T50087-2013）；</w:t>
      </w:r>
    </w:p>
    <w:p w14:paraId="131113BB">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8、《</w:t>
      </w:r>
      <w:r>
        <w:rPr>
          <w:rFonts w:hint="eastAsia" w:ascii="宋体" w:hAnsi="宋体" w:eastAsia="宋体" w:cs="宋体"/>
          <w:snapToGrid w:val="0"/>
          <w:color w:val="auto"/>
          <w:sz w:val="28"/>
          <w:szCs w:val="30"/>
          <w:lang w:eastAsia="zh-CN"/>
        </w:rPr>
        <w:t>工业建筑防腐蚀设计标准</w:t>
      </w:r>
      <w:r>
        <w:rPr>
          <w:rFonts w:hint="eastAsia" w:ascii="宋体" w:hAnsi="宋体" w:eastAsia="宋体" w:cs="宋体"/>
          <w:snapToGrid w:val="0"/>
          <w:color w:val="auto"/>
          <w:sz w:val="28"/>
          <w:szCs w:val="30"/>
        </w:rPr>
        <w:t>》（</w:t>
      </w:r>
      <w:r>
        <w:rPr>
          <w:rFonts w:hint="eastAsia" w:ascii="宋体" w:hAnsi="宋体" w:eastAsia="宋体" w:cs="宋体"/>
          <w:snapToGrid w:val="0"/>
          <w:color w:val="auto"/>
          <w:sz w:val="28"/>
          <w:szCs w:val="30"/>
          <w:lang w:eastAsia="zh-CN"/>
        </w:rPr>
        <w:t>GB/T50046-2018</w:t>
      </w:r>
      <w:r>
        <w:rPr>
          <w:rFonts w:hint="eastAsia" w:ascii="宋体" w:hAnsi="宋体" w:eastAsia="宋体" w:cs="宋体"/>
          <w:snapToGrid w:val="0"/>
          <w:color w:val="auto"/>
          <w:sz w:val="28"/>
          <w:szCs w:val="30"/>
        </w:rPr>
        <w:t>）；</w:t>
      </w:r>
    </w:p>
    <w:p w14:paraId="4FEC65A3">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9、《建筑照明设计标准》（GB50034-20</w:t>
      </w:r>
      <w:r>
        <w:rPr>
          <w:rFonts w:hint="eastAsia" w:hAnsi="宋体" w:cs="宋体"/>
          <w:snapToGrid w:val="0"/>
          <w:color w:val="auto"/>
          <w:sz w:val="28"/>
          <w:szCs w:val="30"/>
          <w:lang w:val="en-US" w:eastAsia="zh-CN"/>
        </w:rPr>
        <w:t>24</w:t>
      </w:r>
      <w:r>
        <w:rPr>
          <w:rFonts w:hint="eastAsia" w:ascii="宋体" w:hAnsi="宋体" w:eastAsia="宋体" w:cs="宋体"/>
          <w:snapToGrid w:val="0"/>
          <w:color w:val="auto"/>
          <w:sz w:val="28"/>
          <w:szCs w:val="30"/>
        </w:rPr>
        <w:t>）；</w:t>
      </w:r>
    </w:p>
    <w:p w14:paraId="38CCE1DE">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10、《厂矿道路设计规范》（GBJ22-1987）；</w:t>
      </w:r>
    </w:p>
    <w:p w14:paraId="74A21A78">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11、《</w:t>
      </w:r>
      <w:r>
        <w:rPr>
          <w:rFonts w:hint="eastAsia" w:ascii="宋体" w:hAnsi="宋体" w:eastAsia="宋体" w:cs="宋体"/>
          <w:snapToGrid w:val="0"/>
          <w:color w:val="auto"/>
          <w:sz w:val="28"/>
          <w:szCs w:val="30"/>
          <w:lang w:eastAsia="zh-CN"/>
        </w:rPr>
        <w:t>工业管道的基本识别色、识别符号和安全标识》</w:t>
      </w:r>
      <w:r>
        <w:rPr>
          <w:rFonts w:hint="eastAsia" w:ascii="宋体" w:hAnsi="宋体" w:eastAsia="宋体" w:cs="宋体"/>
          <w:snapToGrid w:val="0"/>
          <w:color w:val="auto"/>
          <w:sz w:val="28"/>
          <w:szCs w:val="30"/>
        </w:rPr>
        <w:t>（GB7231-2003）；</w:t>
      </w:r>
    </w:p>
    <w:p w14:paraId="4961FCB5">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12、《企业职工伤亡事故分类》（</w:t>
      </w:r>
      <w:r>
        <w:rPr>
          <w:rFonts w:hint="eastAsia" w:ascii="宋体" w:hAnsi="宋体" w:eastAsia="宋体" w:cs="宋体"/>
          <w:snapToGrid w:val="0"/>
          <w:color w:val="auto"/>
          <w:sz w:val="28"/>
          <w:szCs w:val="30"/>
          <w:lang w:eastAsia="zh-CN"/>
        </w:rPr>
        <w:t>GB/T6441-1986</w:t>
      </w:r>
      <w:r>
        <w:rPr>
          <w:rFonts w:hint="eastAsia" w:ascii="宋体" w:hAnsi="宋体" w:eastAsia="宋体" w:cs="宋体"/>
          <w:snapToGrid w:val="0"/>
          <w:color w:val="auto"/>
          <w:sz w:val="28"/>
          <w:szCs w:val="30"/>
        </w:rPr>
        <w:t>）；</w:t>
      </w:r>
    </w:p>
    <w:p w14:paraId="1F9CE281">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13、《生产过程危险和有害因素分类与代码》（</w:t>
      </w:r>
      <w:r>
        <w:rPr>
          <w:rFonts w:hint="eastAsia" w:ascii="宋体" w:hAnsi="宋体" w:eastAsia="宋体" w:cs="宋体"/>
          <w:snapToGrid w:val="0"/>
          <w:color w:val="auto"/>
          <w:sz w:val="28"/>
          <w:szCs w:val="30"/>
          <w:lang w:eastAsia="zh-CN"/>
        </w:rPr>
        <w:t>GB/T13861-2022</w:t>
      </w:r>
      <w:r>
        <w:rPr>
          <w:rFonts w:hint="eastAsia" w:ascii="宋体" w:hAnsi="宋体" w:eastAsia="宋体" w:cs="宋体"/>
          <w:snapToGrid w:val="0"/>
          <w:color w:val="auto"/>
          <w:sz w:val="28"/>
          <w:szCs w:val="30"/>
        </w:rPr>
        <w:t>）；</w:t>
      </w:r>
    </w:p>
    <w:p w14:paraId="291432D8">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14、《建筑设计防火规范》（</w:t>
      </w:r>
      <w:r>
        <w:rPr>
          <w:rFonts w:hint="eastAsia" w:ascii="宋体" w:hAnsi="宋体" w:eastAsia="宋体" w:cs="宋体"/>
          <w:snapToGrid w:val="0"/>
          <w:color w:val="auto"/>
          <w:sz w:val="28"/>
          <w:szCs w:val="30"/>
          <w:lang w:eastAsia="zh-CN"/>
        </w:rPr>
        <w:t>GB50016-2014[2018年版]</w:t>
      </w:r>
      <w:r>
        <w:rPr>
          <w:rFonts w:hint="eastAsia" w:ascii="宋体" w:hAnsi="宋体" w:eastAsia="宋体" w:cs="宋体"/>
          <w:snapToGrid w:val="0"/>
          <w:color w:val="auto"/>
          <w:sz w:val="28"/>
          <w:szCs w:val="30"/>
        </w:rPr>
        <w:t>）；</w:t>
      </w:r>
    </w:p>
    <w:p w14:paraId="2182DB1D">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15、《</w:t>
      </w:r>
      <w:r>
        <w:rPr>
          <w:rFonts w:hint="eastAsia" w:ascii="宋体" w:hAnsi="宋体" w:eastAsia="宋体" w:cs="宋体"/>
          <w:snapToGrid w:val="0"/>
          <w:color w:val="auto"/>
          <w:sz w:val="28"/>
          <w:szCs w:val="30"/>
          <w:lang w:eastAsia="zh-CN"/>
        </w:rPr>
        <w:t>钢铁冶金企业设计防火标准</w:t>
      </w:r>
      <w:r>
        <w:rPr>
          <w:rFonts w:hint="eastAsia" w:ascii="宋体" w:hAnsi="宋体" w:eastAsia="宋体" w:cs="宋体"/>
          <w:snapToGrid w:val="0"/>
          <w:color w:val="auto"/>
          <w:sz w:val="28"/>
          <w:szCs w:val="30"/>
        </w:rPr>
        <w:t>》（</w:t>
      </w:r>
      <w:r>
        <w:rPr>
          <w:rFonts w:hint="eastAsia" w:ascii="宋体" w:hAnsi="宋体" w:eastAsia="宋体" w:cs="宋体"/>
          <w:snapToGrid w:val="0"/>
          <w:color w:val="auto"/>
          <w:sz w:val="28"/>
          <w:szCs w:val="30"/>
          <w:lang w:eastAsia="zh-CN"/>
        </w:rPr>
        <w:t>GB50414-2018</w:t>
      </w:r>
      <w:r>
        <w:rPr>
          <w:rFonts w:hint="eastAsia" w:ascii="宋体" w:hAnsi="宋体" w:eastAsia="宋体" w:cs="宋体"/>
          <w:snapToGrid w:val="0"/>
          <w:color w:val="auto"/>
          <w:sz w:val="28"/>
          <w:szCs w:val="30"/>
        </w:rPr>
        <w:t>）；</w:t>
      </w:r>
    </w:p>
    <w:p w14:paraId="7229E59F">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16、《建筑物防雷设计规范》（GB50057-2010）；</w:t>
      </w:r>
    </w:p>
    <w:p w14:paraId="1F4C36DE">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17、《建筑灭火器配置设计规范》（GB50140-2005）；</w:t>
      </w:r>
    </w:p>
    <w:p w14:paraId="68C82EF0">
      <w:pPr>
        <w:pStyle w:val="9"/>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napToGrid w:val="0"/>
          <w:color w:val="000000" w:themeColor="text1"/>
          <w:sz w:val="28"/>
          <w:szCs w:val="30"/>
          <w:shd w:val="clear" w:color="auto" w:fill="auto"/>
          <w14:textFill>
            <w14:solidFill>
              <w14:schemeClr w14:val="tx1"/>
            </w14:solidFill>
          </w14:textFill>
        </w:rPr>
      </w:pPr>
      <w:r>
        <w:rPr>
          <w:rFonts w:hint="eastAsia" w:ascii="宋体" w:hAnsi="宋体" w:eastAsia="宋体" w:cs="宋体"/>
          <w:snapToGrid w:val="0"/>
          <w:color w:val="000000" w:themeColor="text1"/>
          <w:sz w:val="28"/>
          <w:szCs w:val="30"/>
          <w:shd w:val="clear" w:color="auto" w:fill="auto"/>
          <w14:textFill>
            <w14:solidFill>
              <w14:schemeClr w14:val="tx1"/>
            </w14:solidFill>
          </w14:textFill>
        </w:rPr>
        <w:t>18、《建筑抗震设计规范》（</w:t>
      </w:r>
      <w:r>
        <w:rPr>
          <w:rFonts w:hint="eastAsia" w:ascii="宋体" w:hAnsi="宋体" w:eastAsia="宋体" w:cs="宋体"/>
          <w:snapToGrid w:val="0"/>
          <w:color w:val="000000" w:themeColor="text1"/>
          <w:sz w:val="28"/>
          <w:szCs w:val="30"/>
          <w:shd w:val="clear" w:color="auto" w:fill="auto"/>
          <w:lang w:eastAsia="zh-CN"/>
          <w14:textFill>
            <w14:solidFill>
              <w14:schemeClr w14:val="tx1"/>
            </w14:solidFill>
          </w14:textFill>
        </w:rPr>
        <w:t>GB50011-2010[20</w:t>
      </w:r>
      <w:r>
        <w:rPr>
          <w:rFonts w:hint="eastAsia" w:hAnsi="宋体" w:cs="宋体"/>
          <w:snapToGrid w:val="0"/>
          <w:color w:val="000000" w:themeColor="text1"/>
          <w:sz w:val="28"/>
          <w:szCs w:val="30"/>
          <w:shd w:val="clear" w:color="auto" w:fill="auto"/>
          <w:lang w:val="en-US" w:eastAsia="zh-CN"/>
          <w14:textFill>
            <w14:solidFill>
              <w14:schemeClr w14:val="tx1"/>
            </w14:solidFill>
          </w14:textFill>
        </w:rPr>
        <w:t>24</w:t>
      </w:r>
      <w:r>
        <w:rPr>
          <w:rFonts w:hint="eastAsia" w:ascii="宋体" w:hAnsi="宋体" w:eastAsia="宋体" w:cs="宋体"/>
          <w:snapToGrid w:val="0"/>
          <w:color w:val="000000" w:themeColor="text1"/>
          <w:sz w:val="28"/>
          <w:szCs w:val="30"/>
          <w:shd w:val="clear" w:color="auto" w:fill="auto"/>
          <w:lang w:eastAsia="zh-CN"/>
          <w14:textFill>
            <w14:solidFill>
              <w14:schemeClr w14:val="tx1"/>
            </w14:solidFill>
          </w14:textFill>
        </w:rPr>
        <w:t>年版]</w:t>
      </w:r>
      <w:r>
        <w:rPr>
          <w:rFonts w:hint="eastAsia" w:ascii="宋体" w:hAnsi="宋体" w:eastAsia="宋体" w:cs="宋体"/>
          <w:snapToGrid w:val="0"/>
          <w:color w:val="000000" w:themeColor="text1"/>
          <w:sz w:val="28"/>
          <w:szCs w:val="30"/>
          <w:shd w:val="clear" w:color="auto" w:fill="auto"/>
          <w14:textFill>
            <w14:solidFill>
              <w14:schemeClr w14:val="tx1"/>
            </w14:solidFill>
          </w14:textFill>
        </w:rPr>
        <w:t>）；</w:t>
      </w:r>
    </w:p>
    <w:p w14:paraId="7FC37FF8">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19、《密闭空间作业职业危害防护规范》（GBZ/T205-2007）；</w:t>
      </w:r>
    </w:p>
    <w:p w14:paraId="0771285A">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20、《构筑物抗震设计规范》（GB50191-2012）；</w:t>
      </w:r>
    </w:p>
    <w:p w14:paraId="504D8A59">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21、《国家电气设备安全技术规范》（GB19517-2009）；</w:t>
      </w:r>
    </w:p>
    <w:p w14:paraId="70E60862">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22、《工作场所有害因素职业接触限值第2部分</w:t>
      </w:r>
      <w:r>
        <w:rPr>
          <w:rFonts w:hint="eastAsia" w:hAnsi="宋体" w:cs="宋体"/>
          <w:snapToGrid w:val="0"/>
          <w:color w:val="auto"/>
          <w:sz w:val="28"/>
          <w:szCs w:val="30"/>
          <w:lang w:eastAsia="zh-CN"/>
        </w:rPr>
        <w:t>：</w:t>
      </w:r>
      <w:r>
        <w:rPr>
          <w:rFonts w:hint="eastAsia" w:ascii="宋体" w:hAnsi="宋体" w:eastAsia="宋体" w:cs="宋体"/>
          <w:snapToGrid w:val="0"/>
          <w:color w:val="auto"/>
          <w:sz w:val="28"/>
          <w:szCs w:val="30"/>
        </w:rPr>
        <w:t>物理因素》(GBZ2.2-2007)；</w:t>
      </w:r>
    </w:p>
    <w:p w14:paraId="4D3CA24D">
      <w:pPr>
        <w:keepNext w:val="0"/>
        <w:keepLines w:val="0"/>
        <w:pageBreakBefore w:val="0"/>
        <w:widowControl w:val="0"/>
        <w:kinsoku w:val="0"/>
        <w:wordWrap/>
        <w:overflowPunct w:val="0"/>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23、《工作场所职业病危害作业分级第1部分</w:t>
      </w:r>
      <w:r>
        <w:rPr>
          <w:rFonts w:hint="eastAsia" w:ascii="宋体" w:hAnsi="宋体" w:eastAsia="宋体" w:cs="宋体"/>
          <w:snapToGrid w:val="0"/>
          <w:color w:val="auto"/>
          <w:sz w:val="28"/>
          <w:szCs w:val="30"/>
          <w:lang w:eastAsia="zh-CN"/>
        </w:rPr>
        <w:t>：</w:t>
      </w:r>
      <w:r>
        <w:rPr>
          <w:rFonts w:hint="eastAsia" w:ascii="宋体" w:hAnsi="宋体" w:eastAsia="宋体" w:cs="宋体"/>
          <w:snapToGrid w:val="0"/>
          <w:color w:val="auto"/>
          <w:sz w:val="28"/>
          <w:szCs w:val="30"/>
        </w:rPr>
        <w:t>生产性粉尘》（GBZ/T229.</w:t>
      </w:r>
      <w:r>
        <w:rPr>
          <w:rFonts w:hint="eastAsia" w:hAnsi="宋体" w:cs="宋体"/>
          <w:snapToGrid w:val="0"/>
          <w:color w:val="auto"/>
          <w:sz w:val="28"/>
          <w:szCs w:val="30"/>
          <w:lang w:val="en-US" w:eastAsia="zh-CN"/>
        </w:rPr>
        <w:t>1</w:t>
      </w:r>
      <w:r>
        <w:rPr>
          <w:rFonts w:hint="eastAsia" w:ascii="宋体" w:hAnsi="宋体" w:eastAsia="宋体" w:cs="宋体"/>
          <w:snapToGrid w:val="0"/>
          <w:color w:val="auto"/>
          <w:sz w:val="28"/>
          <w:szCs w:val="30"/>
        </w:rPr>
        <w:t>-2010）；</w:t>
      </w:r>
    </w:p>
    <w:p w14:paraId="1D8C56A3">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24、《工作场所职业病危害作业分级第4部分</w:t>
      </w:r>
      <w:r>
        <w:rPr>
          <w:rFonts w:hint="eastAsia" w:ascii="宋体" w:hAnsi="宋体" w:eastAsia="宋体" w:cs="宋体"/>
          <w:snapToGrid w:val="0"/>
          <w:color w:val="auto"/>
          <w:sz w:val="28"/>
          <w:szCs w:val="30"/>
          <w:lang w:eastAsia="zh-CN"/>
        </w:rPr>
        <w:t>：</w:t>
      </w:r>
      <w:r>
        <w:rPr>
          <w:rFonts w:hint="eastAsia" w:ascii="宋体" w:hAnsi="宋体" w:eastAsia="宋体" w:cs="宋体"/>
          <w:snapToGrid w:val="0"/>
          <w:color w:val="auto"/>
          <w:sz w:val="28"/>
          <w:szCs w:val="30"/>
        </w:rPr>
        <w:t>噪音》（GBZ/T229.</w:t>
      </w:r>
      <w:r>
        <w:rPr>
          <w:rFonts w:hint="eastAsia" w:hAnsi="宋体" w:cs="宋体"/>
          <w:snapToGrid w:val="0"/>
          <w:color w:val="auto"/>
          <w:sz w:val="28"/>
          <w:szCs w:val="30"/>
          <w:lang w:val="en-US" w:eastAsia="zh-CN"/>
        </w:rPr>
        <w:t>4</w:t>
      </w:r>
      <w:r>
        <w:rPr>
          <w:rFonts w:hint="eastAsia" w:ascii="宋体" w:hAnsi="宋体" w:eastAsia="宋体" w:cs="宋体"/>
          <w:snapToGrid w:val="0"/>
          <w:color w:val="auto"/>
          <w:sz w:val="28"/>
          <w:szCs w:val="30"/>
        </w:rPr>
        <w:t>-2012）；</w:t>
      </w:r>
    </w:p>
    <w:p w14:paraId="6C509BF5">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25、《</w:t>
      </w:r>
      <w:r>
        <w:rPr>
          <w:rFonts w:hint="eastAsia" w:ascii="宋体" w:hAnsi="宋体" w:eastAsia="宋体" w:cs="宋体"/>
          <w:snapToGrid w:val="0"/>
          <w:color w:val="auto"/>
          <w:sz w:val="28"/>
          <w:szCs w:val="30"/>
          <w:lang w:eastAsia="zh-CN"/>
        </w:rPr>
        <w:t>室外排水设计标准</w:t>
      </w:r>
      <w:r>
        <w:rPr>
          <w:rFonts w:hint="eastAsia" w:ascii="宋体" w:hAnsi="宋体" w:eastAsia="宋体" w:cs="宋体"/>
          <w:snapToGrid w:val="0"/>
          <w:color w:val="auto"/>
          <w:sz w:val="28"/>
          <w:szCs w:val="30"/>
        </w:rPr>
        <w:t>》（</w:t>
      </w:r>
      <w:r>
        <w:rPr>
          <w:rFonts w:hint="eastAsia" w:ascii="宋体" w:hAnsi="宋体" w:eastAsia="宋体" w:cs="宋体"/>
          <w:snapToGrid w:val="0"/>
          <w:color w:val="auto"/>
          <w:sz w:val="28"/>
          <w:szCs w:val="30"/>
          <w:lang w:eastAsia="zh-CN"/>
        </w:rPr>
        <w:t>GB50014-2021</w:t>
      </w:r>
      <w:r>
        <w:rPr>
          <w:rFonts w:hint="eastAsia" w:ascii="宋体" w:hAnsi="宋体" w:eastAsia="宋体" w:cs="宋体"/>
          <w:snapToGrid w:val="0"/>
          <w:color w:val="auto"/>
          <w:sz w:val="28"/>
          <w:szCs w:val="30"/>
        </w:rPr>
        <w:t>）；</w:t>
      </w:r>
    </w:p>
    <w:p w14:paraId="504164F5">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26、《危险化学品重大危险源辨识》（GB18218-20</w:t>
      </w:r>
      <w:r>
        <w:rPr>
          <w:rFonts w:hint="eastAsia" w:ascii="宋体" w:hAnsi="宋体" w:eastAsia="宋体" w:cs="宋体"/>
          <w:snapToGrid w:val="0"/>
          <w:color w:val="auto"/>
          <w:sz w:val="28"/>
          <w:szCs w:val="30"/>
          <w:lang w:val="en-US" w:eastAsia="zh-CN"/>
        </w:rPr>
        <w:t>18</w:t>
      </w:r>
      <w:r>
        <w:rPr>
          <w:rFonts w:hint="eastAsia" w:ascii="宋体" w:hAnsi="宋体" w:eastAsia="宋体" w:cs="宋体"/>
          <w:snapToGrid w:val="0"/>
          <w:color w:val="auto"/>
          <w:sz w:val="28"/>
          <w:szCs w:val="30"/>
        </w:rPr>
        <w:t>）；</w:t>
      </w:r>
    </w:p>
    <w:p w14:paraId="6D8D1DEA">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27、《安全色》（GB2893-2008）；</w:t>
      </w:r>
    </w:p>
    <w:p w14:paraId="48D0F233">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28、《安全标志及其使用导则》（GB2894-2008）；</w:t>
      </w:r>
    </w:p>
    <w:p w14:paraId="32533BA0">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29、《</w:t>
      </w:r>
      <w:r>
        <w:rPr>
          <w:rFonts w:hint="eastAsia" w:ascii="宋体" w:hAnsi="宋体" w:eastAsia="宋体" w:cs="宋体"/>
          <w:snapToGrid w:val="0"/>
          <w:color w:val="auto"/>
          <w:sz w:val="28"/>
          <w:szCs w:val="30"/>
          <w:lang w:eastAsia="zh-CN"/>
        </w:rPr>
        <w:t>消防安全标志第1部分：标志</w:t>
      </w:r>
      <w:r>
        <w:rPr>
          <w:rFonts w:hint="eastAsia" w:ascii="宋体" w:hAnsi="宋体" w:eastAsia="宋体" w:cs="宋体"/>
          <w:snapToGrid w:val="0"/>
          <w:color w:val="auto"/>
          <w:sz w:val="28"/>
          <w:szCs w:val="30"/>
        </w:rPr>
        <w:t>》（</w:t>
      </w:r>
      <w:r>
        <w:rPr>
          <w:rFonts w:hint="eastAsia" w:ascii="宋体" w:hAnsi="宋体" w:eastAsia="宋体" w:cs="宋体"/>
          <w:snapToGrid w:val="0"/>
          <w:color w:val="auto"/>
          <w:sz w:val="28"/>
          <w:szCs w:val="30"/>
          <w:lang w:eastAsia="zh-CN"/>
        </w:rPr>
        <w:t>GB13495.1-2015</w:t>
      </w:r>
      <w:r>
        <w:rPr>
          <w:rFonts w:hint="eastAsia" w:ascii="宋体" w:hAnsi="宋体" w:eastAsia="宋体" w:cs="宋体"/>
          <w:snapToGrid w:val="0"/>
          <w:color w:val="auto"/>
          <w:sz w:val="28"/>
          <w:szCs w:val="30"/>
        </w:rPr>
        <w:t>）；</w:t>
      </w:r>
    </w:p>
    <w:p w14:paraId="5BF8D705">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30、《消防安全标志设置要求》（GB15630-1995）；</w:t>
      </w:r>
    </w:p>
    <w:p w14:paraId="43EF5367">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31、《用电安全导则》（</w:t>
      </w:r>
      <w:r>
        <w:rPr>
          <w:rFonts w:hint="eastAsia" w:ascii="宋体" w:hAnsi="宋体" w:eastAsia="宋体" w:cs="宋体"/>
          <w:snapToGrid w:val="0"/>
          <w:color w:val="auto"/>
          <w:sz w:val="28"/>
          <w:szCs w:val="30"/>
          <w:lang w:eastAsia="zh-CN"/>
        </w:rPr>
        <w:t>GB/T13869-2017</w:t>
      </w:r>
      <w:r>
        <w:rPr>
          <w:rFonts w:hint="eastAsia" w:ascii="宋体" w:hAnsi="宋体" w:eastAsia="宋体" w:cs="宋体"/>
          <w:snapToGrid w:val="0"/>
          <w:color w:val="auto"/>
          <w:sz w:val="28"/>
          <w:szCs w:val="30"/>
        </w:rPr>
        <w:t>）；</w:t>
      </w:r>
    </w:p>
    <w:p w14:paraId="2CFA8B08">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33、《通用用电设备配电设计规范》</w:t>
      </w:r>
      <w:r>
        <w:rPr>
          <w:rFonts w:hint="eastAsia" w:ascii="宋体" w:hAnsi="宋体" w:eastAsia="宋体" w:cs="宋体"/>
          <w:snapToGrid w:val="0"/>
          <w:color w:val="auto"/>
          <w:sz w:val="28"/>
          <w:szCs w:val="30"/>
          <w:lang w:eastAsia="zh-CN"/>
        </w:rPr>
        <w:t>(</w:t>
      </w:r>
      <w:r>
        <w:rPr>
          <w:rFonts w:hint="eastAsia" w:ascii="宋体" w:hAnsi="宋体" w:eastAsia="宋体" w:cs="宋体"/>
          <w:snapToGrid w:val="0"/>
          <w:color w:val="auto"/>
          <w:sz w:val="28"/>
          <w:szCs w:val="30"/>
        </w:rPr>
        <w:t>GB50055-2011)；</w:t>
      </w:r>
    </w:p>
    <w:p w14:paraId="01A57DC0">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34、《供配电系统设计规范》（GB50052-2009）；</w:t>
      </w:r>
    </w:p>
    <w:p w14:paraId="33289E3A">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35、《低压配电设计规范》（GB50054-2011）；</w:t>
      </w:r>
    </w:p>
    <w:p w14:paraId="134697EB">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36、《防止静电事故通用导则》（GB12158-2006）；</w:t>
      </w:r>
    </w:p>
    <w:p w14:paraId="29AD0790">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3</w:t>
      </w:r>
      <w:r>
        <w:rPr>
          <w:rFonts w:hint="eastAsia" w:hAnsi="宋体" w:cs="宋体"/>
          <w:snapToGrid w:val="0"/>
          <w:color w:val="auto"/>
          <w:sz w:val="28"/>
          <w:szCs w:val="30"/>
          <w:lang w:val="en-US" w:eastAsia="zh-CN"/>
        </w:rPr>
        <w:t>7</w:t>
      </w:r>
      <w:r>
        <w:rPr>
          <w:rFonts w:hint="eastAsia" w:ascii="宋体" w:hAnsi="宋体" w:eastAsia="宋体" w:cs="宋体"/>
          <w:snapToGrid w:val="0"/>
          <w:color w:val="auto"/>
          <w:sz w:val="28"/>
          <w:szCs w:val="30"/>
        </w:rPr>
        <w:t>、《易燃易爆性商品储存养护技术条件》（GB17914-2013）；</w:t>
      </w:r>
    </w:p>
    <w:p w14:paraId="112A20AF">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hAnsi="宋体" w:cs="宋体"/>
          <w:snapToGrid w:val="0"/>
          <w:color w:val="auto"/>
          <w:sz w:val="28"/>
          <w:szCs w:val="30"/>
          <w:lang w:val="en-US" w:eastAsia="zh-CN"/>
        </w:rPr>
        <w:t>38</w:t>
      </w:r>
      <w:r>
        <w:rPr>
          <w:rFonts w:hint="eastAsia" w:ascii="宋体" w:hAnsi="宋体" w:eastAsia="宋体" w:cs="宋体"/>
          <w:snapToGrid w:val="0"/>
          <w:color w:val="auto"/>
          <w:sz w:val="28"/>
          <w:szCs w:val="30"/>
        </w:rPr>
        <w:t>、</w:t>
      </w:r>
      <w:r>
        <w:rPr>
          <w:rFonts w:hint="eastAsia" w:hAnsi="宋体" w:cs="宋体"/>
          <w:snapToGrid w:val="0"/>
          <w:color w:val="auto"/>
          <w:sz w:val="28"/>
          <w:szCs w:val="30"/>
          <w:lang w:val="en-US" w:eastAsia="zh-CN"/>
        </w:rPr>
        <w:t xml:space="preserve">  </w:t>
      </w:r>
      <w:r>
        <w:rPr>
          <w:rFonts w:hint="eastAsia" w:ascii="宋体" w:hAnsi="宋体" w:eastAsia="宋体" w:cs="宋体"/>
          <w:snapToGrid w:val="0"/>
          <w:color w:val="auto"/>
          <w:sz w:val="28"/>
          <w:szCs w:val="30"/>
        </w:rPr>
        <w:t>《固定式钢梯及平台安全要求第1部分：钢直梯》（GB4053.1-2009）；</w:t>
      </w:r>
    </w:p>
    <w:p w14:paraId="0C5C192E">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hAnsi="宋体" w:cs="宋体"/>
          <w:snapToGrid w:val="0"/>
          <w:color w:val="auto"/>
          <w:sz w:val="28"/>
          <w:szCs w:val="30"/>
          <w:lang w:val="en-US" w:eastAsia="zh-CN"/>
        </w:rPr>
        <w:t>39</w:t>
      </w:r>
      <w:r>
        <w:rPr>
          <w:rFonts w:hint="eastAsia" w:ascii="宋体" w:hAnsi="宋体" w:eastAsia="宋体" w:cs="宋体"/>
          <w:snapToGrid w:val="0"/>
          <w:color w:val="auto"/>
          <w:sz w:val="28"/>
          <w:szCs w:val="30"/>
        </w:rPr>
        <w:t>、</w:t>
      </w:r>
      <w:r>
        <w:rPr>
          <w:rFonts w:hint="eastAsia" w:hAnsi="宋体" w:cs="宋体"/>
          <w:snapToGrid w:val="0"/>
          <w:color w:val="auto"/>
          <w:sz w:val="28"/>
          <w:szCs w:val="30"/>
          <w:lang w:val="en-US" w:eastAsia="zh-CN"/>
        </w:rPr>
        <w:t xml:space="preserve">  </w:t>
      </w:r>
      <w:r>
        <w:rPr>
          <w:rFonts w:hint="eastAsia" w:ascii="宋体" w:hAnsi="宋体" w:eastAsia="宋体" w:cs="宋体"/>
          <w:snapToGrid w:val="0"/>
          <w:color w:val="auto"/>
          <w:sz w:val="28"/>
          <w:szCs w:val="30"/>
        </w:rPr>
        <w:t>《固定式钢梯及平台安全要求第2部分：钢斜梯》（GB4053.2-2009）；</w:t>
      </w:r>
    </w:p>
    <w:p w14:paraId="51790BB7">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4</w:t>
      </w:r>
      <w:r>
        <w:rPr>
          <w:rFonts w:hint="eastAsia" w:hAnsi="宋体" w:cs="宋体"/>
          <w:snapToGrid w:val="0"/>
          <w:color w:val="auto"/>
          <w:sz w:val="28"/>
          <w:szCs w:val="30"/>
          <w:lang w:val="en-US" w:eastAsia="zh-CN"/>
        </w:rPr>
        <w:t>0</w:t>
      </w:r>
      <w:r>
        <w:rPr>
          <w:rFonts w:hint="eastAsia" w:ascii="宋体" w:hAnsi="宋体" w:eastAsia="宋体" w:cs="宋体"/>
          <w:snapToGrid w:val="0"/>
          <w:color w:val="auto"/>
          <w:sz w:val="28"/>
          <w:szCs w:val="30"/>
        </w:rPr>
        <w:t>、《固定式钢梯及平台安全要求第3部分：工业防护栏杆及钢平台》（GB4053.3-2009）；</w:t>
      </w:r>
    </w:p>
    <w:p w14:paraId="275A0190">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4</w:t>
      </w:r>
      <w:r>
        <w:rPr>
          <w:rFonts w:hint="eastAsia" w:hAnsi="宋体" w:cs="宋体"/>
          <w:snapToGrid w:val="0"/>
          <w:color w:val="auto"/>
          <w:sz w:val="28"/>
          <w:szCs w:val="30"/>
          <w:lang w:val="en-US" w:eastAsia="zh-CN"/>
        </w:rPr>
        <w:t>1</w:t>
      </w:r>
      <w:r>
        <w:rPr>
          <w:rFonts w:hint="eastAsia" w:ascii="宋体" w:hAnsi="宋体" w:eastAsia="宋体" w:cs="宋体"/>
          <w:snapToGrid w:val="0"/>
          <w:color w:val="auto"/>
          <w:sz w:val="28"/>
          <w:szCs w:val="30"/>
        </w:rPr>
        <w:t>、《起重机械安全规程第1部分：总则》（</w:t>
      </w:r>
      <w:r>
        <w:rPr>
          <w:rFonts w:hint="eastAsia" w:ascii="宋体" w:hAnsi="宋体" w:eastAsia="宋体" w:cs="宋体"/>
          <w:snapToGrid w:val="0"/>
          <w:color w:val="auto"/>
          <w:sz w:val="28"/>
          <w:szCs w:val="30"/>
          <w:lang w:eastAsia="zh-CN"/>
        </w:rPr>
        <w:t>GB/T6067.1-2010</w:t>
      </w:r>
      <w:r>
        <w:rPr>
          <w:rFonts w:hint="eastAsia" w:ascii="宋体" w:hAnsi="宋体" w:eastAsia="宋体" w:cs="宋体"/>
          <w:snapToGrid w:val="0"/>
          <w:color w:val="auto"/>
          <w:sz w:val="28"/>
          <w:szCs w:val="30"/>
        </w:rPr>
        <w:t>）；</w:t>
      </w:r>
    </w:p>
    <w:p w14:paraId="72E2B648">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lang w:eastAsia="zh-CN"/>
        </w:rPr>
      </w:pPr>
      <w:r>
        <w:rPr>
          <w:rFonts w:hint="eastAsia" w:ascii="宋体" w:hAnsi="宋体" w:eastAsia="宋体" w:cs="宋体"/>
          <w:snapToGrid w:val="0"/>
          <w:color w:val="auto"/>
          <w:sz w:val="28"/>
          <w:szCs w:val="30"/>
          <w:lang w:val="en-US" w:eastAsia="zh-CN"/>
        </w:rPr>
        <w:t>4</w:t>
      </w:r>
      <w:r>
        <w:rPr>
          <w:rFonts w:hint="eastAsia" w:hAnsi="宋体" w:cs="宋体"/>
          <w:snapToGrid w:val="0"/>
          <w:color w:val="auto"/>
          <w:sz w:val="28"/>
          <w:szCs w:val="30"/>
          <w:lang w:val="en-US" w:eastAsia="zh-CN"/>
        </w:rPr>
        <w:t>2</w:t>
      </w:r>
      <w:r>
        <w:rPr>
          <w:rFonts w:hint="eastAsia" w:ascii="宋体" w:hAnsi="宋体" w:eastAsia="宋体" w:cs="宋体"/>
          <w:snapToGrid w:val="0"/>
          <w:color w:val="auto"/>
          <w:sz w:val="28"/>
          <w:szCs w:val="30"/>
          <w:lang w:val="en-US" w:eastAsia="zh-CN"/>
        </w:rPr>
        <w:t>、</w:t>
      </w:r>
      <w:r>
        <w:rPr>
          <w:rFonts w:hint="eastAsia" w:ascii="宋体" w:hAnsi="宋体" w:eastAsia="宋体" w:cs="宋体"/>
          <w:snapToGrid w:val="0"/>
          <w:color w:val="auto"/>
          <w:sz w:val="28"/>
          <w:szCs w:val="30"/>
        </w:rPr>
        <w:t>《生产经营单位生产安全事故应急预案编制导则》（</w:t>
      </w:r>
      <w:r>
        <w:rPr>
          <w:rFonts w:hint="eastAsia" w:ascii="宋体" w:hAnsi="宋体" w:eastAsia="宋体" w:cs="宋体"/>
          <w:snapToGrid w:val="0"/>
          <w:color w:val="auto"/>
          <w:sz w:val="28"/>
          <w:szCs w:val="30"/>
          <w:lang w:eastAsia="zh-CN"/>
        </w:rPr>
        <w:t>GB/T29639-2020</w:t>
      </w:r>
      <w:r>
        <w:rPr>
          <w:rFonts w:hint="eastAsia" w:ascii="宋体" w:hAnsi="宋体" w:eastAsia="宋体" w:cs="宋体"/>
          <w:snapToGrid w:val="0"/>
          <w:color w:val="auto"/>
          <w:sz w:val="28"/>
          <w:szCs w:val="30"/>
        </w:rPr>
        <w:t>）</w:t>
      </w:r>
      <w:r>
        <w:rPr>
          <w:rFonts w:hint="eastAsia" w:hAnsi="宋体" w:cs="宋体"/>
          <w:snapToGrid w:val="0"/>
          <w:color w:val="auto"/>
          <w:sz w:val="28"/>
          <w:szCs w:val="30"/>
          <w:lang w:eastAsia="zh-CN"/>
        </w:rPr>
        <w:t>；</w:t>
      </w:r>
    </w:p>
    <w:p w14:paraId="439757B7">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hAnsi="宋体" w:cs="宋体"/>
          <w:snapToGrid w:val="0"/>
          <w:color w:val="auto"/>
          <w:sz w:val="28"/>
          <w:szCs w:val="30"/>
          <w:lang w:val="en-US" w:eastAsia="zh-CN"/>
        </w:rPr>
      </w:pPr>
      <w:r>
        <w:rPr>
          <w:rFonts w:hint="eastAsia" w:hAnsi="宋体" w:cs="宋体"/>
          <w:snapToGrid w:val="0"/>
          <w:color w:val="auto"/>
          <w:sz w:val="28"/>
          <w:szCs w:val="30"/>
          <w:lang w:val="en-US" w:eastAsia="zh-CN"/>
        </w:rPr>
        <w:t>43、《金属切削机床 安全防护通用技术条件》（GB15760-2004）</w:t>
      </w:r>
    </w:p>
    <w:p w14:paraId="65C4D966">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hAnsi="宋体" w:cs="宋体"/>
          <w:snapToGrid w:val="0"/>
          <w:color w:val="auto"/>
          <w:sz w:val="28"/>
          <w:szCs w:val="30"/>
          <w:lang w:val="en-US" w:eastAsia="zh-CN"/>
        </w:rPr>
      </w:pPr>
      <w:r>
        <w:rPr>
          <w:rFonts w:hint="eastAsia" w:hAnsi="宋体" w:cs="宋体"/>
          <w:snapToGrid w:val="0"/>
          <w:color w:val="auto"/>
          <w:sz w:val="28"/>
          <w:szCs w:val="30"/>
          <w:lang w:val="en-US" w:eastAsia="zh-CN"/>
        </w:rPr>
        <w:t>44</w:t>
      </w:r>
      <w:r>
        <w:rPr>
          <w:rFonts w:hint="eastAsia" w:ascii="宋体" w:hAnsi="宋体" w:eastAsia="宋体" w:cs="宋体"/>
          <w:snapToGrid w:val="0"/>
          <w:color w:val="auto"/>
          <w:sz w:val="28"/>
          <w:szCs w:val="30"/>
        </w:rPr>
        <w:t>、《</w:t>
      </w:r>
      <w:r>
        <w:rPr>
          <w:rFonts w:hint="eastAsia" w:ascii="宋体" w:hAnsi="宋体" w:eastAsia="宋体" w:cs="宋体"/>
          <w:snapToGrid w:val="0"/>
          <w:color w:val="auto"/>
          <w:sz w:val="28"/>
          <w:szCs w:val="30"/>
          <w:lang w:eastAsia="zh-CN"/>
        </w:rPr>
        <w:t>机械安全</w:t>
      </w:r>
      <w:r>
        <w:rPr>
          <w:rFonts w:hint="eastAsia" w:hAnsi="宋体" w:cs="宋体"/>
          <w:snapToGrid w:val="0"/>
          <w:color w:val="auto"/>
          <w:sz w:val="28"/>
          <w:szCs w:val="30"/>
          <w:lang w:val="en-US" w:eastAsia="zh-CN"/>
        </w:rPr>
        <w:t xml:space="preserve"> </w:t>
      </w:r>
      <w:r>
        <w:rPr>
          <w:rFonts w:hint="eastAsia" w:ascii="宋体" w:hAnsi="宋体" w:eastAsia="宋体" w:cs="宋体"/>
          <w:snapToGrid w:val="0"/>
          <w:color w:val="auto"/>
          <w:sz w:val="28"/>
          <w:szCs w:val="30"/>
          <w:lang w:eastAsia="zh-CN"/>
        </w:rPr>
        <w:t>防护装置</w:t>
      </w:r>
      <w:r>
        <w:rPr>
          <w:rFonts w:hint="eastAsia" w:hAnsi="宋体" w:cs="宋体"/>
          <w:snapToGrid w:val="0"/>
          <w:color w:val="auto"/>
          <w:sz w:val="28"/>
          <w:szCs w:val="30"/>
          <w:lang w:val="en-US" w:eastAsia="zh-CN"/>
        </w:rPr>
        <w:t xml:space="preserve"> </w:t>
      </w:r>
      <w:r>
        <w:rPr>
          <w:rFonts w:hint="eastAsia" w:ascii="宋体" w:hAnsi="宋体" w:eastAsia="宋体" w:cs="宋体"/>
          <w:snapToGrid w:val="0"/>
          <w:color w:val="auto"/>
          <w:sz w:val="28"/>
          <w:szCs w:val="30"/>
          <w:lang w:eastAsia="zh-CN"/>
        </w:rPr>
        <w:t>固定式和活动式防护装置的设计与制造一般要求</w:t>
      </w:r>
      <w:r>
        <w:rPr>
          <w:rFonts w:hint="eastAsia" w:ascii="宋体" w:hAnsi="宋体" w:eastAsia="宋体" w:cs="宋体"/>
          <w:snapToGrid w:val="0"/>
          <w:color w:val="auto"/>
          <w:sz w:val="28"/>
          <w:szCs w:val="30"/>
        </w:rPr>
        <w:t>》（</w:t>
      </w:r>
      <w:r>
        <w:rPr>
          <w:rFonts w:hint="eastAsia" w:ascii="宋体" w:hAnsi="宋体" w:eastAsia="宋体" w:cs="宋体"/>
          <w:snapToGrid w:val="0"/>
          <w:color w:val="auto"/>
          <w:sz w:val="28"/>
          <w:szCs w:val="30"/>
          <w:lang w:eastAsia="zh-CN"/>
        </w:rPr>
        <w:t>GB/T8196-2018</w:t>
      </w:r>
      <w:r>
        <w:rPr>
          <w:rFonts w:hint="eastAsia" w:ascii="宋体" w:hAnsi="宋体" w:eastAsia="宋体" w:cs="宋体"/>
          <w:snapToGrid w:val="0"/>
          <w:color w:val="auto"/>
          <w:sz w:val="28"/>
          <w:szCs w:val="30"/>
        </w:rPr>
        <w:t>）；</w:t>
      </w:r>
    </w:p>
    <w:p w14:paraId="134158D5">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lang w:val="en-US" w:eastAsia="zh-CN"/>
        </w:rPr>
        <w:t>4</w:t>
      </w:r>
      <w:r>
        <w:rPr>
          <w:rFonts w:hint="eastAsia" w:hAnsi="宋体" w:cs="宋体"/>
          <w:snapToGrid w:val="0"/>
          <w:color w:val="auto"/>
          <w:sz w:val="28"/>
          <w:szCs w:val="30"/>
          <w:lang w:val="en-US" w:eastAsia="zh-CN"/>
        </w:rPr>
        <w:t>5</w:t>
      </w:r>
      <w:r>
        <w:rPr>
          <w:rFonts w:hint="eastAsia" w:ascii="宋体" w:hAnsi="宋体" w:eastAsia="宋体" w:cs="宋体"/>
          <w:snapToGrid w:val="0"/>
          <w:color w:val="auto"/>
          <w:sz w:val="28"/>
          <w:szCs w:val="30"/>
          <w:lang w:val="en-US" w:eastAsia="zh-CN"/>
        </w:rPr>
        <w:t>、</w:t>
      </w:r>
      <w:r>
        <w:rPr>
          <w:rFonts w:hint="eastAsia" w:hAnsi="宋体" w:cs="宋体"/>
          <w:snapToGrid w:val="0"/>
          <w:color w:val="auto"/>
          <w:sz w:val="28"/>
          <w:szCs w:val="30"/>
          <w:lang w:val="en-US" w:eastAsia="zh-CN"/>
        </w:rPr>
        <w:t>《机械电气安全 机械电气设备 第1部分：通用技术条件》（GB/T 5226.1-2019）</w:t>
      </w:r>
    </w:p>
    <w:p w14:paraId="380A3C8F">
      <w:pPr>
        <w:pStyle w:val="4"/>
        <w:pageBreakBefore w:val="0"/>
        <w:widowControl w:val="0"/>
        <w:wordWrap/>
        <w:topLinePunct w:val="0"/>
        <w:autoSpaceDE/>
        <w:autoSpaceDN/>
        <w:bidi w:val="0"/>
        <w:snapToGrid w:val="0"/>
        <w:spacing w:before="20" w:after="20" w:line="500" w:lineRule="exact"/>
        <w:ind w:leftChars="0"/>
        <w:textAlignment w:val="auto"/>
        <w:rPr>
          <w:rFonts w:hint="eastAsia" w:ascii="宋体" w:hAnsi="宋体" w:eastAsia="宋体" w:cs="宋体"/>
          <w:snapToGrid w:val="0"/>
          <w:color w:val="auto"/>
          <w:kern w:val="0"/>
          <w:sz w:val="28"/>
          <w:szCs w:val="28"/>
        </w:rPr>
      </w:pPr>
      <w:bookmarkStart w:id="48" w:name="_Toc32469"/>
      <w:bookmarkStart w:id="49" w:name="_Toc7909"/>
      <w:bookmarkStart w:id="50" w:name="_Toc10936"/>
      <w:bookmarkStart w:id="51" w:name="_Toc26320"/>
      <w:bookmarkStart w:id="52" w:name="_Toc2283"/>
      <w:r>
        <w:rPr>
          <w:rFonts w:hint="eastAsia" w:ascii="宋体" w:hAnsi="宋体" w:eastAsia="宋体" w:cs="宋体"/>
          <w:snapToGrid w:val="0"/>
          <w:color w:val="auto"/>
          <w:kern w:val="0"/>
          <w:sz w:val="28"/>
          <w:szCs w:val="28"/>
        </w:rPr>
        <w:t>1.2.6行业标准</w:t>
      </w:r>
      <w:bookmarkEnd w:id="48"/>
      <w:bookmarkEnd w:id="49"/>
      <w:bookmarkEnd w:id="50"/>
      <w:bookmarkEnd w:id="51"/>
      <w:bookmarkEnd w:id="52"/>
    </w:p>
    <w:p w14:paraId="022CAC51">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hAnsi="宋体"/>
          <w:snapToGrid w:val="0"/>
          <w:color w:val="auto"/>
          <w:sz w:val="28"/>
          <w:szCs w:val="30"/>
        </w:rPr>
      </w:pPr>
      <w:r>
        <w:rPr>
          <w:rFonts w:hint="eastAsia" w:hAnsi="宋体"/>
          <w:snapToGrid w:val="0"/>
          <w:color w:val="auto"/>
          <w:sz w:val="28"/>
          <w:szCs w:val="30"/>
        </w:rPr>
        <w:t>1、《</w:t>
      </w:r>
      <w:r>
        <w:rPr>
          <w:rFonts w:hint="eastAsia" w:hAnsi="宋体"/>
          <w:snapToGrid w:val="0"/>
          <w:color w:val="auto"/>
          <w:sz w:val="28"/>
          <w:szCs w:val="30"/>
          <w:lang w:eastAsia="zh-CN"/>
        </w:rPr>
        <w:t>固定式压力容器安全技术监察规程</w:t>
      </w:r>
      <w:r>
        <w:rPr>
          <w:rFonts w:hint="eastAsia" w:hAnsi="宋体"/>
          <w:snapToGrid w:val="0"/>
          <w:color w:val="auto"/>
          <w:sz w:val="28"/>
          <w:szCs w:val="30"/>
        </w:rPr>
        <w:t>》（</w:t>
      </w:r>
      <w:r>
        <w:rPr>
          <w:rFonts w:hint="eastAsia" w:hAnsi="宋体"/>
          <w:snapToGrid w:val="0"/>
          <w:color w:val="auto"/>
          <w:sz w:val="28"/>
          <w:szCs w:val="30"/>
          <w:lang w:eastAsia="zh-CN"/>
        </w:rPr>
        <w:t>TSG21-2016</w:t>
      </w:r>
      <w:r>
        <w:rPr>
          <w:rFonts w:hint="eastAsia" w:hAnsi="宋体"/>
          <w:snapToGrid w:val="0"/>
          <w:color w:val="auto"/>
          <w:sz w:val="28"/>
          <w:szCs w:val="30"/>
        </w:rPr>
        <w:t>）；</w:t>
      </w:r>
    </w:p>
    <w:p w14:paraId="5901783E">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hAnsi="宋体"/>
          <w:snapToGrid w:val="0"/>
          <w:color w:val="auto"/>
          <w:sz w:val="28"/>
          <w:szCs w:val="30"/>
        </w:rPr>
      </w:pPr>
      <w:r>
        <w:rPr>
          <w:rFonts w:hint="eastAsia" w:hAnsi="宋体"/>
          <w:snapToGrid w:val="0"/>
          <w:color w:val="auto"/>
          <w:sz w:val="28"/>
          <w:szCs w:val="30"/>
          <w:lang w:val="en-US" w:eastAsia="zh-CN"/>
        </w:rPr>
        <w:t>2</w:t>
      </w:r>
      <w:r>
        <w:rPr>
          <w:rFonts w:hint="eastAsia" w:hAnsi="宋体"/>
          <w:snapToGrid w:val="0"/>
          <w:color w:val="auto"/>
          <w:sz w:val="28"/>
          <w:szCs w:val="30"/>
        </w:rPr>
        <w:t>、《压力管道安全技术监察规程—工业管道》（TSGD0001-2009）；</w:t>
      </w:r>
    </w:p>
    <w:p w14:paraId="1D4031F2">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hAnsi="宋体"/>
          <w:snapToGrid w:val="0"/>
          <w:color w:val="auto"/>
          <w:sz w:val="28"/>
          <w:szCs w:val="30"/>
        </w:rPr>
      </w:pPr>
      <w:r>
        <w:rPr>
          <w:rFonts w:hint="eastAsia" w:hAnsi="宋体"/>
          <w:snapToGrid w:val="0"/>
          <w:color w:val="auto"/>
          <w:sz w:val="28"/>
          <w:szCs w:val="30"/>
          <w:lang w:val="en-US" w:eastAsia="zh-CN"/>
        </w:rPr>
        <w:t>3</w:t>
      </w:r>
      <w:r>
        <w:rPr>
          <w:rFonts w:hint="eastAsia" w:hAnsi="宋体"/>
          <w:snapToGrid w:val="0"/>
          <w:color w:val="auto"/>
          <w:sz w:val="28"/>
          <w:szCs w:val="30"/>
        </w:rPr>
        <w:t>、《安全评价通则》（AQ8001-2007）；</w:t>
      </w:r>
    </w:p>
    <w:p w14:paraId="77D17D5A">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hAnsi="宋体"/>
          <w:snapToGrid w:val="0"/>
          <w:color w:val="auto"/>
          <w:sz w:val="28"/>
          <w:szCs w:val="30"/>
        </w:rPr>
      </w:pPr>
      <w:r>
        <w:rPr>
          <w:rFonts w:hint="eastAsia" w:hAnsi="宋体"/>
          <w:snapToGrid w:val="0"/>
          <w:color w:val="auto"/>
          <w:sz w:val="28"/>
          <w:szCs w:val="30"/>
          <w:lang w:val="en-US" w:eastAsia="zh-CN"/>
        </w:rPr>
        <w:t>4</w:t>
      </w:r>
      <w:r>
        <w:rPr>
          <w:rFonts w:hint="eastAsia" w:hAnsi="宋体"/>
          <w:snapToGrid w:val="0"/>
          <w:color w:val="auto"/>
          <w:sz w:val="28"/>
          <w:szCs w:val="30"/>
        </w:rPr>
        <w:t>、《</w:t>
      </w:r>
      <w:r>
        <w:rPr>
          <w:rFonts w:hint="eastAsia" w:hAnsi="宋体"/>
          <w:snapToGrid w:val="0"/>
          <w:color w:val="auto"/>
          <w:sz w:val="28"/>
          <w:szCs w:val="30"/>
          <w:lang w:eastAsia="zh-CN"/>
        </w:rPr>
        <w:t>生产安全事故应急演练基本规范</w:t>
      </w:r>
      <w:r>
        <w:rPr>
          <w:rFonts w:hint="eastAsia" w:hAnsi="宋体"/>
          <w:snapToGrid w:val="0"/>
          <w:color w:val="auto"/>
          <w:sz w:val="28"/>
          <w:szCs w:val="30"/>
        </w:rPr>
        <w:t>》（</w:t>
      </w:r>
      <w:r>
        <w:rPr>
          <w:rFonts w:hint="eastAsia" w:hAnsi="宋体"/>
          <w:snapToGrid w:val="0"/>
          <w:color w:val="auto"/>
          <w:sz w:val="28"/>
          <w:szCs w:val="30"/>
          <w:lang w:eastAsia="zh-CN"/>
        </w:rPr>
        <w:t>AQ/T9007-2019</w:t>
      </w:r>
      <w:r>
        <w:rPr>
          <w:rFonts w:hint="eastAsia" w:hAnsi="宋体"/>
          <w:snapToGrid w:val="0"/>
          <w:color w:val="auto"/>
          <w:sz w:val="28"/>
          <w:szCs w:val="30"/>
        </w:rPr>
        <w:t>）。</w:t>
      </w:r>
    </w:p>
    <w:p w14:paraId="5DA5EA52">
      <w:pPr>
        <w:pageBreakBefore w:val="0"/>
        <w:widowControl w:val="0"/>
        <w:wordWrap/>
        <w:topLinePunct w:val="0"/>
        <w:autoSpaceDE/>
        <w:autoSpaceDN/>
        <w:bidi w:val="0"/>
        <w:spacing w:line="500" w:lineRule="exact"/>
        <w:ind w:firstLine="560" w:firstLineChars="200"/>
        <w:jc w:val="left"/>
        <w:textAlignment w:val="auto"/>
        <w:rPr>
          <w:rFonts w:hint="eastAsia" w:hAnsi="宋体"/>
          <w:snapToGrid w:val="0"/>
          <w:sz w:val="28"/>
          <w:szCs w:val="30"/>
        </w:rPr>
      </w:pPr>
      <w:r>
        <w:rPr>
          <w:rFonts w:hint="eastAsia" w:hAnsi="宋体"/>
          <w:snapToGrid w:val="0"/>
          <w:sz w:val="28"/>
          <w:szCs w:val="30"/>
          <w:lang w:val="en-US" w:eastAsia="zh-CN"/>
        </w:rPr>
        <w:t>5、</w:t>
      </w:r>
      <w:r>
        <w:rPr>
          <w:rFonts w:hint="eastAsia" w:hAnsi="宋体"/>
          <w:snapToGrid w:val="0"/>
          <w:sz w:val="28"/>
          <w:szCs w:val="30"/>
        </w:rPr>
        <w:t>《起重机械安全技术规程》（TSG 51-2023）；</w:t>
      </w:r>
    </w:p>
    <w:p w14:paraId="1DFB0023">
      <w:pPr>
        <w:pageBreakBefore w:val="0"/>
        <w:widowControl w:val="0"/>
        <w:wordWrap/>
        <w:topLinePunct w:val="0"/>
        <w:autoSpaceDE/>
        <w:autoSpaceDN/>
        <w:bidi w:val="0"/>
        <w:spacing w:line="500" w:lineRule="exact"/>
        <w:ind w:firstLine="560" w:firstLineChars="200"/>
        <w:jc w:val="left"/>
        <w:textAlignment w:val="auto"/>
        <w:rPr>
          <w:rFonts w:hint="eastAsia" w:hAnsi="宋体"/>
          <w:snapToGrid w:val="0"/>
          <w:color w:val="auto"/>
          <w:sz w:val="28"/>
          <w:szCs w:val="30"/>
        </w:rPr>
      </w:pPr>
      <w:r>
        <w:rPr>
          <w:rFonts w:hint="eastAsia" w:hAnsi="宋体"/>
          <w:snapToGrid w:val="0"/>
          <w:sz w:val="28"/>
          <w:szCs w:val="30"/>
          <w:lang w:val="en-US" w:eastAsia="zh-CN"/>
        </w:rPr>
        <w:t>6</w:t>
      </w:r>
      <w:r>
        <w:rPr>
          <w:rFonts w:hint="eastAsia" w:hAnsi="宋体"/>
          <w:snapToGrid w:val="0"/>
          <w:sz w:val="28"/>
          <w:szCs w:val="30"/>
        </w:rPr>
        <w:t>、《特种设备使用管理规则》（TSG 08-2017）。</w:t>
      </w:r>
    </w:p>
    <w:p w14:paraId="57C661F9">
      <w:pPr>
        <w:pStyle w:val="4"/>
        <w:pageBreakBefore w:val="0"/>
        <w:widowControl w:val="0"/>
        <w:kinsoku/>
        <w:wordWrap/>
        <w:overflowPunct/>
        <w:topLinePunct w:val="0"/>
        <w:autoSpaceDE/>
        <w:autoSpaceDN/>
        <w:bidi w:val="0"/>
        <w:adjustRightInd/>
        <w:snapToGrid w:val="0"/>
        <w:spacing w:before="0" w:after="0" w:line="500" w:lineRule="exact"/>
        <w:ind w:leftChars="0"/>
        <w:textAlignment w:val="auto"/>
        <w:rPr>
          <w:rFonts w:hint="eastAsia" w:ascii="宋体" w:hAnsi="宋体" w:eastAsia="宋体" w:cs="宋体"/>
          <w:snapToGrid w:val="0"/>
          <w:color w:val="auto"/>
          <w:kern w:val="0"/>
          <w:sz w:val="28"/>
          <w:szCs w:val="28"/>
        </w:rPr>
      </w:pPr>
      <w:bookmarkStart w:id="53" w:name="_Toc32007"/>
      <w:bookmarkStart w:id="54" w:name="_Toc3750"/>
      <w:bookmarkStart w:id="55" w:name="_Toc313453425"/>
      <w:bookmarkStart w:id="56" w:name="_Toc2065"/>
      <w:bookmarkStart w:id="57" w:name="_Toc335926130"/>
      <w:bookmarkStart w:id="58" w:name="_Toc21773"/>
      <w:bookmarkStart w:id="59" w:name="_Toc15266"/>
      <w:r>
        <w:rPr>
          <w:rFonts w:hint="eastAsia" w:ascii="宋体" w:hAnsi="宋体" w:eastAsia="宋体" w:cs="宋体"/>
          <w:snapToGrid w:val="0"/>
          <w:color w:val="auto"/>
          <w:kern w:val="0"/>
          <w:sz w:val="28"/>
          <w:szCs w:val="28"/>
        </w:rPr>
        <w:t>1.2.7其他相关参考资料</w:t>
      </w:r>
      <w:bookmarkEnd w:id="53"/>
      <w:bookmarkEnd w:id="54"/>
      <w:bookmarkEnd w:id="55"/>
      <w:bookmarkEnd w:id="56"/>
      <w:bookmarkEnd w:id="57"/>
      <w:bookmarkEnd w:id="58"/>
      <w:bookmarkEnd w:id="59"/>
    </w:p>
    <w:p w14:paraId="250FFE15">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1、</w:t>
      </w:r>
      <w:r>
        <w:rPr>
          <w:rFonts w:hint="eastAsia" w:hAnsi="宋体" w:cs="宋体"/>
          <w:snapToGrid w:val="0"/>
          <w:color w:val="auto"/>
          <w:sz w:val="28"/>
          <w:szCs w:val="30"/>
          <w:lang w:val="en-US" w:eastAsia="zh-CN"/>
        </w:rPr>
        <w:t>云南普菲特数控机械有限公司</w:t>
      </w:r>
      <w:r>
        <w:rPr>
          <w:rFonts w:hint="eastAsia" w:ascii="宋体" w:hAnsi="宋体" w:eastAsia="宋体" w:cs="宋体"/>
          <w:snapToGrid w:val="0"/>
          <w:color w:val="auto"/>
          <w:sz w:val="28"/>
          <w:szCs w:val="30"/>
        </w:rPr>
        <w:t>委托</w:t>
      </w:r>
      <w:r>
        <w:rPr>
          <w:rFonts w:hint="eastAsia" w:ascii="宋体" w:hAnsi="宋体" w:eastAsia="宋体" w:cs="宋体"/>
          <w:snapToGrid w:val="0"/>
          <w:color w:val="auto"/>
          <w:sz w:val="28"/>
          <w:szCs w:val="30"/>
          <w:highlight w:val="none"/>
          <w:lang w:eastAsia="zh-CN"/>
        </w:rPr>
        <w:t>昭通市鼎安科技有限公司</w:t>
      </w:r>
      <w:r>
        <w:rPr>
          <w:rFonts w:hint="eastAsia" w:ascii="宋体" w:hAnsi="宋体" w:eastAsia="宋体" w:cs="宋体"/>
          <w:snapToGrid w:val="0"/>
          <w:color w:val="auto"/>
          <w:sz w:val="28"/>
          <w:szCs w:val="30"/>
        </w:rPr>
        <w:t>进行安全评价的《委托书》；</w:t>
      </w:r>
    </w:p>
    <w:p w14:paraId="7E080289">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2、与本项目有关技术文件、资料和图片；类似工程资料及参考文献；</w:t>
      </w:r>
    </w:p>
    <w:p w14:paraId="58271CE1">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jc w:val="left"/>
        <w:textAlignment w:val="auto"/>
        <w:rPr>
          <w:rFonts w:hint="eastAsia" w:ascii="宋体" w:hAnsi="宋体" w:eastAsia="宋体" w:cs="宋体"/>
          <w:snapToGrid w:val="0"/>
          <w:color w:val="auto"/>
          <w:sz w:val="28"/>
          <w:szCs w:val="30"/>
        </w:rPr>
      </w:pPr>
      <w:r>
        <w:rPr>
          <w:rFonts w:hint="eastAsia" w:ascii="宋体" w:hAnsi="宋体" w:eastAsia="宋体" w:cs="宋体"/>
          <w:snapToGrid w:val="0"/>
          <w:color w:val="auto"/>
          <w:sz w:val="28"/>
          <w:szCs w:val="30"/>
        </w:rPr>
        <w:t>3、业主提供的相关证照及项目运行管理资料等。</w:t>
      </w:r>
    </w:p>
    <w:p w14:paraId="5CC4E840">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1"/>
        <w:rPr>
          <w:rFonts w:hint="eastAsia" w:ascii="宋体" w:hAnsi="宋体" w:eastAsia="宋体" w:cs="宋体"/>
          <w:sz w:val="30"/>
          <w:szCs w:val="30"/>
        </w:rPr>
      </w:pPr>
      <w:bookmarkStart w:id="60" w:name="_Toc4553"/>
      <w:bookmarkStart w:id="61" w:name="_Toc22840"/>
      <w:r>
        <w:rPr>
          <w:rFonts w:hint="eastAsia" w:ascii="宋体" w:hAnsi="宋体" w:eastAsia="宋体" w:cs="宋体"/>
          <w:b/>
          <w:bCs/>
          <w:spacing w:val="1"/>
          <w:sz w:val="30"/>
          <w:szCs w:val="30"/>
        </w:rPr>
        <w:t>1.</w:t>
      </w:r>
      <w:r>
        <w:rPr>
          <w:rFonts w:hint="eastAsia" w:ascii="宋体" w:hAnsi="宋体" w:eastAsia="宋体" w:cs="宋体"/>
          <w:b/>
          <w:bCs/>
          <w:spacing w:val="1"/>
          <w:sz w:val="30"/>
          <w:szCs w:val="30"/>
          <w:lang w:val="en-US" w:eastAsia="zh-CN"/>
        </w:rPr>
        <w:t>3</w:t>
      </w:r>
      <w:r>
        <w:rPr>
          <w:rFonts w:hint="eastAsia" w:ascii="宋体" w:hAnsi="宋体" w:eastAsia="宋体" w:cs="宋体"/>
          <w:b/>
          <w:bCs/>
          <w:spacing w:val="1"/>
          <w:sz w:val="30"/>
          <w:szCs w:val="30"/>
        </w:rPr>
        <w:t>评价原则及范围</w:t>
      </w:r>
      <w:bookmarkEnd w:id="60"/>
      <w:bookmarkEnd w:id="61"/>
    </w:p>
    <w:p w14:paraId="4927F826">
      <w:pPr>
        <w:keepNext w:val="0"/>
        <w:keepLines w:val="0"/>
        <w:pageBreakBefore w:val="0"/>
        <w:widowControl w:val="0"/>
        <w:kinsoku/>
        <w:wordWrap/>
        <w:overflowPunct/>
        <w:topLinePunct w:val="0"/>
        <w:autoSpaceDE/>
        <w:autoSpaceDN/>
        <w:bidi w:val="0"/>
        <w:adjustRightInd/>
        <w:snapToGrid/>
        <w:spacing w:line="500" w:lineRule="exact"/>
        <w:ind w:left="0" w:right="0"/>
        <w:textAlignment w:val="auto"/>
        <w:outlineLvl w:val="2"/>
        <w:rPr>
          <w:rFonts w:hint="eastAsia" w:ascii="宋体" w:hAnsi="宋体" w:eastAsia="宋体" w:cs="宋体"/>
          <w:sz w:val="28"/>
          <w:szCs w:val="28"/>
        </w:rPr>
      </w:pPr>
      <w:bookmarkStart w:id="62" w:name="_Toc11611"/>
      <w:bookmarkStart w:id="63" w:name="_Toc2171"/>
      <w:r>
        <w:rPr>
          <w:rFonts w:hint="eastAsia" w:ascii="宋体" w:hAnsi="宋体" w:eastAsia="宋体" w:cs="宋体"/>
          <w:b/>
          <w:bCs/>
          <w:spacing w:val="-1"/>
          <w:sz w:val="28"/>
          <w:szCs w:val="28"/>
        </w:rPr>
        <w:t>1.</w:t>
      </w:r>
      <w:r>
        <w:rPr>
          <w:rFonts w:hint="eastAsia" w:ascii="宋体" w:hAnsi="宋体" w:eastAsia="宋体" w:cs="宋体"/>
          <w:b/>
          <w:bCs/>
          <w:spacing w:val="-1"/>
          <w:sz w:val="28"/>
          <w:szCs w:val="28"/>
          <w:lang w:val="en-US" w:eastAsia="zh-CN"/>
        </w:rPr>
        <w:t>3</w:t>
      </w:r>
      <w:r>
        <w:rPr>
          <w:rFonts w:hint="eastAsia" w:ascii="宋体" w:hAnsi="宋体" w:eastAsia="宋体" w:cs="宋体"/>
          <w:b/>
          <w:bCs/>
          <w:spacing w:val="-1"/>
          <w:sz w:val="28"/>
          <w:szCs w:val="28"/>
        </w:rPr>
        <w:t>.1评价原则</w:t>
      </w:r>
      <w:bookmarkEnd w:id="62"/>
      <w:bookmarkEnd w:id="63"/>
    </w:p>
    <w:p w14:paraId="427201B8">
      <w:pPr>
        <w:keepNext w:val="0"/>
        <w:keepLines w:val="0"/>
        <w:pageBreakBefore w:val="0"/>
        <w:widowControl w:val="0"/>
        <w:kinsoku/>
        <w:wordWrap/>
        <w:overflowPunct/>
        <w:topLinePunct w:val="0"/>
        <w:autoSpaceDE/>
        <w:autoSpaceDN/>
        <w:bidi w:val="0"/>
        <w:adjustRightInd/>
        <w:snapToGrid/>
        <w:spacing w:line="500" w:lineRule="exact"/>
        <w:ind w:left="0" w:right="0" w:firstLine="560" w:firstLineChars="200"/>
        <w:textAlignment w:val="auto"/>
        <w:rPr>
          <w:rFonts w:ascii="宋体" w:hAnsi="宋体" w:eastAsia="宋体" w:cs="宋体"/>
          <w:spacing w:val="0"/>
          <w:sz w:val="28"/>
          <w:szCs w:val="28"/>
        </w:rPr>
      </w:pPr>
      <w:r>
        <w:rPr>
          <w:rFonts w:ascii="宋体" w:hAnsi="宋体" w:eastAsia="宋体" w:cs="宋体"/>
          <w:spacing w:val="0"/>
          <w:sz w:val="28"/>
          <w:szCs w:val="28"/>
        </w:rPr>
        <w:t>昭通市鼎安科技有限公司在对该项目进行安全评价工作中，始终坚持以下原则：</w:t>
      </w:r>
    </w:p>
    <w:p w14:paraId="5BE0478B">
      <w:pPr>
        <w:keepNext w:val="0"/>
        <w:keepLines w:val="0"/>
        <w:pageBreakBefore w:val="0"/>
        <w:widowControl w:val="0"/>
        <w:kinsoku/>
        <w:wordWrap/>
        <w:overflowPunct/>
        <w:topLinePunct w:val="0"/>
        <w:autoSpaceDE/>
        <w:autoSpaceDN/>
        <w:bidi w:val="0"/>
        <w:adjustRightInd/>
        <w:snapToGrid/>
        <w:spacing w:line="500" w:lineRule="exact"/>
        <w:ind w:left="0" w:right="0" w:firstLine="560" w:firstLineChars="200"/>
        <w:jc w:val="both"/>
        <w:textAlignment w:val="auto"/>
        <w:rPr>
          <w:rFonts w:ascii="宋体" w:hAnsi="宋体" w:eastAsia="宋体" w:cs="宋体"/>
          <w:spacing w:val="0"/>
          <w:sz w:val="28"/>
          <w:szCs w:val="28"/>
        </w:rPr>
      </w:pPr>
      <w:r>
        <w:rPr>
          <w:rFonts w:ascii="宋体" w:hAnsi="宋体" w:eastAsia="宋体" w:cs="宋体"/>
          <w:spacing w:val="0"/>
          <w:sz w:val="28"/>
          <w:szCs w:val="28"/>
        </w:rPr>
        <w:t>1.严格执行国家现行有关法律、法规、标准和规范的要求，保证对该企业申请安全生产许可证应当具备的安全生产条件进行科学、公正、合法、自主的评价；</w:t>
      </w:r>
    </w:p>
    <w:p w14:paraId="0360B369">
      <w:pPr>
        <w:keepNext w:val="0"/>
        <w:keepLines w:val="0"/>
        <w:pageBreakBefore w:val="0"/>
        <w:widowControl w:val="0"/>
        <w:kinsoku/>
        <w:wordWrap/>
        <w:overflowPunct/>
        <w:topLinePunct w:val="0"/>
        <w:autoSpaceDE/>
        <w:autoSpaceDN/>
        <w:bidi w:val="0"/>
        <w:adjustRightInd/>
        <w:snapToGrid/>
        <w:spacing w:line="500" w:lineRule="exact"/>
        <w:ind w:left="0" w:right="0" w:firstLine="560" w:firstLineChars="200"/>
        <w:textAlignment w:val="auto"/>
        <w:rPr>
          <w:rFonts w:ascii="宋体" w:hAnsi="宋体" w:eastAsia="宋体" w:cs="宋体"/>
          <w:spacing w:val="0"/>
          <w:sz w:val="28"/>
          <w:szCs w:val="28"/>
        </w:rPr>
      </w:pPr>
      <w:r>
        <w:rPr>
          <w:rFonts w:ascii="宋体" w:hAnsi="宋体" w:eastAsia="宋体" w:cs="宋体"/>
          <w:spacing w:val="0"/>
          <w:sz w:val="28"/>
          <w:szCs w:val="28"/>
        </w:rPr>
        <w:t>2.执行行业及地方现行有关法规、标准、规范和政策的要求，保证评价与当地经济发展的适应性；</w:t>
      </w:r>
    </w:p>
    <w:p w14:paraId="7ABFA0B5">
      <w:pPr>
        <w:keepNext w:val="0"/>
        <w:keepLines w:val="0"/>
        <w:pageBreakBefore w:val="0"/>
        <w:widowControl w:val="0"/>
        <w:kinsoku/>
        <w:wordWrap/>
        <w:overflowPunct/>
        <w:topLinePunct w:val="0"/>
        <w:autoSpaceDE/>
        <w:autoSpaceDN/>
        <w:bidi w:val="0"/>
        <w:adjustRightInd/>
        <w:snapToGrid/>
        <w:spacing w:line="500" w:lineRule="exact"/>
        <w:ind w:left="0" w:right="0" w:firstLine="560" w:firstLineChars="200"/>
        <w:textAlignment w:val="auto"/>
        <w:rPr>
          <w:rFonts w:ascii="宋体" w:hAnsi="宋体" w:eastAsia="宋体" w:cs="宋体"/>
          <w:spacing w:val="0"/>
          <w:sz w:val="28"/>
          <w:szCs w:val="28"/>
        </w:rPr>
      </w:pPr>
      <w:r>
        <w:rPr>
          <w:rFonts w:ascii="宋体" w:hAnsi="宋体" w:eastAsia="宋体" w:cs="宋体"/>
          <w:spacing w:val="0"/>
          <w:sz w:val="28"/>
          <w:szCs w:val="28"/>
        </w:rPr>
        <w:t>3.采用可靠、适用的评价技术和评价方法，保证评价的针对性</w:t>
      </w:r>
      <w:r>
        <w:rPr>
          <w:rFonts w:hint="eastAsia" w:ascii="宋体" w:hAnsi="宋体" w:eastAsia="宋体" w:cs="宋体"/>
          <w:spacing w:val="0"/>
          <w:sz w:val="28"/>
          <w:szCs w:val="28"/>
          <w:lang w:eastAsia="zh-CN"/>
        </w:rPr>
        <w:t>，</w:t>
      </w:r>
      <w:r>
        <w:rPr>
          <w:rFonts w:ascii="宋体" w:hAnsi="宋体" w:eastAsia="宋体" w:cs="宋体"/>
          <w:spacing w:val="0"/>
          <w:sz w:val="28"/>
          <w:szCs w:val="28"/>
        </w:rPr>
        <w:t>确保评价质量；</w:t>
      </w:r>
    </w:p>
    <w:p w14:paraId="766C3DD1">
      <w:pPr>
        <w:keepNext w:val="0"/>
        <w:keepLines w:val="0"/>
        <w:pageBreakBefore w:val="0"/>
        <w:widowControl w:val="0"/>
        <w:kinsoku/>
        <w:wordWrap/>
        <w:overflowPunct/>
        <w:topLinePunct w:val="0"/>
        <w:autoSpaceDE/>
        <w:autoSpaceDN/>
        <w:bidi w:val="0"/>
        <w:adjustRightInd/>
        <w:snapToGrid/>
        <w:spacing w:line="500" w:lineRule="exact"/>
        <w:ind w:left="0" w:right="0" w:firstLine="560" w:firstLineChars="200"/>
        <w:textAlignment w:val="auto"/>
        <w:rPr>
          <w:rFonts w:hint="eastAsia" w:ascii="宋体" w:hAnsi="宋体" w:eastAsia="宋体" w:cs="宋体"/>
          <w:b/>
          <w:bCs/>
          <w:spacing w:val="-1"/>
          <w:sz w:val="28"/>
          <w:szCs w:val="28"/>
        </w:rPr>
      </w:pPr>
      <w:r>
        <w:rPr>
          <w:rFonts w:ascii="宋体" w:hAnsi="宋体" w:eastAsia="宋体" w:cs="宋体"/>
          <w:spacing w:val="0"/>
          <w:sz w:val="28"/>
          <w:szCs w:val="28"/>
        </w:rPr>
        <w:t>4.恪守职业道德，遵循诚实守信的原则，对被评价企业的技术资料和商业运作保密。</w:t>
      </w:r>
    </w:p>
    <w:p w14:paraId="036B74A7">
      <w:pPr>
        <w:keepNext w:val="0"/>
        <w:keepLines w:val="0"/>
        <w:pageBreakBefore w:val="0"/>
        <w:widowControl w:val="0"/>
        <w:kinsoku/>
        <w:wordWrap/>
        <w:overflowPunct/>
        <w:topLinePunct w:val="0"/>
        <w:autoSpaceDE/>
        <w:autoSpaceDN/>
        <w:bidi w:val="0"/>
        <w:adjustRightInd/>
        <w:snapToGrid/>
        <w:spacing w:line="500" w:lineRule="exact"/>
        <w:textAlignment w:val="auto"/>
        <w:outlineLvl w:val="2"/>
        <w:rPr>
          <w:rFonts w:hint="eastAsia" w:ascii="宋体" w:hAnsi="宋体" w:eastAsia="宋体" w:cs="宋体"/>
          <w:b/>
          <w:bCs/>
          <w:sz w:val="28"/>
          <w:szCs w:val="28"/>
        </w:rPr>
      </w:pPr>
      <w:bookmarkStart w:id="64" w:name="_Toc30083"/>
      <w:bookmarkStart w:id="65" w:name="_Toc9997"/>
      <w:r>
        <w:rPr>
          <w:rFonts w:hint="eastAsia" w:ascii="宋体" w:hAnsi="宋体" w:eastAsia="宋体" w:cs="宋体"/>
          <w:b/>
          <w:bCs/>
          <w:spacing w:val="-1"/>
          <w:sz w:val="28"/>
          <w:szCs w:val="28"/>
        </w:rPr>
        <w:t>1.</w:t>
      </w:r>
      <w:r>
        <w:rPr>
          <w:rFonts w:hint="eastAsia" w:ascii="宋体" w:hAnsi="宋体" w:eastAsia="宋体" w:cs="宋体"/>
          <w:b/>
          <w:bCs/>
          <w:spacing w:val="-1"/>
          <w:sz w:val="28"/>
          <w:szCs w:val="28"/>
          <w:lang w:val="en-US" w:eastAsia="zh-CN"/>
        </w:rPr>
        <w:t>3</w:t>
      </w:r>
      <w:r>
        <w:rPr>
          <w:rFonts w:hint="eastAsia" w:ascii="宋体" w:hAnsi="宋体" w:eastAsia="宋体" w:cs="宋体"/>
          <w:b/>
          <w:bCs/>
          <w:spacing w:val="-1"/>
          <w:sz w:val="28"/>
          <w:szCs w:val="28"/>
        </w:rPr>
        <w:t>.2评价范围</w:t>
      </w:r>
      <w:bookmarkEnd w:id="64"/>
      <w:bookmarkEnd w:id="65"/>
    </w:p>
    <w:p w14:paraId="614D5D7A">
      <w:pPr>
        <w:keepNext w:val="0"/>
        <w:keepLines w:val="0"/>
        <w:pageBreakBefore w:val="0"/>
        <w:widowControl w:val="0"/>
        <w:kinsoku/>
        <w:wordWrap/>
        <w:overflowPunct/>
        <w:topLinePunct w:val="0"/>
        <w:autoSpaceDE/>
        <w:autoSpaceDN/>
        <w:bidi w:val="0"/>
        <w:adjustRightInd/>
        <w:snapToGrid/>
        <w:spacing w:line="500" w:lineRule="exact"/>
        <w:ind w:left="0" w:right="0" w:firstLine="560" w:firstLineChars="200"/>
        <w:jc w:val="both"/>
        <w:textAlignment w:val="auto"/>
        <w:rPr>
          <w:rFonts w:ascii="宋体" w:hAnsi="宋体" w:eastAsia="宋体" w:cs="宋体"/>
          <w:sz w:val="28"/>
          <w:szCs w:val="28"/>
        </w:rPr>
      </w:pPr>
      <w:r>
        <w:rPr>
          <w:rFonts w:hint="eastAsia" w:ascii="宋体" w:hAnsi="宋体" w:eastAsia="宋体" w:cs="宋体"/>
          <w:spacing w:val="0"/>
          <w:sz w:val="28"/>
          <w:szCs w:val="28"/>
        </w:rPr>
        <w:t>本次安全现状评价的范围为</w:t>
      </w:r>
      <w:r>
        <w:rPr>
          <w:rFonts w:hint="eastAsia" w:hAnsi="宋体" w:cs="宋体"/>
          <w:spacing w:val="0"/>
          <w:sz w:val="28"/>
          <w:szCs w:val="28"/>
          <w:lang w:val="en-US" w:eastAsia="zh-CN"/>
        </w:rPr>
        <w:t>云南普菲特数控机械有限公司</w:t>
      </w:r>
      <w:r>
        <w:rPr>
          <w:rFonts w:hint="eastAsia" w:ascii="宋体" w:hAnsi="宋体" w:eastAsia="宋体" w:cs="宋体"/>
          <w:spacing w:val="0"/>
          <w:sz w:val="28"/>
          <w:szCs w:val="28"/>
        </w:rPr>
        <w:t>机床制造工艺技术</w:t>
      </w:r>
      <w:r>
        <w:rPr>
          <w:rFonts w:hint="eastAsia" w:ascii="宋体" w:hAnsi="宋体" w:eastAsia="宋体" w:cs="宋体"/>
          <w:spacing w:val="0"/>
          <w:sz w:val="28"/>
          <w:szCs w:val="28"/>
          <w:lang w:eastAsia="zh-CN"/>
        </w:rPr>
        <w:t>，</w:t>
      </w:r>
      <w:r>
        <w:rPr>
          <w:rFonts w:hint="eastAsia" w:ascii="宋体" w:hAnsi="宋体" w:eastAsia="宋体" w:cs="宋体"/>
          <w:spacing w:val="0"/>
          <w:sz w:val="28"/>
          <w:szCs w:val="28"/>
        </w:rPr>
        <w:t>装配、检测等工序组合而成的专业化生产线</w:t>
      </w:r>
      <w:r>
        <w:rPr>
          <w:rFonts w:hint="eastAsia" w:ascii="宋体" w:hAnsi="宋体" w:eastAsia="宋体" w:cs="宋体"/>
          <w:spacing w:val="0"/>
          <w:sz w:val="28"/>
          <w:szCs w:val="28"/>
          <w:lang w:val="en-US" w:eastAsia="zh-CN"/>
        </w:rPr>
        <w:t>项目的</w:t>
      </w:r>
      <w:r>
        <w:rPr>
          <w:rFonts w:hint="eastAsia" w:ascii="宋体" w:hAnsi="宋体" w:eastAsia="宋体" w:cs="宋体"/>
          <w:spacing w:val="0"/>
          <w:sz w:val="28"/>
          <w:szCs w:val="28"/>
        </w:rPr>
        <w:t>生产作业场所如区域位置、平面布置、主体工程、生产设备现状、安全卫生配套设施等的安全现状，以及该公司安全生产管理措施落实、安全生产管理机构、安全生产责任制和规章制度建设、从业人员培训、安全投入、工伤保险、职业危害防治与劳动保护、事故应急救援等，并依据国家有关法律、法规、标准、规范等提出合理可行的安全对策措施及建议。</w:t>
      </w:r>
    </w:p>
    <w:p w14:paraId="28C15CDC">
      <w:pPr>
        <w:keepNext w:val="0"/>
        <w:keepLines w:val="0"/>
        <w:pageBreakBefore w:val="0"/>
        <w:widowControl w:val="0"/>
        <w:kinsoku/>
        <w:wordWrap/>
        <w:overflowPunct/>
        <w:topLinePunct w:val="0"/>
        <w:autoSpaceDE/>
        <w:autoSpaceDN/>
        <w:bidi w:val="0"/>
        <w:adjustRightInd/>
        <w:snapToGrid/>
        <w:spacing w:line="500" w:lineRule="exact"/>
        <w:ind w:left="0" w:right="0" w:firstLine="556" w:firstLineChars="200"/>
        <w:textAlignment w:val="auto"/>
        <w:rPr>
          <w:rFonts w:ascii="宋体" w:hAnsi="宋体" w:eastAsia="宋体" w:cs="宋体"/>
          <w:sz w:val="28"/>
          <w:szCs w:val="28"/>
        </w:rPr>
      </w:pPr>
      <w:r>
        <w:rPr>
          <w:rFonts w:ascii="宋体" w:hAnsi="宋体" w:eastAsia="宋体" w:cs="宋体"/>
          <w:spacing w:val="-1"/>
          <w:sz w:val="28"/>
          <w:szCs w:val="28"/>
        </w:rPr>
        <w:t>本次安全现状评价</w:t>
      </w:r>
      <w:r>
        <w:rPr>
          <w:rFonts w:hint="eastAsia" w:hAnsi="宋体" w:cs="宋体"/>
          <w:spacing w:val="-1"/>
          <w:sz w:val="28"/>
          <w:szCs w:val="28"/>
          <w:lang w:eastAsia="zh-CN"/>
        </w:rPr>
        <w:t>，</w:t>
      </w:r>
      <w:r>
        <w:rPr>
          <w:rFonts w:ascii="宋体" w:hAnsi="宋体" w:eastAsia="宋体" w:cs="宋体"/>
          <w:spacing w:val="-1"/>
          <w:sz w:val="28"/>
          <w:szCs w:val="28"/>
        </w:rPr>
        <w:t>不包含：</w:t>
      </w:r>
    </w:p>
    <w:p w14:paraId="60569A99">
      <w:pPr>
        <w:keepNext w:val="0"/>
        <w:keepLines w:val="0"/>
        <w:pageBreakBefore w:val="0"/>
        <w:widowControl w:val="0"/>
        <w:kinsoku/>
        <w:wordWrap/>
        <w:overflowPunct/>
        <w:topLinePunct w:val="0"/>
        <w:autoSpaceDE/>
        <w:autoSpaceDN/>
        <w:bidi w:val="0"/>
        <w:adjustRightInd/>
        <w:snapToGrid/>
        <w:spacing w:line="500" w:lineRule="exact"/>
        <w:ind w:left="0" w:right="0" w:firstLine="544" w:firstLineChars="200"/>
        <w:textAlignment w:val="auto"/>
        <w:rPr>
          <w:rFonts w:hint="eastAsia" w:ascii="宋体" w:hAnsi="宋体" w:eastAsia="宋体" w:cs="宋体"/>
          <w:sz w:val="28"/>
          <w:szCs w:val="28"/>
          <w:lang w:eastAsia="zh-CN"/>
        </w:rPr>
      </w:pPr>
      <w:r>
        <w:rPr>
          <w:rFonts w:ascii="宋体" w:hAnsi="宋体" w:eastAsia="宋体" w:cs="宋体"/>
          <w:spacing w:val="-4"/>
          <w:sz w:val="28"/>
          <w:szCs w:val="28"/>
        </w:rPr>
        <w:t>1)企业产品在生产现场外的运输作业、环境保护</w:t>
      </w:r>
      <w:r>
        <w:rPr>
          <w:rFonts w:ascii="宋体" w:hAnsi="宋体" w:eastAsia="宋体" w:cs="宋体"/>
          <w:spacing w:val="-5"/>
          <w:sz w:val="28"/>
          <w:szCs w:val="28"/>
        </w:rPr>
        <w:t>、地质灾害</w:t>
      </w:r>
      <w:r>
        <w:rPr>
          <w:rFonts w:hint="eastAsia" w:hAnsi="宋体" w:cs="宋体"/>
          <w:spacing w:val="-5"/>
          <w:sz w:val="28"/>
          <w:szCs w:val="28"/>
          <w:lang w:eastAsia="zh-CN"/>
        </w:rPr>
        <w:t>；</w:t>
      </w:r>
    </w:p>
    <w:p w14:paraId="72AA2900">
      <w:pPr>
        <w:keepNext w:val="0"/>
        <w:keepLines w:val="0"/>
        <w:pageBreakBefore w:val="0"/>
        <w:widowControl w:val="0"/>
        <w:kinsoku/>
        <w:wordWrap/>
        <w:overflowPunct/>
        <w:topLinePunct w:val="0"/>
        <w:autoSpaceDE/>
        <w:autoSpaceDN/>
        <w:bidi w:val="0"/>
        <w:adjustRightInd/>
        <w:snapToGrid/>
        <w:spacing w:line="500" w:lineRule="exact"/>
        <w:ind w:left="0" w:right="0" w:firstLine="552" w:firstLineChars="200"/>
        <w:textAlignment w:val="auto"/>
        <w:rPr>
          <w:rFonts w:ascii="宋体" w:hAnsi="宋体" w:eastAsia="宋体" w:cs="宋体"/>
          <w:sz w:val="28"/>
          <w:szCs w:val="28"/>
        </w:rPr>
      </w:pPr>
      <w:r>
        <w:rPr>
          <w:rFonts w:ascii="宋体" w:hAnsi="宋体" w:eastAsia="宋体" w:cs="宋体"/>
          <w:spacing w:val="-2"/>
          <w:sz w:val="28"/>
          <w:szCs w:val="28"/>
        </w:rPr>
        <w:t>2)企业产品的经营活动。</w:t>
      </w:r>
    </w:p>
    <w:p w14:paraId="3DB84AA4">
      <w:pPr>
        <w:keepNext w:val="0"/>
        <w:keepLines w:val="0"/>
        <w:pageBreakBefore w:val="0"/>
        <w:widowControl w:val="0"/>
        <w:kinsoku w:val="0"/>
        <w:wordWrap/>
        <w:overflowPunct/>
        <w:topLinePunct w:val="0"/>
        <w:autoSpaceDE/>
        <w:autoSpaceDN/>
        <w:bidi w:val="0"/>
        <w:adjustRightInd/>
        <w:snapToGrid/>
        <w:spacing w:line="500" w:lineRule="exact"/>
        <w:ind w:left="0" w:right="0" w:firstLine="560" w:firstLineChars="200"/>
        <w:jc w:val="both"/>
        <w:textAlignment w:val="auto"/>
        <w:rPr>
          <w:rFonts w:hint="eastAsia" w:ascii="宋体" w:hAnsi="宋体" w:eastAsia="宋体" w:cs="宋体"/>
          <w:spacing w:val="0"/>
          <w:sz w:val="28"/>
          <w:szCs w:val="28"/>
          <w:lang w:eastAsia="zh-CN"/>
        </w:rPr>
      </w:pPr>
      <w:r>
        <w:rPr>
          <w:rFonts w:ascii="宋体" w:hAnsi="宋体" w:eastAsia="宋体" w:cs="宋体"/>
          <w:spacing w:val="0"/>
          <w:sz w:val="28"/>
          <w:szCs w:val="28"/>
        </w:rPr>
        <w:t>涉及环境保护、职业卫生及职业病防治、消防及外部运输的问题不在本次安全评价范围内，但在评价过程中会有所提及。有关这些方面的问题，企业在建设和生产过程中应严格执行国家相关法律、法规、标准和规范要求</w:t>
      </w:r>
      <w:r>
        <w:rPr>
          <w:rFonts w:hint="eastAsia" w:hAnsi="宋体" w:cs="宋体"/>
          <w:spacing w:val="0"/>
          <w:sz w:val="28"/>
          <w:szCs w:val="28"/>
          <w:lang w:eastAsia="zh-CN"/>
        </w:rPr>
        <w:t>。</w:t>
      </w:r>
    </w:p>
    <w:p w14:paraId="06220DED">
      <w:pPr>
        <w:pStyle w:val="3"/>
        <w:keepNext/>
        <w:keepLines/>
        <w:pageBreakBefore w:val="0"/>
        <w:widowControl w:val="0"/>
        <w:kinsoku/>
        <w:wordWrap/>
        <w:overflowPunct/>
        <w:topLinePunct w:val="0"/>
        <w:autoSpaceDE/>
        <w:autoSpaceDN/>
        <w:bidi w:val="0"/>
        <w:adjustRightInd/>
        <w:snapToGrid w:val="0"/>
        <w:spacing w:before="0" w:after="0" w:line="500" w:lineRule="exact"/>
        <w:textAlignment w:val="auto"/>
        <w:rPr>
          <w:rFonts w:hint="eastAsia" w:ascii="宋体" w:hAnsi="宋体" w:eastAsia="宋体" w:cs="宋体"/>
          <w:b/>
          <w:bCs/>
          <w:color w:val="auto"/>
          <w:kern w:val="0"/>
          <w:sz w:val="30"/>
          <w:szCs w:val="30"/>
        </w:rPr>
      </w:pPr>
      <w:bookmarkStart w:id="66" w:name="_Toc30414"/>
      <w:bookmarkStart w:id="67" w:name="_Toc28936"/>
      <w:bookmarkStart w:id="68" w:name="_Toc23522"/>
      <w:bookmarkStart w:id="69" w:name="_Toc14577"/>
      <w:r>
        <w:rPr>
          <w:rFonts w:hint="eastAsia" w:ascii="宋体" w:hAnsi="宋体" w:eastAsia="宋体" w:cs="宋体"/>
          <w:b/>
          <w:bCs/>
          <w:color w:val="auto"/>
          <w:kern w:val="0"/>
          <w:sz w:val="30"/>
          <w:szCs w:val="30"/>
        </w:rPr>
        <w:t>1.</w:t>
      </w:r>
      <w:r>
        <w:rPr>
          <w:rFonts w:hint="eastAsia" w:ascii="宋体" w:hAnsi="宋体" w:eastAsia="宋体" w:cs="宋体"/>
          <w:b/>
          <w:bCs/>
          <w:color w:val="auto"/>
          <w:kern w:val="0"/>
          <w:sz w:val="30"/>
          <w:szCs w:val="30"/>
          <w:lang w:val="en-US" w:eastAsia="zh-CN"/>
        </w:rPr>
        <w:t>4</w:t>
      </w:r>
      <w:r>
        <w:rPr>
          <w:rFonts w:hint="eastAsia" w:ascii="宋体" w:hAnsi="宋体" w:eastAsia="宋体" w:cs="宋体"/>
          <w:b/>
          <w:bCs/>
          <w:color w:val="auto"/>
          <w:kern w:val="0"/>
          <w:sz w:val="30"/>
          <w:szCs w:val="30"/>
        </w:rPr>
        <w:t>评价程序</w:t>
      </w:r>
      <w:bookmarkEnd w:id="66"/>
      <w:bookmarkEnd w:id="67"/>
      <w:bookmarkEnd w:id="68"/>
      <w:bookmarkEnd w:id="69"/>
    </w:p>
    <w:p w14:paraId="21977967">
      <w:pPr>
        <w:keepNext w:val="0"/>
        <w:keepLines w:val="0"/>
        <w:pageBreakBefore w:val="0"/>
        <w:widowControl w:val="0"/>
        <w:kinsoku/>
        <w:wordWrap/>
        <w:overflowPunct/>
        <w:topLinePunct w:val="0"/>
        <w:autoSpaceDE/>
        <w:autoSpaceDN/>
        <w:bidi w:val="0"/>
        <w:adjustRightInd w:val="0"/>
        <w:snapToGrid w:val="0"/>
        <w:spacing w:line="500" w:lineRule="exact"/>
        <w:ind w:right="0" w:rightChars="0" w:firstLine="560" w:firstLineChars="200"/>
        <w:textAlignment w:val="auto"/>
        <w:rPr>
          <w:rFonts w:hint="eastAsia" w:hAnsi="宋体"/>
          <w:color w:val="auto"/>
          <w:sz w:val="28"/>
          <w:szCs w:val="28"/>
        </w:rPr>
      </w:pPr>
      <w:r>
        <w:rPr>
          <w:rFonts w:hint="eastAsia" w:hAnsi="宋体"/>
          <w:color w:val="auto"/>
          <w:sz w:val="28"/>
          <w:szCs w:val="28"/>
        </w:rPr>
        <w:t>本项目安全现状评价工作程序如图1-1所示。评价工作分为三个阶段：</w:t>
      </w:r>
    </w:p>
    <w:p w14:paraId="13DBFAF4">
      <w:pPr>
        <w:keepNext w:val="0"/>
        <w:keepLines w:val="0"/>
        <w:pageBreakBefore w:val="0"/>
        <w:widowControl w:val="0"/>
        <w:kinsoku/>
        <w:wordWrap/>
        <w:overflowPunct/>
        <w:topLinePunct w:val="0"/>
        <w:autoSpaceDE/>
        <w:autoSpaceDN/>
        <w:bidi w:val="0"/>
        <w:adjustRightInd w:val="0"/>
        <w:snapToGrid w:val="0"/>
        <w:spacing w:line="500" w:lineRule="exact"/>
        <w:ind w:right="0" w:rightChars="0" w:firstLine="560" w:firstLineChars="200"/>
        <w:textAlignment w:val="auto"/>
        <w:rPr>
          <w:rFonts w:hint="eastAsia" w:hAnsi="宋体"/>
          <w:color w:val="auto"/>
          <w:sz w:val="28"/>
          <w:szCs w:val="28"/>
        </w:rPr>
      </w:pPr>
      <w:r>
        <w:rPr>
          <w:rFonts w:hint="eastAsia" w:hAnsi="宋体"/>
          <w:color w:val="auto"/>
          <w:sz w:val="28"/>
          <w:szCs w:val="28"/>
        </w:rPr>
        <w:t>第一阶段为准备阶段，主要收集有关资料，进行初步的危险、危害因素识别，选择评价方法，编制评价大纲；</w:t>
      </w:r>
    </w:p>
    <w:p w14:paraId="24CF6E81">
      <w:pPr>
        <w:keepNext w:val="0"/>
        <w:keepLines w:val="0"/>
        <w:pageBreakBefore w:val="0"/>
        <w:widowControl w:val="0"/>
        <w:kinsoku/>
        <w:wordWrap/>
        <w:overflowPunct/>
        <w:topLinePunct w:val="0"/>
        <w:autoSpaceDE/>
        <w:autoSpaceDN/>
        <w:bidi w:val="0"/>
        <w:adjustRightInd w:val="0"/>
        <w:snapToGrid w:val="0"/>
        <w:spacing w:line="500" w:lineRule="exact"/>
        <w:ind w:right="0" w:rightChars="0" w:firstLine="560" w:firstLineChars="200"/>
        <w:textAlignment w:val="auto"/>
        <w:rPr>
          <w:rFonts w:hint="eastAsia" w:hAnsi="宋体"/>
          <w:color w:val="auto"/>
          <w:sz w:val="28"/>
          <w:szCs w:val="28"/>
        </w:rPr>
      </w:pPr>
      <w:r>
        <w:rPr>
          <w:rFonts w:hint="eastAsia" w:hAnsi="宋体"/>
          <w:color w:val="auto"/>
          <w:sz w:val="28"/>
          <w:szCs w:val="28"/>
        </w:rPr>
        <w:t>第二阶段为实施评价阶段，对工程安全情况进行类比调查，运用合适的评价方法进行定性及定量分析，提出安全对策措施；</w:t>
      </w:r>
    </w:p>
    <w:p w14:paraId="19DE5AFD">
      <w:pPr>
        <w:keepNext w:val="0"/>
        <w:keepLines w:val="0"/>
        <w:pageBreakBefore w:val="0"/>
        <w:widowControl w:val="0"/>
        <w:kinsoku/>
        <w:wordWrap/>
        <w:overflowPunct/>
        <w:topLinePunct w:val="0"/>
        <w:autoSpaceDE/>
        <w:autoSpaceDN/>
        <w:bidi w:val="0"/>
        <w:adjustRightInd w:val="0"/>
        <w:snapToGrid w:val="0"/>
        <w:spacing w:line="500" w:lineRule="exact"/>
        <w:ind w:right="0" w:rightChars="0" w:firstLine="560" w:firstLineChars="200"/>
        <w:textAlignment w:val="auto"/>
        <w:rPr>
          <w:rFonts w:hint="eastAsia" w:hAnsi="宋体"/>
          <w:color w:val="auto"/>
          <w:sz w:val="28"/>
          <w:szCs w:val="28"/>
        </w:rPr>
      </w:pPr>
      <w:r>
        <w:rPr>
          <w:rFonts w:hint="eastAsia" w:hAnsi="宋体"/>
          <w:color w:val="auto"/>
          <w:sz w:val="28"/>
          <w:szCs w:val="28"/>
        </w:rPr>
        <w:t>第三阶段为安全评价报告的编制阶段，主要是汇总第二阶段所得到的各种资料、数据，综合分析提出结论与建议，完成本</w:t>
      </w:r>
      <w:r>
        <w:rPr>
          <w:rFonts w:hint="eastAsia"/>
          <w:color w:val="auto"/>
          <w:sz w:val="28"/>
          <w:szCs w:val="28"/>
        </w:rPr>
        <w:t>项目安全现状评价报告</w:t>
      </w:r>
      <w:r>
        <w:rPr>
          <w:rFonts w:hint="eastAsia" w:hAnsi="宋体"/>
          <w:color w:val="auto"/>
          <w:sz w:val="28"/>
          <w:szCs w:val="28"/>
        </w:rPr>
        <w:t>的编制。</w:t>
      </w:r>
    </w:p>
    <w:p w14:paraId="0CB5A466">
      <w:pPr>
        <w:keepNext w:val="0"/>
        <w:keepLines w:val="0"/>
        <w:pageBreakBefore w:val="0"/>
        <w:widowControl w:val="0"/>
        <w:kinsoku/>
        <w:wordWrap/>
        <w:overflowPunct/>
        <w:topLinePunct w:val="0"/>
        <w:autoSpaceDE/>
        <w:autoSpaceDN/>
        <w:bidi w:val="0"/>
        <w:adjustRightInd w:val="0"/>
        <w:snapToGrid w:val="0"/>
        <w:spacing w:line="500" w:lineRule="exact"/>
        <w:ind w:right="0" w:rightChars="0" w:firstLine="560" w:firstLineChars="200"/>
        <w:textAlignment w:val="auto"/>
        <w:rPr>
          <w:rFonts w:hint="eastAsia" w:hAnsi="宋体"/>
          <w:color w:val="auto"/>
          <w:sz w:val="28"/>
          <w:szCs w:val="28"/>
        </w:rPr>
      </w:pPr>
      <w:r>
        <w:rPr>
          <w:rFonts w:hint="eastAsia" w:hAnsi="宋体"/>
          <w:color w:val="auto"/>
          <w:sz w:val="28"/>
          <w:szCs w:val="28"/>
        </w:rPr>
        <w:t>安全评价的程序见下图所示：</w:t>
      </w:r>
    </w:p>
    <w:p w14:paraId="6F6DE3F6">
      <w:pPr>
        <w:pStyle w:val="13"/>
        <w:bidi w:val="0"/>
        <w:jc w:val="both"/>
        <w:rPr>
          <w:rFonts w:hint="eastAsia" w:hAnsi="宋体" w:cs="宋体"/>
          <w:color w:val="auto"/>
          <w:szCs w:val="28"/>
          <w:lang w:val="zh-CN"/>
        </w:rPr>
      </w:pPr>
    </w:p>
    <w:p w14:paraId="0BCDF5B0">
      <w:pPr>
        <w:pStyle w:val="13"/>
        <w:bidi w:val="0"/>
        <w:jc w:val="center"/>
        <w:rPr>
          <w:rFonts w:hint="eastAsia" w:hAnsi="宋体" w:cs="宋体"/>
          <w:color w:val="auto"/>
          <w:szCs w:val="28"/>
          <w:lang w:val="zh-CN"/>
        </w:rPr>
      </w:pPr>
      <w:r>
        <w:rPr>
          <w:rFonts w:hint="default"/>
          <w:lang w:val="en-US" w:eastAsia="zh-CN"/>
        </w:rPr>
        <w:pict>
          <v:shape id="_x0000_s1033" o:spid="_x0000_s1033" o:spt="75" type="#_x0000_t75" style="position:absolute;left:0pt;margin-left:136.35pt;margin-top:1.15pt;height:311.85pt;width:204.25pt;z-index:251662336;mso-width-relative:page;mso-height-relative:page;" o:ole="t" filled="f" o:preferrelative="t" stroked="f" coordsize="21600,21600">
            <v:path/>
            <v:fill on="f" focussize="0,0"/>
            <v:stroke on="f"/>
            <v:imagedata r:id="rId18" o:title=""/>
            <o:lock v:ext="edit" aspectratio="f"/>
          </v:shape>
          <o:OLEObject Type="Embed" ProgID="Visio.Drawing.11" ShapeID="_x0000_s1033" DrawAspect="Content" ObjectID="_1468075725" r:id="rId17">
            <o:LockedField>false</o:LockedField>
          </o:OLEObject>
        </w:pict>
      </w:r>
    </w:p>
    <w:p w14:paraId="4ED410C2">
      <w:pPr>
        <w:pStyle w:val="13"/>
        <w:bidi w:val="0"/>
        <w:jc w:val="center"/>
        <w:rPr>
          <w:rFonts w:hint="eastAsia" w:hAnsi="宋体" w:cs="宋体"/>
          <w:color w:val="auto"/>
          <w:szCs w:val="28"/>
          <w:lang w:val="zh-CN"/>
        </w:rPr>
      </w:pPr>
    </w:p>
    <w:p w14:paraId="496F832F">
      <w:pPr>
        <w:pStyle w:val="13"/>
        <w:bidi w:val="0"/>
        <w:jc w:val="center"/>
        <w:rPr>
          <w:rFonts w:hint="eastAsia" w:hAnsi="宋体" w:cs="宋体"/>
          <w:color w:val="auto"/>
          <w:szCs w:val="28"/>
          <w:lang w:val="zh-CN"/>
        </w:rPr>
      </w:pPr>
    </w:p>
    <w:p w14:paraId="27C422FA">
      <w:pPr>
        <w:pStyle w:val="13"/>
        <w:bidi w:val="0"/>
        <w:jc w:val="center"/>
        <w:rPr>
          <w:rFonts w:hint="eastAsia" w:hAnsi="宋体" w:cs="宋体"/>
          <w:color w:val="auto"/>
          <w:szCs w:val="28"/>
          <w:lang w:val="zh-CN"/>
        </w:rPr>
      </w:pPr>
    </w:p>
    <w:p w14:paraId="03C11042">
      <w:pPr>
        <w:pStyle w:val="13"/>
        <w:bidi w:val="0"/>
        <w:jc w:val="center"/>
        <w:rPr>
          <w:rFonts w:hint="eastAsia" w:hAnsi="宋体" w:cs="宋体"/>
          <w:color w:val="auto"/>
          <w:szCs w:val="28"/>
          <w:lang w:val="zh-CN"/>
        </w:rPr>
      </w:pPr>
    </w:p>
    <w:p w14:paraId="1DC4DACE">
      <w:pPr>
        <w:pStyle w:val="13"/>
        <w:bidi w:val="0"/>
        <w:jc w:val="center"/>
        <w:rPr>
          <w:rFonts w:hint="eastAsia" w:hAnsi="宋体" w:cs="宋体"/>
          <w:color w:val="auto"/>
          <w:szCs w:val="28"/>
          <w:lang w:val="zh-CN"/>
        </w:rPr>
      </w:pPr>
    </w:p>
    <w:p w14:paraId="399E792F">
      <w:pPr>
        <w:pStyle w:val="13"/>
        <w:bidi w:val="0"/>
        <w:jc w:val="center"/>
        <w:rPr>
          <w:rFonts w:hint="eastAsia" w:hAnsi="宋体" w:cs="宋体"/>
          <w:color w:val="auto"/>
          <w:szCs w:val="28"/>
          <w:lang w:val="zh-CN"/>
        </w:rPr>
      </w:pPr>
    </w:p>
    <w:p w14:paraId="4F7A3953">
      <w:pPr>
        <w:pStyle w:val="13"/>
        <w:bidi w:val="0"/>
        <w:jc w:val="center"/>
        <w:rPr>
          <w:rFonts w:hint="eastAsia" w:hAnsi="宋体" w:cs="宋体"/>
          <w:color w:val="auto"/>
          <w:szCs w:val="28"/>
          <w:lang w:val="zh-CN"/>
        </w:rPr>
      </w:pPr>
    </w:p>
    <w:p w14:paraId="70D2A0FD">
      <w:pPr>
        <w:pStyle w:val="13"/>
        <w:bidi w:val="0"/>
        <w:jc w:val="center"/>
        <w:rPr>
          <w:rFonts w:hint="eastAsia" w:hAnsi="宋体" w:cs="宋体"/>
          <w:color w:val="auto"/>
          <w:szCs w:val="28"/>
          <w:lang w:val="zh-CN"/>
        </w:rPr>
      </w:pPr>
    </w:p>
    <w:p w14:paraId="2A87BD70">
      <w:pPr>
        <w:pStyle w:val="13"/>
        <w:bidi w:val="0"/>
        <w:jc w:val="center"/>
        <w:rPr>
          <w:rFonts w:hint="eastAsia" w:hAnsi="宋体" w:cs="宋体"/>
          <w:color w:val="auto"/>
          <w:szCs w:val="28"/>
          <w:lang w:val="zh-CN"/>
        </w:rPr>
      </w:pPr>
    </w:p>
    <w:p w14:paraId="00F28260">
      <w:pPr>
        <w:pStyle w:val="13"/>
        <w:bidi w:val="0"/>
        <w:jc w:val="center"/>
        <w:rPr>
          <w:rFonts w:hint="eastAsia" w:hAnsi="宋体" w:cs="宋体"/>
          <w:color w:val="auto"/>
          <w:szCs w:val="28"/>
          <w:lang w:val="zh-CN"/>
        </w:rPr>
      </w:pPr>
    </w:p>
    <w:p w14:paraId="193A57C4">
      <w:pPr>
        <w:pStyle w:val="13"/>
        <w:bidi w:val="0"/>
        <w:jc w:val="center"/>
        <w:rPr>
          <w:rFonts w:hint="eastAsia" w:hAnsi="宋体" w:cs="宋体"/>
          <w:color w:val="auto"/>
          <w:szCs w:val="28"/>
          <w:lang w:val="zh-CN"/>
        </w:rPr>
      </w:pPr>
    </w:p>
    <w:p w14:paraId="5364795E">
      <w:pPr>
        <w:pStyle w:val="13"/>
        <w:bidi w:val="0"/>
        <w:jc w:val="center"/>
        <w:rPr>
          <w:rFonts w:hint="eastAsia" w:hAnsi="宋体" w:cs="宋体"/>
          <w:color w:val="auto"/>
          <w:szCs w:val="28"/>
          <w:lang w:val="zh-CN"/>
        </w:rPr>
      </w:pPr>
    </w:p>
    <w:p w14:paraId="4BB1E34D">
      <w:pPr>
        <w:pStyle w:val="13"/>
        <w:bidi w:val="0"/>
        <w:jc w:val="center"/>
        <w:rPr>
          <w:rFonts w:hint="eastAsia" w:hAnsi="宋体" w:cs="宋体"/>
          <w:color w:val="auto"/>
          <w:szCs w:val="28"/>
          <w:lang w:val="zh-CN"/>
        </w:rPr>
      </w:pPr>
    </w:p>
    <w:p w14:paraId="78F68DF6">
      <w:pPr>
        <w:pStyle w:val="13"/>
        <w:bidi w:val="0"/>
        <w:jc w:val="center"/>
        <w:rPr>
          <w:rFonts w:hint="eastAsia" w:hAnsi="宋体" w:cs="宋体"/>
          <w:color w:val="auto"/>
          <w:szCs w:val="28"/>
          <w:lang w:val="zh-CN"/>
        </w:rPr>
      </w:pPr>
    </w:p>
    <w:p w14:paraId="6D22DD19">
      <w:pPr>
        <w:pStyle w:val="13"/>
        <w:bidi w:val="0"/>
        <w:jc w:val="center"/>
        <w:rPr>
          <w:rFonts w:hint="eastAsia" w:hAnsi="宋体" w:cs="宋体"/>
          <w:color w:val="auto"/>
          <w:szCs w:val="28"/>
          <w:lang w:val="zh-CN"/>
        </w:rPr>
      </w:pPr>
    </w:p>
    <w:p w14:paraId="7A0FF527">
      <w:pPr>
        <w:pStyle w:val="13"/>
        <w:bidi w:val="0"/>
        <w:jc w:val="center"/>
        <w:rPr>
          <w:rFonts w:hint="eastAsia" w:hAnsi="宋体" w:cs="宋体"/>
          <w:color w:val="auto"/>
          <w:szCs w:val="28"/>
          <w:lang w:val="zh-CN"/>
        </w:rPr>
      </w:pPr>
    </w:p>
    <w:p w14:paraId="25C4989F">
      <w:pPr>
        <w:pStyle w:val="13"/>
        <w:bidi w:val="0"/>
        <w:jc w:val="center"/>
        <w:rPr>
          <w:rFonts w:hint="eastAsia" w:hAnsi="宋体" w:cs="宋体"/>
          <w:color w:val="auto"/>
          <w:szCs w:val="28"/>
          <w:lang w:val="zh-CN"/>
        </w:rPr>
      </w:pPr>
    </w:p>
    <w:p w14:paraId="68D575C2">
      <w:pPr>
        <w:pStyle w:val="13"/>
        <w:bidi w:val="0"/>
        <w:jc w:val="center"/>
        <w:rPr>
          <w:rFonts w:hint="eastAsia" w:hAnsi="宋体" w:cs="宋体"/>
          <w:color w:val="auto"/>
          <w:szCs w:val="28"/>
          <w:lang w:val="zh-CN"/>
        </w:rPr>
      </w:pPr>
    </w:p>
    <w:p w14:paraId="2433C564">
      <w:pPr>
        <w:pStyle w:val="13"/>
        <w:bidi w:val="0"/>
        <w:jc w:val="center"/>
        <w:rPr>
          <w:rFonts w:hint="eastAsia" w:hAnsi="宋体" w:cs="宋体"/>
          <w:color w:val="auto"/>
          <w:szCs w:val="28"/>
          <w:lang w:val="zh-CN"/>
        </w:rPr>
      </w:pPr>
    </w:p>
    <w:p w14:paraId="7B254DF8">
      <w:pPr>
        <w:pStyle w:val="13"/>
        <w:bidi w:val="0"/>
        <w:jc w:val="center"/>
        <w:rPr>
          <w:rFonts w:hint="eastAsia" w:hAnsi="宋体" w:cs="宋体"/>
          <w:color w:val="auto"/>
          <w:szCs w:val="28"/>
          <w:lang w:val="zh-CN"/>
        </w:rPr>
      </w:pPr>
    </w:p>
    <w:p w14:paraId="489A0653">
      <w:pPr>
        <w:pStyle w:val="13"/>
        <w:bidi w:val="0"/>
        <w:jc w:val="center"/>
        <w:rPr>
          <w:rFonts w:hint="eastAsia" w:hAnsi="宋体" w:cs="宋体"/>
          <w:color w:val="auto"/>
          <w:szCs w:val="28"/>
          <w:lang w:val="zh-CN"/>
        </w:rPr>
      </w:pPr>
    </w:p>
    <w:p w14:paraId="40FD09DA">
      <w:pPr>
        <w:pStyle w:val="3"/>
        <w:keepNext/>
        <w:keepLines/>
        <w:pageBreakBefore w:val="0"/>
        <w:widowControl w:val="0"/>
        <w:kinsoku/>
        <w:wordWrap/>
        <w:overflowPunct/>
        <w:topLinePunct w:val="0"/>
        <w:autoSpaceDE/>
        <w:autoSpaceDN/>
        <w:bidi w:val="0"/>
        <w:adjustRightInd/>
        <w:snapToGrid w:val="0"/>
        <w:spacing w:before="0" w:after="0" w:line="600" w:lineRule="exact"/>
        <w:textAlignment w:val="auto"/>
        <w:rPr>
          <w:rFonts w:hint="eastAsia" w:ascii="宋体" w:hAnsi="宋体" w:eastAsia="宋体" w:cs="宋体"/>
          <w:b/>
          <w:bCs/>
          <w:color w:val="auto"/>
          <w:kern w:val="0"/>
          <w:sz w:val="30"/>
          <w:szCs w:val="30"/>
        </w:rPr>
      </w:pPr>
      <w:bookmarkStart w:id="70" w:name="_Toc21050"/>
      <w:bookmarkStart w:id="71" w:name="_Toc32236"/>
      <w:bookmarkStart w:id="72" w:name="_Toc26128"/>
      <w:bookmarkStart w:id="73" w:name="_Toc27264"/>
      <w:bookmarkStart w:id="74" w:name="_Toc335926134"/>
      <w:bookmarkStart w:id="75" w:name="_Toc8809"/>
      <w:r>
        <w:rPr>
          <w:rFonts w:hint="eastAsia" w:ascii="宋体" w:hAnsi="宋体" w:eastAsia="宋体" w:cs="宋体"/>
          <w:b/>
          <w:bCs/>
          <w:color w:val="auto"/>
          <w:kern w:val="0"/>
          <w:sz w:val="30"/>
          <w:szCs w:val="30"/>
        </w:rPr>
        <w:t>1.</w:t>
      </w:r>
      <w:r>
        <w:rPr>
          <w:rFonts w:hint="eastAsia" w:ascii="宋体" w:hAnsi="宋体" w:eastAsia="宋体" w:cs="宋体"/>
          <w:b/>
          <w:bCs/>
          <w:color w:val="auto"/>
          <w:kern w:val="0"/>
          <w:sz w:val="30"/>
          <w:szCs w:val="30"/>
          <w:lang w:val="en-US" w:eastAsia="zh-CN"/>
        </w:rPr>
        <w:t>5</w:t>
      </w:r>
      <w:r>
        <w:rPr>
          <w:rFonts w:hint="eastAsia" w:ascii="宋体" w:hAnsi="宋体" w:eastAsia="宋体" w:cs="宋体"/>
          <w:b/>
          <w:bCs/>
          <w:color w:val="auto"/>
          <w:kern w:val="0"/>
          <w:sz w:val="30"/>
          <w:szCs w:val="30"/>
        </w:rPr>
        <w:t>评价基准日</w:t>
      </w:r>
      <w:bookmarkEnd w:id="70"/>
      <w:bookmarkEnd w:id="71"/>
      <w:bookmarkEnd w:id="72"/>
      <w:bookmarkEnd w:id="73"/>
      <w:bookmarkEnd w:id="74"/>
      <w:bookmarkEnd w:id="75"/>
    </w:p>
    <w:p w14:paraId="04E1C52C">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14:textFill>
            <w14:solidFill>
              <w14:schemeClr w14:val="tx1"/>
            </w14:solidFill>
          </w14:textFill>
        </w:rPr>
      </w:pPr>
      <w:r>
        <w:rPr>
          <w:rFonts w:hint="eastAsia" w:ascii="宋体" w:hAnsi="宋体" w:eastAsia="宋体" w:cs="宋体"/>
          <w:color w:val="000000" w:themeColor="text1"/>
          <w:sz w:val="28"/>
          <w14:textFill>
            <w14:solidFill>
              <w14:schemeClr w14:val="tx1"/>
            </w14:solidFill>
          </w14:textFill>
        </w:rPr>
        <w:t>评价人员</w:t>
      </w:r>
      <w:r>
        <w:rPr>
          <w:rFonts w:hint="eastAsia" w:ascii="宋体" w:hAnsi="宋体" w:eastAsia="宋体" w:cs="宋体"/>
          <w:color w:val="000000" w:themeColor="text1"/>
          <w:sz w:val="28"/>
          <w:highlight w:val="none"/>
          <w14:textFill>
            <w14:solidFill>
              <w14:schemeClr w14:val="tx1"/>
            </w14:solidFill>
          </w14:textFill>
        </w:rPr>
        <w:t>于202</w:t>
      </w:r>
      <w:r>
        <w:rPr>
          <w:rFonts w:hint="eastAsia" w:ascii="宋体" w:hAnsi="宋体" w:eastAsia="宋体" w:cs="宋体"/>
          <w:color w:val="000000" w:themeColor="text1"/>
          <w:sz w:val="28"/>
          <w:highlight w:val="none"/>
          <w:lang w:val="en-US" w:eastAsia="zh-CN"/>
          <w14:textFill>
            <w14:solidFill>
              <w14:schemeClr w14:val="tx1"/>
            </w14:solidFill>
          </w14:textFill>
        </w:rPr>
        <w:t>4</w:t>
      </w:r>
      <w:r>
        <w:rPr>
          <w:rFonts w:hint="eastAsia" w:ascii="宋体" w:hAnsi="宋体" w:eastAsia="宋体" w:cs="宋体"/>
          <w:color w:val="000000" w:themeColor="text1"/>
          <w:sz w:val="28"/>
          <w:highlight w:val="none"/>
          <w14:textFill>
            <w14:solidFill>
              <w14:schemeClr w14:val="tx1"/>
            </w14:solidFill>
          </w14:textFill>
        </w:rPr>
        <w:t>年</w:t>
      </w:r>
      <w:r>
        <w:rPr>
          <w:rFonts w:hint="eastAsia" w:ascii="宋体" w:hAnsi="宋体" w:eastAsia="宋体" w:cs="宋体"/>
          <w:color w:val="000000" w:themeColor="text1"/>
          <w:sz w:val="28"/>
          <w:highlight w:val="none"/>
          <w:lang w:val="en-US" w:eastAsia="zh-CN"/>
          <w14:textFill>
            <w14:solidFill>
              <w14:schemeClr w14:val="tx1"/>
            </w14:solidFill>
          </w14:textFill>
        </w:rPr>
        <w:t>1</w:t>
      </w:r>
      <w:r>
        <w:rPr>
          <w:rFonts w:hint="eastAsia" w:hAnsi="宋体" w:cs="宋体"/>
          <w:color w:val="000000" w:themeColor="text1"/>
          <w:sz w:val="28"/>
          <w:highlight w:val="none"/>
          <w:lang w:val="en-US" w:eastAsia="zh-CN"/>
          <w14:textFill>
            <w14:solidFill>
              <w14:schemeClr w14:val="tx1"/>
            </w14:solidFill>
          </w14:textFill>
        </w:rPr>
        <w:t>2</w:t>
      </w:r>
      <w:r>
        <w:rPr>
          <w:rFonts w:hint="eastAsia" w:ascii="宋体" w:hAnsi="宋体" w:eastAsia="宋体" w:cs="宋体"/>
          <w:color w:val="000000" w:themeColor="text1"/>
          <w:sz w:val="28"/>
          <w:highlight w:val="none"/>
          <w14:textFill>
            <w14:solidFill>
              <w14:schemeClr w14:val="tx1"/>
            </w14:solidFill>
          </w14:textFill>
        </w:rPr>
        <w:t>月</w:t>
      </w:r>
      <w:r>
        <w:rPr>
          <w:rFonts w:hint="eastAsia" w:ascii="宋体" w:hAnsi="宋体" w:eastAsia="宋体" w:cs="宋体"/>
          <w:color w:val="000000" w:themeColor="text1"/>
          <w:sz w:val="28"/>
          <w:highlight w:val="none"/>
          <w:lang w:val="en-US" w:eastAsia="zh-CN"/>
          <w14:textFill>
            <w14:solidFill>
              <w14:schemeClr w14:val="tx1"/>
            </w14:solidFill>
          </w14:textFill>
        </w:rPr>
        <w:t>10</w:t>
      </w:r>
      <w:r>
        <w:rPr>
          <w:rFonts w:hint="eastAsia" w:ascii="宋体" w:hAnsi="宋体" w:eastAsia="宋体" w:cs="宋体"/>
          <w:color w:val="000000" w:themeColor="text1"/>
          <w:sz w:val="28"/>
          <w:highlight w:val="none"/>
          <w14:textFill>
            <w14:solidFill>
              <w14:schemeClr w14:val="tx1"/>
            </w14:solidFill>
          </w14:textFill>
        </w:rPr>
        <w:t>日</w:t>
      </w:r>
      <w:r>
        <w:rPr>
          <w:rFonts w:hint="eastAsia" w:ascii="宋体" w:hAnsi="宋体" w:eastAsia="宋体" w:cs="宋体"/>
          <w:color w:val="000000" w:themeColor="text1"/>
          <w:sz w:val="28"/>
          <w14:textFill>
            <w14:solidFill>
              <w14:schemeClr w14:val="tx1"/>
            </w14:solidFill>
          </w14:textFill>
        </w:rPr>
        <w:t>对</w:t>
      </w:r>
      <w:r>
        <w:rPr>
          <w:rFonts w:hint="eastAsia" w:ascii="宋体" w:hAnsi="宋体" w:eastAsia="宋体" w:cs="宋体"/>
          <w:color w:val="000000" w:themeColor="text1"/>
          <w:sz w:val="28"/>
          <w:szCs w:val="28"/>
          <w:lang w:val="en-US" w:eastAsia="zh-CN"/>
          <w14:textFill>
            <w14:solidFill>
              <w14:schemeClr w14:val="tx1"/>
            </w14:solidFill>
          </w14:textFill>
        </w:rPr>
        <w:t>云南普菲特数控机械有限公司安全现状评价项目</w:t>
      </w:r>
      <w:r>
        <w:rPr>
          <w:rFonts w:hint="eastAsia" w:ascii="宋体" w:hAnsi="宋体" w:eastAsia="宋体" w:cs="宋体"/>
          <w:color w:val="000000" w:themeColor="text1"/>
          <w:sz w:val="28"/>
          <w14:textFill>
            <w14:solidFill>
              <w14:schemeClr w14:val="tx1"/>
            </w14:solidFill>
          </w14:textFill>
        </w:rPr>
        <w:t>进行了初次现场检查，于</w:t>
      </w:r>
      <w:r>
        <w:rPr>
          <w:rFonts w:hint="eastAsia" w:ascii="宋体" w:hAnsi="宋体" w:eastAsia="宋体" w:cs="宋体"/>
          <w:color w:val="000000" w:themeColor="text1"/>
          <w:sz w:val="28"/>
          <w:highlight w:val="none"/>
          <w14:textFill>
            <w14:solidFill>
              <w14:schemeClr w14:val="tx1"/>
            </w14:solidFill>
          </w14:textFill>
        </w:rPr>
        <w:t>202</w:t>
      </w:r>
      <w:r>
        <w:rPr>
          <w:rFonts w:hint="eastAsia" w:ascii="宋体" w:hAnsi="宋体" w:eastAsia="宋体" w:cs="宋体"/>
          <w:color w:val="000000" w:themeColor="text1"/>
          <w:sz w:val="28"/>
          <w:highlight w:val="none"/>
          <w:lang w:val="en-US" w:eastAsia="zh-CN"/>
          <w14:textFill>
            <w14:solidFill>
              <w14:schemeClr w14:val="tx1"/>
            </w14:solidFill>
          </w14:textFill>
        </w:rPr>
        <w:t>5</w:t>
      </w:r>
      <w:r>
        <w:rPr>
          <w:rFonts w:hint="eastAsia" w:ascii="宋体" w:hAnsi="宋体" w:eastAsia="宋体" w:cs="宋体"/>
          <w:color w:val="000000" w:themeColor="text1"/>
          <w:sz w:val="28"/>
          <w:highlight w:val="none"/>
          <w14:textFill>
            <w14:solidFill>
              <w14:schemeClr w14:val="tx1"/>
            </w14:solidFill>
          </w14:textFill>
        </w:rPr>
        <w:t>年</w:t>
      </w:r>
      <w:r>
        <w:rPr>
          <w:rFonts w:hint="eastAsia" w:hAnsi="宋体" w:cs="宋体"/>
          <w:color w:val="000000" w:themeColor="text1"/>
          <w:sz w:val="28"/>
          <w:highlight w:val="none"/>
          <w:lang w:val="en-US" w:eastAsia="zh-CN"/>
          <w14:textFill>
            <w14:solidFill>
              <w14:schemeClr w14:val="tx1"/>
            </w14:solidFill>
          </w14:textFill>
        </w:rPr>
        <w:t>1</w:t>
      </w:r>
      <w:r>
        <w:rPr>
          <w:rFonts w:hint="eastAsia" w:ascii="宋体" w:hAnsi="宋体" w:eastAsia="宋体" w:cs="宋体"/>
          <w:color w:val="000000" w:themeColor="text1"/>
          <w:sz w:val="28"/>
          <w:highlight w:val="none"/>
          <w14:textFill>
            <w14:solidFill>
              <w14:schemeClr w14:val="tx1"/>
            </w14:solidFill>
          </w14:textFill>
        </w:rPr>
        <w:t>月</w:t>
      </w:r>
      <w:r>
        <w:rPr>
          <w:rFonts w:hint="eastAsia" w:ascii="宋体" w:hAnsi="宋体" w:eastAsia="宋体" w:cs="宋体"/>
          <w:color w:val="000000" w:themeColor="text1"/>
          <w:sz w:val="28"/>
          <w:highlight w:val="none"/>
          <w:lang w:val="en-US" w:eastAsia="zh-CN"/>
          <w14:textFill>
            <w14:solidFill>
              <w14:schemeClr w14:val="tx1"/>
            </w14:solidFill>
          </w14:textFill>
        </w:rPr>
        <w:t>27</w:t>
      </w:r>
      <w:r>
        <w:rPr>
          <w:rFonts w:hint="eastAsia" w:ascii="宋体" w:hAnsi="宋体" w:eastAsia="宋体" w:cs="宋体"/>
          <w:color w:val="000000" w:themeColor="text1"/>
          <w:sz w:val="28"/>
          <w:highlight w:val="none"/>
          <w14:textFill>
            <w14:solidFill>
              <w14:schemeClr w14:val="tx1"/>
            </w14:solidFill>
          </w14:textFill>
        </w:rPr>
        <w:t>日对现场隐患进行复核，</w:t>
      </w:r>
      <w:r>
        <w:rPr>
          <w:rFonts w:hint="eastAsia" w:ascii="宋体" w:hAnsi="宋体" w:eastAsia="宋体" w:cs="宋体"/>
          <w:color w:val="000000" w:themeColor="text1"/>
          <w:sz w:val="28"/>
          <w:highlight w:val="none"/>
          <w:lang w:val="en-US" w:eastAsia="zh-CN"/>
          <w14:textFill>
            <w14:solidFill>
              <w14:schemeClr w14:val="tx1"/>
            </w14:solidFill>
          </w14:textFill>
        </w:rPr>
        <w:t>故该</w:t>
      </w:r>
      <w:r>
        <w:rPr>
          <w:rFonts w:hint="eastAsia" w:ascii="宋体" w:hAnsi="宋体" w:eastAsia="宋体" w:cs="宋体"/>
          <w:color w:val="000000" w:themeColor="text1"/>
          <w:sz w:val="28"/>
          <w:highlight w:val="none"/>
          <w14:textFill>
            <w14:solidFill>
              <w14:schemeClr w14:val="tx1"/>
            </w14:solidFill>
          </w14:textFill>
        </w:rPr>
        <w:t>项目评价基准日为202</w:t>
      </w:r>
      <w:r>
        <w:rPr>
          <w:rFonts w:hint="eastAsia" w:ascii="宋体" w:hAnsi="宋体" w:eastAsia="宋体" w:cs="宋体"/>
          <w:color w:val="000000" w:themeColor="text1"/>
          <w:sz w:val="28"/>
          <w:highlight w:val="none"/>
          <w:lang w:val="en-US" w:eastAsia="zh-CN"/>
          <w14:textFill>
            <w14:solidFill>
              <w14:schemeClr w14:val="tx1"/>
            </w14:solidFill>
          </w14:textFill>
        </w:rPr>
        <w:t>5</w:t>
      </w:r>
      <w:r>
        <w:rPr>
          <w:rFonts w:hint="eastAsia" w:ascii="宋体" w:hAnsi="宋体" w:eastAsia="宋体" w:cs="宋体"/>
          <w:color w:val="000000" w:themeColor="text1"/>
          <w:sz w:val="28"/>
          <w:highlight w:val="none"/>
          <w14:textFill>
            <w14:solidFill>
              <w14:schemeClr w14:val="tx1"/>
            </w14:solidFill>
          </w14:textFill>
        </w:rPr>
        <w:t>年</w:t>
      </w:r>
      <w:r>
        <w:rPr>
          <w:rFonts w:hint="eastAsia" w:hAnsi="宋体" w:cs="宋体"/>
          <w:color w:val="000000" w:themeColor="text1"/>
          <w:sz w:val="28"/>
          <w:highlight w:val="none"/>
          <w:lang w:val="en-US" w:eastAsia="zh-CN"/>
          <w14:textFill>
            <w14:solidFill>
              <w14:schemeClr w14:val="tx1"/>
            </w14:solidFill>
          </w14:textFill>
        </w:rPr>
        <w:t>1</w:t>
      </w:r>
      <w:r>
        <w:rPr>
          <w:rFonts w:hint="eastAsia" w:ascii="宋体" w:hAnsi="宋体" w:eastAsia="宋体" w:cs="宋体"/>
          <w:color w:val="000000" w:themeColor="text1"/>
          <w:sz w:val="28"/>
          <w:highlight w:val="none"/>
          <w14:textFill>
            <w14:solidFill>
              <w14:schemeClr w14:val="tx1"/>
            </w14:solidFill>
          </w14:textFill>
        </w:rPr>
        <w:t>月</w:t>
      </w:r>
      <w:r>
        <w:rPr>
          <w:rFonts w:hint="eastAsia" w:ascii="宋体" w:hAnsi="宋体" w:eastAsia="宋体" w:cs="宋体"/>
          <w:color w:val="000000" w:themeColor="text1"/>
          <w:sz w:val="28"/>
          <w:highlight w:val="none"/>
          <w:lang w:val="en-US" w:eastAsia="zh-CN"/>
          <w14:textFill>
            <w14:solidFill>
              <w14:schemeClr w14:val="tx1"/>
            </w14:solidFill>
          </w14:textFill>
        </w:rPr>
        <w:t>27</w:t>
      </w:r>
      <w:r>
        <w:rPr>
          <w:rFonts w:hint="eastAsia" w:ascii="宋体" w:hAnsi="宋体" w:eastAsia="宋体" w:cs="宋体"/>
          <w:color w:val="000000" w:themeColor="text1"/>
          <w:sz w:val="28"/>
          <w:highlight w:val="none"/>
          <w14:textFill>
            <w14:solidFill>
              <w14:schemeClr w14:val="tx1"/>
            </w14:solidFill>
          </w14:textFill>
        </w:rPr>
        <w:t>日。</w:t>
      </w:r>
    </w:p>
    <w:p w14:paraId="62D26B5F">
      <w:pPr>
        <w:keepNext w:val="0"/>
        <w:keepLines w:val="0"/>
        <w:pageBreakBefore w:val="0"/>
        <w:widowControl w:val="0"/>
        <w:kinsoku/>
        <w:wordWrap/>
        <w:overflowPunct/>
        <w:topLinePunct w:val="0"/>
        <w:autoSpaceDE/>
        <w:autoSpaceDN/>
        <w:bidi w:val="0"/>
        <w:adjustRightInd/>
        <w:snapToGrid/>
        <w:spacing w:line="600" w:lineRule="exact"/>
        <w:ind w:left="0"/>
        <w:textAlignment w:val="auto"/>
        <w:outlineLvl w:val="1"/>
        <w:rPr>
          <w:rFonts w:hint="eastAsia" w:ascii="宋体" w:hAnsi="宋体" w:eastAsia="宋体" w:cs="宋体"/>
          <w:sz w:val="30"/>
          <w:szCs w:val="30"/>
        </w:rPr>
      </w:pPr>
      <w:bookmarkStart w:id="76" w:name="_Toc9037"/>
      <w:bookmarkStart w:id="77" w:name="_Toc4292"/>
      <w:r>
        <w:rPr>
          <w:rFonts w:hint="eastAsia" w:ascii="宋体" w:hAnsi="宋体" w:eastAsia="宋体" w:cs="宋体"/>
          <w:b/>
          <w:bCs/>
          <w:spacing w:val="2"/>
          <w:sz w:val="30"/>
          <w:szCs w:val="30"/>
        </w:rPr>
        <w:t>1.</w:t>
      </w:r>
      <w:r>
        <w:rPr>
          <w:rFonts w:hint="eastAsia" w:ascii="宋体" w:hAnsi="宋体" w:eastAsia="宋体" w:cs="宋体"/>
          <w:b/>
          <w:bCs/>
          <w:spacing w:val="2"/>
          <w:sz w:val="30"/>
          <w:szCs w:val="30"/>
          <w:lang w:val="en-US" w:eastAsia="zh-CN"/>
        </w:rPr>
        <w:t>6</w:t>
      </w:r>
      <w:r>
        <w:rPr>
          <w:rFonts w:hint="eastAsia" w:ascii="宋体" w:hAnsi="宋体" w:eastAsia="宋体" w:cs="宋体"/>
          <w:b/>
          <w:bCs/>
          <w:spacing w:val="2"/>
          <w:sz w:val="30"/>
          <w:szCs w:val="30"/>
        </w:rPr>
        <w:t>评价报告使用权声明</w:t>
      </w:r>
      <w:bookmarkEnd w:id="76"/>
      <w:bookmarkEnd w:id="77"/>
    </w:p>
    <w:p w14:paraId="1BAB4661">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14:textFill>
            <w14:solidFill>
              <w14:schemeClr w14:val="tx1"/>
            </w14:solidFill>
          </w14:textFill>
        </w:rPr>
      </w:pPr>
      <w:r>
        <w:rPr>
          <w:rFonts w:hint="eastAsia" w:ascii="宋体" w:hAnsi="宋体" w:eastAsia="宋体" w:cs="宋体"/>
          <w:color w:val="000000" w:themeColor="text1"/>
          <w:sz w:val="28"/>
          <w14:textFill>
            <w14:solidFill>
              <w14:schemeClr w14:val="tx1"/>
            </w14:solidFill>
          </w14:textFill>
        </w:rPr>
        <w:t>本评价报告是受</w:t>
      </w:r>
      <w:r>
        <w:rPr>
          <w:rFonts w:hint="eastAsia" w:ascii="宋体" w:hAnsi="宋体" w:eastAsia="宋体" w:cs="宋体"/>
          <w:color w:val="000000" w:themeColor="text1"/>
          <w:sz w:val="28"/>
          <w:lang w:val="en-US" w:eastAsia="zh-CN"/>
          <w14:textFill>
            <w14:solidFill>
              <w14:schemeClr w14:val="tx1"/>
            </w14:solidFill>
          </w14:textFill>
        </w:rPr>
        <w:t>云南普菲特数控机械有限公司</w:t>
      </w:r>
      <w:r>
        <w:rPr>
          <w:rFonts w:hint="eastAsia" w:ascii="宋体" w:hAnsi="宋体" w:eastAsia="宋体" w:cs="宋体"/>
          <w:color w:val="000000" w:themeColor="text1"/>
          <w:sz w:val="28"/>
          <w14:textFill>
            <w14:solidFill>
              <w14:schemeClr w14:val="tx1"/>
            </w14:solidFill>
          </w14:textFill>
        </w:rPr>
        <w:t>委托而编制的，专属委托方使用。除按规定上报各级管理部门外，昭通市鼎安科技有限公司不会将本评价报告内容向其它任何单位和个人提供，也不会将本评价报告的全部或部分内容在媒体上或以其它形式公开发表(安全评价技术研究成果除外)。</w:t>
      </w:r>
    </w:p>
    <w:p w14:paraId="2F04CE4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000000" w:themeColor="text1"/>
          <w:sz w:val="28"/>
          <w14:textFill>
            <w14:solidFill>
              <w14:schemeClr w14:val="tx1"/>
            </w14:solidFill>
          </w14:textFill>
        </w:rPr>
      </w:pPr>
    </w:p>
    <w:p w14:paraId="41CE6DCD">
      <w:pPr>
        <w:jc w:val="center"/>
        <w:outlineLvl w:val="0"/>
        <w:rPr>
          <w:rFonts w:ascii="宋体" w:hAnsi="宋体" w:eastAsia="宋体" w:cs="宋体"/>
          <w:b/>
          <w:bCs/>
          <w:sz w:val="36"/>
          <w:szCs w:val="36"/>
        </w:rPr>
      </w:pPr>
      <w:bookmarkStart w:id="78" w:name="_Toc27867"/>
      <w:r>
        <w:rPr>
          <w:rFonts w:ascii="宋体" w:hAnsi="宋体" w:eastAsia="宋体" w:cs="宋体"/>
          <w:b/>
          <w:bCs/>
          <w:sz w:val="36"/>
          <w:szCs w:val="36"/>
        </w:rPr>
        <w:t>第2章评价项目概况</w:t>
      </w:r>
      <w:bookmarkEnd w:id="78"/>
    </w:p>
    <w:p w14:paraId="616EBCAC">
      <w:pPr>
        <w:pageBreakBefore w:val="0"/>
        <w:widowControl w:val="0"/>
        <w:kinsoku/>
        <w:wordWrap/>
        <w:overflowPunct/>
        <w:topLinePunct w:val="0"/>
        <w:autoSpaceDE/>
        <w:autoSpaceDN/>
        <w:bidi w:val="0"/>
        <w:adjustRightInd/>
        <w:snapToGrid/>
        <w:spacing w:line="600" w:lineRule="exact"/>
        <w:jc w:val="both"/>
        <w:textAlignment w:val="auto"/>
        <w:outlineLvl w:val="1"/>
        <w:rPr>
          <w:rFonts w:hint="eastAsia" w:ascii="宋体" w:hAnsi="宋体" w:eastAsia="宋体" w:cs="宋体"/>
          <w:b/>
          <w:bCs/>
          <w:sz w:val="30"/>
          <w:szCs w:val="30"/>
        </w:rPr>
      </w:pPr>
      <w:bookmarkStart w:id="79" w:name="_Toc11473"/>
      <w:r>
        <w:rPr>
          <w:rFonts w:hint="eastAsia" w:ascii="宋体" w:hAnsi="宋体" w:eastAsia="宋体" w:cs="宋体"/>
          <w:b/>
          <w:bCs/>
          <w:sz w:val="30"/>
          <w:szCs w:val="30"/>
        </w:rPr>
        <w:t>2.1企业概况</w:t>
      </w:r>
      <w:bookmarkEnd w:id="79"/>
    </w:p>
    <w:p w14:paraId="4B5CEC6C">
      <w:pPr>
        <w:pStyle w:val="4"/>
        <w:pageBreakBefore w:val="0"/>
        <w:widowControl w:val="0"/>
        <w:kinsoku/>
        <w:wordWrap/>
        <w:overflowPunct/>
        <w:topLinePunct w:val="0"/>
        <w:autoSpaceDE/>
        <w:autoSpaceDN/>
        <w:bidi w:val="0"/>
        <w:adjustRightInd/>
        <w:snapToGrid/>
        <w:spacing w:before="0" w:after="0" w:line="600" w:lineRule="exact"/>
        <w:ind w:left="0" w:leftChars="0" w:firstLine="0" w:firstLineChars="0"/>
        <w:textAlignment w:val="auto"/>
        <w:rPr>
          <w:rFonts w:hint="eastAsia" w:ascii="宋体" w:hAnsi="宋体" w:eastAsia="宋体" w:cs="宋体"/>
          <w:sz w:val="28"/>
          <w:szCs w:val="28"/>
        </w:rPr>
      </w:pPr>
      <w:bookmarkStart w:id="80" w:name="bookmark31"/>
      <w:bookmarkEnd w:id="80"/>
      <w:bookmarkStart w:id="81" w:name="_Toc21293"/>
      <w:r>
        <w:rPr>
          <w:rFonts w:hint="eastAsia" w:ascii="宋体" w:hAnsi="宋体" w:eastAsia="宋体" w:cs="宋体"/>
          <w:b/>
          <w:bCs/>
          <w:spacing w:val="1"/>
          <w:sz w:val="28"/>
          <w:szCs w:val="28"/>
        </w:rPr>
        <w:t>2.1.1企业简介</w:t>
      </w:r>
      <w:bookmarkEnd w:id="81"/>
    </w:p>
    <w:p w14:paraId="498644F7">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企业名称：</w:t>
      </w:r>
      <w:r>
        <w:rPr>
          <w:rFonts w:hint="eastAsia" w:hAnsi="宋体" w:cs="宋体"/>
          <w:sz w:val="28"/>
          <w:szCs w:val="28"/>
          <w:lang w:eastAsia="zh-CN"/>
        </w:rPr>
        <w:t>云南普菲特数控机械有限公司</w:t>
      </w:r>
    </w:p>
    <w:p w14:paraId="57CE1038">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注册地址：云南省玉溪市</w:t>
      </w:r>
      <w:r>
        <w:rPr>
          <w:rFonts w:hint="eastAsia" w:ascii="宋体" w:hAnsi="宋体" w:eastAsia="宋体" w:cs="宋体"/>
          <w:sz w:val="28"/>
          <w:szCs w:val="28"/>
          <w:lang w:val="en-US" w:eastAsia="zh-CN"/>
        </w:rPr>
        <w:t>红塔区</w:t>
      </w:r>
      <w:r>
        <w:rPr>
          <w:rFonts w:hint="eastAsia" w:ascii="宋体" w:hAnsi="宋体" w:eastAsia="宋体" w:cs="宋体"/>
          <w:sz w:val="28"/>
          <w:szCs w:val="28"/>
        </w:rPr>
        <w:t>研和工业园区数控产业园</w:t>
      </w:r>
    </w:p>
    <w:p w14:paraId="3F7D2E83">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法定代表人：</w:t>
      </w:r>
      <w:r>
        <w:rPr>
          <w:rFonts w:hint="eastAsia" w:ascii="宋体" w:hAnsi="宋体" w:eastAsia="宋体" w:cs="宋体"/>
          <w:sz w:val="28"/>
          <w:szCs w:val="28"/>
          <w:lang w:val="en-US" w:eastAsia="zh-CN"/>
        </w:rPr>
        <w:t>董绍红</w:t>
      </w:r>
    </w:p>
    <w:p w14:paraId="511881D0">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统一社会信用代码：91530425098122718K</w:t>
      </w:r>
    </w:p>
    <w:p w14:paraId="26D46EC7">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成立时间：2014-04-22</w:t>
      </w:r>
    </w:p>
    <w:p w14:paraId="03485730">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hAnsi="宋体" w:cs="宋体"/>
          <w:sz w:val="28"/>
          <w:szCs w:val="28"/>
          <w:lang w:val="en-US" w:eastAsia="zh-CN"/>
        </w:rPr>
      </w:pPr>
      <w:r>
        <w:rPr>
          <w:rFonts w:hint="eastAsia" w:ascii="宋体" w:hAnsi="宋体" w:eastAsia="宋体" w:cs="宋体"/>
          <w:sz w:val="28"/>
          <w:szCs w:val="28"/>
        </w:rPr>
        <w:t>注册资本：</w:t>
      </w:r>
      <w:r>
        <w:rPr>
          <w:rFonts w:hint="eastAsia" w:ascii="宋体" w:hAnsi="宋体" w:eastAsia="宋体" w:cs="宋体"/>
          <w:sz w:val="28"/>
          <w:szCs w:val="28"/>
          <w:lang w:val="en-US" w:eastAsia="zh-CN"/>
        </w:rPr>
        <w:t>1</w:t>
      </w:r>
      <w:r>
        <w:rPr>
          <w:rFonts w:hint="eastAsia" w:hAnsi="宋体" w:cs="宋体"/>
          <w:sz w:val="28"/>
          <w:szCs w:val="28"/>
          <w:lang w:val="en-US" w:eastAsia="zh-CN"/>
        </w:rPr>
        <w:t>5</w:t>
      </w:r>
      <w:r>
        <w:rPr>
          <w:rFonts w:hint="eastAsia" w:ascii="宋体" w:hAnsi="宋体" w:eastAsia="宋体" w:cs="宋体"/>
          <w:sz w:val="28"/>
          <w:szCs w:val="28"/>
          <w:lang w:val="en-US" w:eastAsia="zh-CN"/>
        </w:rPr>
        <w:t>0</w:t>
      </w:r>
      <w:r>
        <w:rPr>
          <w:rFonts w:hint="eastAsia" w:hAnsi="宋体" w:cs="宋体"/>
          <w:sz w:val="28"/>
          <w:szCs w:val="28"/>
          <w:lang w:val="en-US" w:eastAsia="zh-CN"/>
        </w:rPr>
        <w:t>0</w:t>
      </w:r>
      <w:r>
        <w:rPr>
          <w:rFonts w:hint="eastAsia" w:ascii="宋体" w:hAnsi="宋体" w:eastAsia="宋体" w:cs="宋体"/>
          <w:sz w:val="28"/>
          <w:szCs w:val="28"/>
        </w:rPr>
        <w:t>万</w:t>
      </w:r>
      <w:r>
        <w:rPr>
          <w:rFonts w:hint="eastAsia" w:hAnsi="宋体" w:cs="宋体"/>
          <w:sz w:val="28"/>
          <w:szCs w:val="28"/>
          <w:lang w:val="en-US" w:eastAsia="zh-CN"/>
        </w:rPr>
        <w:t>元</w:t>
      </w:r>
    </w:p>
    <w:p w14:paraId="6EFA38C4">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公司类型：有限责任公司(自然人独资)</w:t>
      </w:r>
    </w:p>
    <w:p w14:paraId="75F10640">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14:textFill>
            <w14:solidFill>
              <w14:schemeClr w14:val="tx1"/>
            </w14:solidFill>
          </w14:textFill>
        </w:rPr>
      </w:pPr>
      <w:r>
        <w:rPr>
          <w:rFonts w:hint="eastAsia" w:ascii="宋体" w:hAnsi="宋体" w:eastAsia="宋体" w:cs="宋体"/>
          <w:color w:val="000000" w:themeColor="text1"/>
          <w:sz w:val="28"/>
          <w14:textFill>
            <w14:solidFill>
              <w14:schemeClr w14:val="tx1"/>
            </w14:solidFill>
          </w14:textFill>
        </w:rPr>
        <w:t>经营范围：机床、车床、汽车配件、机械设备、通信设备、机电设备、工艺品生产、加工、销售；机床相关技术服务；机床附件及配件加工、销售；数控机床及数控系统的制作、安装、研发。（依法须经批准的项目，经相关部门批准后方可开展经营活动）。</w:t>
      </w:r>
    </w:p>
    <w:p w14:paraId="64715DE7">
      <w:pPr>
        <w:pStyle w:val="3"/>
        <w:keepNext/>
        <w:keepLines/>
        <w:pageBreakBefore w:val="0"/>
        <w:widowControl w:val="0"/>
        <w:kinsoku/>
        <w:wordWrap/>
        <w:overflowPunct/>
        <w:topLinePunct w:val="0"/>
        <w:autoSpaceDE/>
        <w:autoSpaceDN/>
        <w:bidi w:val="0"/>
        <w:adjustRightInd/>
        <w:snapToGrid w:val="0"/>
        <w:spacing w:before="0" w:after="0" w:line="520" w:lineRule="exact"/>
        <w:jc w:val="both"/>
        <w:textAlignment w:val="auto"/>
        <w:rPr>
          <w:rFonts w:hint="eastAsia" w:ascii="宋体" w:hAnsi="宋体" w:eastAsia="宋体" w:cs="宋体"/>
          <w:color w:val="000000" w:themeColor="text1"/>
          <w:kern w:val="0"/>
          <w14:textFill>
            <w14:solidFill>
              <w14:schemeClr w14:val="tx1"/>
            </w14:solidFill>
          </w14:textFill>
        </w:rPr>
      </w:pPr>
      <w:bookmarkStart w:id="82" w:name="_Toc19325"/>
      <w:bookmarkStart w:id="83" w:name="_Toc28921"/>
      <w:bookmarkStart w:id="84" w:name="_Toc23292"/>
      <w:bookmarkStart w:id="85" w:name="_Toc29825"/>
      <w:bookmarkStart w:id="86" w:name="_Toc17557"/>
      <w:r>
        <w:rPr>
          <w:rFonts w:hint="eastAsia" w:ascii="宋体" w:hAnsi="宋体" w:eastAsia="宋体" w:cs="宋体"/>
          <w:color w:val="000000" w:themeColor="text1"/>
          <w:kern w:val="0"/>
          <w14:textFill>
            <w14:solidFill>
              <w14:schemeClr w14:val="tx1"/>
            </w14:solidFill>
          </w14:textFill>
        </w:rPr>
        <w:t>2.2</w:t>
      </w:r>
      <w:bookmarkEnd w:id="82"/>
      <w:r>
        <w:rPr>
          <w:rFonts w:hint="eastAsia" w:ascii="宋体" w:hAnsi="宋体" w:eastAsia="宋体" w:cs="宋体"/>
          <w:color w:val="000000" w:themeColor="text1"/>
          <w:kern w:val="0"/>
          <w:lang w:val="en-US" w:eastAsia="zh-CN"/>
          <w14:textFill>
            <w14:solidFill>
              <w14:schemeClr w14:val="tx1"/>
            </w14:solidFill>
          </w14:textFill>
        </w:rPr>
        <w:t xml:space="preserve"> </w:t>
      </w:r>
      <w:r>
        <w:rPr>
          <w:rFonts w:hint="eastAsia" w:ascii="宋体" w:hAnsi="宋体" w:eastAsia="宋体" w:cs="宋体"/>
          <w:color w:val="000000" w:themeColor="text1"/>
          <w:kern w:val="0"/>
          <w14:textFill>
            <w14:solidFill>
              <w14:schemeClr w14:val="tx1"/>
            </w14:solidFill>
          </w14:textFill>
        </w:rPr>
        <w:t>项目概况</w:t>
      </w:r>
      <w:bookmarkEnd w:id="83"/>
      <w:bookmarkEnd w:id="84"/>
      <w:bookmarkEnd w:id="85"/>
      <w:bookmarkEnd w:id="86"/>
    </w:p>
    <w:p w14:paraId="4491B4DD">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rPr>
      </w:pPr>
      <w:bookmarkStart w:id="87" w:name="_Toc61474369"/>
      <w:bookmarkStart w:id="88" w:name="_Toc30001346"/>
      <w:bookmarkStart w:id="89" w:name="_Toc14249"/>
      <w:bookmarkStart w:id="90" w:name="_Toc7844"/>
      <w:bookmarkStart w:id="91" w:name="_Toc1823"/>
      <w:bookmarkStart w:id="92" w:name="_Toc28479"/>
      <w:bookmarkStart w:id="93" w:name="_Toc28634"/>
      <w:bookmarkStart w:id="94" w:name="_Toc15217"/>
      <w:bookmarkStart w:id="95" w:name="_Toc15704"/>
      <w:r>
        <w:rPr>
          <w:rFonts w:hint="eastAsia" w:ascii="宋体" w:hAnsi="宋体" w:eastAsia="宋体" w:cs="宋体"/>
          <w:snapToGrid w:val="0"/>
          <w:color w:val="000000" w:themeColor="text1"/>
          <w:kern w:val="0"/>
          <w:sz w:val="28"/>
          <w:szCs w:val="28"/>
          <w14:textFill>
            <w14:solidFill>
              <w14:schemeClr w14:val="tx1"/>
            </w14:solidFill>
          </w14:textFill>
        </w:rPr>
        <w:t>2.2.1项目</w:t>
      </w:r>
      <w:bookmarkEnd w:id="87"/>
      <w:bookmarkEnd w:id="88"/>
      <w:r>
        <w:rPr>
          <w:rFonts w:hint="eastAsia" w:ascii="宋体" w:hAnsi="宋体" w:eastAsia="宋体" w:cs="宋体"/>
          <w:snapToGrid w:val="0"/>
          <w:color w:val="000000" w:themeColor="text1"/>
          <w:kern w:val="0"/>
          <w:sz w:val="28"/>
          <w:szCs w:val="28"/>
          <w14:textFill>
            <w14:solidFill>
              <w14:schemeClr w14:val="tx1"/>
            </w14:solidFill>
          </w14:textFill>
        </w:rPr>
        <w:t>简介</w:t>
      </w:r>
      <w:bookmarkEnd w:id="89"/>
      <w:bookmarkEnd w:id="90"/>
      <w:bookmarkEnd w:id="91"/>
      <w:bookmarkEnd w:id="92"/>
      <w:bookmarkEnd w:id="93"/>
      <w:bookmarkEnd w:id="94"/>
      <w:bookmarkEnd w:id="95"/>
    </w:p>
    <w:p w14:paraId="2179801B">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lang w:eastAsia="zh-CN"/>
          <w14:textFill>
            <w14:solidFill>
              <w14:schemeClr w14:val="tx1"/>
            </w14:solidFill>
          </w14:textFill>
        </w:rPr>
      </w:pPr>
      <w:r>
        <w:rPr>
          <w:rFonts w:hint="eastAsia" w:ascii="宋体" w:hAnsi="宋体" w:eastAsia="宋体" w:cs="宋体"/>
          <w:color w:val="000000" w:themeColor="text1"/>
          <w:sz w:val="28"/>
          <w:lang w:eastAsia="zh-CN"/>
          <w14:textFill>
            <w14:solidFill>
              <w14:schemeClr w14:val="tx1"/>
            </w14:solidFill>
          </w14:textFill>
        </w:rPr>
        <w:t>云南普菲特数控机械有限公司</w:t>
      </w:r>
      <w:r>
        <w:rPr>
          <w:rFonts w:hint="eastAsia" w:ascii="宋体" w:hAnsi="宋体" w:eastAsia="宋体" w:cs="宋体"/>
          <w:color w:val="000000" w:themeColor="text1"/>
          <w:sz w:val="28"/>
          <w:lang w:val="en-US" w:eastAsia="zh-CN"/>
          <w14:textFill>
            <w14:solidFill>
              <w14:schemeClr w14:val="tx1"/>
            </w14:solidFill>
          </w14:textFill>
        </w:rPr>
        <w:t>成立于2014年</w:t>
      </w:r>
      <w:r>
        <w:rPr>
          <w:rFonts w:hint="eastAsia" w:ascii="宋体" w:hAnsi="宋体" w:eastAsia="宋体" w:cs="宋体"/>
          <w:color w:val="000000" w:themeColor="text1"/>
          <w:sz w:val="28"/>
          <w14:textFill>
            <w14:solidFill>
              <w14:schemeClr w14:val="tx1"/>
            </w14:solidFill>
          </w14:textFill>
        </w:rPr>
        <w:t>，地处云南省玉溪市研和数控工业园</w:t>
      </w:r>
      <w:r>
        <w:rPr>
          <w:rFonts w:hint="eastAsia" w:ascii="宋体" w:hAnsi="宋体" w:eastAsia="宋体" w:cs="宋体"/>
          <w:color w:val="000000" w:themeColor="text1"/>
          <w:sz w:val="28"/>
          <w:lang w:val="en-US" w:eastAsia="zh-CN"/>
          <w14:textFill>
            <w14:solidFill>
              <w14:schemeClr w14:val="tx1"/>
            </w14:solidFill>
          </w14:textFill>
        </w:rPr>
        <w:t>二期5号厂房</w:t>
      </w:r>
      <w:r>
        <w:rPr>
          <w:rFonts w:hint="eastAsia" w:ascii="宋体" w:hAnsi="宋体" w:eastAsia="宋体" w:cs="宋体"/>
          <w:color w:val="000000" w:themeColor="text1"/>
          <w:sz w:val="28"/>
          <w14:textFill>
            <w14:solidFill>
              <w14:schemeClr w14:val="tx1"/>
            </w14:solidFill>
          </w14:textFill>
        </w:rPr>
        <w:t>。公司设有综合管理部、生产部、</w:t>
      </w:r>
      <w:r>
        <w:rPr>
          <w:rFonts w:hint="eastAsia" w:ascii="宋体" w:hAnsi="宋体" w:eastAsia="宋体" w:cs="宋体"/>
          <w:color w:val="000000" w:themeColor="text1"/>
          <w:sz w:val="28"/>
          <w:lang w:val="en-US" w:eastAsia="zh-CN"/>
          <w14:textFill>
            <w14:solidFill>
              <w14:schemeClr w14:val="tx1"/>
            </w14:solidFill>
          </w14:textFill>
        </w:rPr>
        <w:t>财务部等</w:t>
      </w:r>
      <w:r>
        <w:rPr>
          <w:rFonts w:hint="eastAsia" w:ascii="宋体" w:hAnsi="宋体" w:eastAsia="宋体" w:cs="宋体"/>
          <w:color w:val="000000" w:themeColor="text1"/>
          <w:sz w:val="28"/>
          <w14:textFill>
            <w14:solidFill>
              <w14:schemeClr w14:val="tx1"/>
            </w14:solidFill>
          </w14:textFill>
        </w:rPr>
        <w:t>几个部门，现有职工</w:t>
      </w:r>
      <w:r>
        <w:rPr>
          <w:rFonts w:hint="eastAsia" w:ascii="宋体" w:hAnsi="宋体" w:eastAsia="宋体" w:cs="宋体"/>
          <w:color w:val="000000" w:themeColor="text1"/>
          <w:sz w:val="28"/>
          <w:lang w:val="en-US" w:eastAsia="zh-CN"/>
          <w14:textFill>
            <w14:solidFill>
              <w14:schemeClr w14:val="tx1"/>
            </w14:solidFill>
          </w14:textFill>
        </w:rPr>
        <w:t>25</w:t>
      </w:r>
      <w:r>
        <w:rPr>
          <w:rFonts w:hint="eastAsia" w:ascii="宋体" w:hAnsi="宋体" w:eastAsia="宋体" w:cs="宋体"/>
          <w:color w:val="000000" w:themeColor="text1"/>
          <w:sz w:val="28"/>
          <w14:textFill>
            <w14:solidFill>
              <w14:schemeClr w14:val="tx1"/>
            </w14:solidFill>
          </w14:textFill>
        </w:rPr>
        <w:t>人</w:t>
      </w:r>
      <w:r>
        <w:rPr>
          <w:rFonts w:hint="eastAsia" w:ascii="宋体" w:hAnsi="宋体" w:eastAsia="宋体" w:cs="宋体"/>
          <w:color w:val="000000" w:themeColor="text1"/>
          <w:sz w:val="28"/>
          <w:lang w:eastAsia="zh-CN"/>
          <w14:textFill>
            <w14:solidFill>
              <w14:schemeClr w14:val="tx1"/>
            </w14:solidFill>
          </w14:textFill>
        </w:rPr>
        <w:t>。</w:t>
      </w:r>
    </w:p>
    <w:p w14:paraId="0DF9A74A">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color w:val="000000" w:themeColor="text1"/>
          <w:sz w:val="28"/>
          <w:lang w:eastAsia="zh-CN"/>
          <w14:textFill>
            <w14:solidFill>
              <w14:schemeClr w14:val="tx1"/>
            </w14:solidFill>
          </w14:textFill>
        </w:rPr>
      </w:pPr>
      <w:bookmarkStart w:id="96" w:name="_Toc5464"/>
      <w:bookmarkStart w:id="97" w:name="_Toc335926139"/>
      <w:bookmarkStart w:id="98" w:name="_Toc20298"/>
      <w:bookmarkStart w:id="99" w:name="_Toc19911"/>
      <w:bookmarkStart w:id="100" w:name="_Toc21644"/>
      <w:bookmarkStart w:id="101" w:name="_Toc15561"/>
      <w:r>
        <w:rPr>
          <w:rFonts w:hint="eastAsia" w:ascii="宋体" w:hAnsi="宋体" w:eastAsia="宋体" w:cs="宋体"/>
          <w:snapToGrid w:val="0"/>
          <w:color w:val="000000" w:themeColor="text1"/>
          <w:kern w:val="0"/>
          <w:sz w:val="28"/>
          <w:szCs w:val="28"/>
          <w14:textFill>
            <w14:solidFill>
              <w14:schemeClr w14:val="tx1"/>
            </w14:solidFill>
          </w14:textFill>
        </w:rPr>
        <w:t>2.2.</w:t>
      </w:r>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 xml:space="preserve">2 </w:t>
      </w:r>
      <w:r>
        <w:rPr>
          <w:rFonts w:hint="eastAsia" w:ascii="宋体" w:hAnsi="宋体" w:eastAsia="宋体" w:cs="宋体"/>
          <w:snapToGrid w:val="0"/>
          <w:color w:val="000000" w:themeColor="text1"/>
          <w:kern w:val="0"/>
          <w:sz w:val="28"/>
          <w:szCs w:val="28"/>
          <w14:textFill>
            <w14:solidFill>
              <w14:schemeClr w14:val="tx1"/>
            </w14:solidFill>
          </w14:textFill>
        </w:rPr>
        <w:t>项目地理位置</w:t>
      </w:r>
      <w:bookmarkEnd w:id="96"/>
      <w:bookmarkEnd w:id="97"/>
      <w:bookmarkEnd w:id="98"/>
      <w:bookmarkEnd w:id="99"/>
      <w:bookmarkEnd w:id="100"/>
      <w:bookmarkEnd w:id="101"/>
    </w:p>
    <w:p w14:paraId="311FE213">
      <w:pPr>
        <w:pageBreakBefore w:val="0"/>
        <w:widowControl w:val="0"/>
        <w:kinsoku/>
        <w:wordWrap/>
        <w:overflowPunct/>
        <w:topLinePunct w:val="0"/>
        <w:autoSpaceDE/>
        <w:autoSpaceDN/>
        <w:bidi w:val="0"/>
        <w:adjustRightInd/>
        <w:snapToGrid/>
        <w:spacing w:beforeAutospacing="0" w:afterAutospacing="0" w:line="520" w:lineRule="exact"/>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玉溪市，云南省辖地级市，位于云南省中部，地理坐标处于北纬23°19′～24°53′、 东经101°16′～103°09′6之间。北接省会昆明市，西南连普洱市，东南邻红河哈尼族彝族自治州，西北靠楚雄彝族自治州，全市面积约1.5万平方公里。</w:t>
      </w:r>
      <w:r>
        <w:rPr>
          <w:rFonts w:hint="eastAsia" w:ascii="宋体" w:hAnsi="宋体" w:eastAsia="宋体" w:cs="宋体"/>
          <w:sz w:val="28"/>
          <w:szCs w:val="28"/>
          <w:highlight w:val="none"/>
        </w:rPr>
        <w:t>研和街道，隶属于</w:t>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"https://baike.baidu.com/item/%E4%BA%91%E5%8D%97%E7%9C%81/18664752?fromModule=lemma_inlink" \t "https://baike.baidu.com/item/%E7%A0%94%E5%92%8C%E8%A1%97%E9%81%93/_blank"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云南省</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"https://baike.baidu.com/item/%E7%8E%89%E6%BA%AA%E5%B8%82/744471?fromModule=lemma_inlink" \t "https://baike.baidu.com/item/%E7%A0%94%E5%92%8C%E8%A1%97%E9%81%93/_blank"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玉溪市</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t>红塔区，地处</w:t>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"https://baike.baidu.com/item/%E7%BA%A2%E5%A1%94%E5%8C%BA/1166754?fromModule=lemma_inlink" \t "https://baike.baidu.com/item/%E7%A0%94%E5%92%8C%E8%A1%97%E9%81%93/_blank"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红塔区</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t>南部，东与</w:t>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"https://baike.baidu.com/item/%E9%80%9A%E6%B5%B7%E5%8E%BF/5368305?fromModule=lemma_inlink" \t "https://baike.baidu.com/item/%E7%A0%94%E5%92%8C%E8%A1%97%E9%81%93/_blank"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通海县</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t>相连，南与</w:t>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"https://baike.baidu.com/item/%E5%B3%A8%E5%B1%B1%E5%BD%9D%E6%97%8F%E8%87%AA%E6%B2%BB%E5%8E%BF/10538635?fromModule=lemma_inlink" \t "https://baike.baidu.com/item/%E7%A0%94%E5%92%8C%E8%A1%97%E9%81%93/_blank"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峨山彝族自治县</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t>为邻，西倚</w:t>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"https://baike.baidu.com/item/%E5%A4%A7%E8%90%A5%E8%A1%97%E8%A1%97%E9%81%93/12017092?fromModule=lemma_inlink" \t "https://baike.baidu.com/item/%E7%A0%94%E5%92%8C%E8%A1%97%E9%81%93/_blank"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大营街街道</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t>，北与</w:t>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"https://baike.baidu.com/item/%E9%AB%98%E4%BB%93%E8%A1%97%E9%81%93/12017145?fromModule=lemma_inlink" \t "https://baike.baidu.com/item/%E7%A0%94%E5%92%8C%E8%A1%97%E9%81%93/_blank"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高仓街道</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t>接壤，研和街道办事处北距玉溪市区15千米，北距省会昆明100余千米，区域总面积131.63平方千米， 截至2011年末，研和街道总人口45957人。</w:t>
      </w:r>
    </w:p>
    <w:p w14:paraId="4AD194B0">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kern w:val="2"/>
          <w:sz w:val="28"/>
          <w:szCs w:val="28"/>
          <w:highlight w:val="none"/>
          <w:lang w:val="en-US" w:eastAsia="zh-CN" w:bidi="ar-SA"/>
        </w:rPr>
        <w:t>玉溪国家高新技术产业开发区位于玉溪市西南部，该项目位于云南省玉溪市红塔工业园区数控机床产业园；距离项目最近的高速为昆磨高速及S102省道，厂区出入口道路与S102省道相连接，交通便利。中心地理坐标为东经：102°29′05″，北纬：24°12′53″。</w:t>
      </w:r>
      <w:r>
        <w:rPr>
          <w:rFonts w:hint="eastAsia" w:ascii="宋体" w:hAnsi="宋体" w:eastAsia="宋体" w:cs="宋体"/>
          <w:color w:val="000000" w:themeColor="text1"/>
          <w:sz w:val="28"/>
          <w:szCs w:val="28"/>
          <w14:textFill>
            <w14:solidFill>
              <w14:schemeClr w14:val="tx1"/>
            </w14:solidFill>
          </w14:textFill>
        </w:rPr>
        <w:t>项目地理位置见</w:t>
      </w:r>
      <w:r>
        <w:rPr>
          <w:rFonts w:hint="eastAsia" w:ascii="宋体" w:hAnsi="宋体" w:eastAsia="宋体" w:cs="宋体"/>
          <w:color w:val="000000" w:themeColor="text1"/>
          <w:spacing w:val="-8"/>
          <w:sz w:val="28"/>
          <w:szCs w:val="28"/>
          <w:lang w:eastAsia="zh-CN"/>
          <w14:textFill>
            <w14:solidFill>
              <w14:schemeClr w14:val="tx1"/>
            </w14:solidFill>
          </w14:textFill>
        </w:rPr>
        <w:t>详</w:t>
      </w:r>
      <w:r>
        <w:rPr>
          <w:rFonts w:hint="eastAsia" w:ascii="宋体" w:hAnsi="宋体" w:eastAsia="宋体" w:cs="宋体"/>
          <w:color w:val="000000" w:themeColor="text1"/>
          <w:spacing w:val="-8"/>
          <w:sz w:val="28"/>
          <w:szCs w:val="28"/>
          <w14:textFill>
            <w14:solidFill>
              <w14:schemeClr w14:val="tx1"/>
            </w14:solidFill>
          </w14:textFill>
        </w:rPr>
        <w:t xml:space="preserve">见图 </w:t>
      </w:r>
      <w:r>
        <w:rPr>
          <w:rFonts w:hint="eastAsia" w:ascii="宋体" w:hAnsi="宋体" w:eastAsia="宋体" w:cs="宋体"/>
          <w:color w:val="000000" w:themeColor="text1"/>
          <w:spacing w:val="-8"/>
          <w:sz w:val="28"/>
          <w:szCs w:val="28"/>
          <w:lang w:val="en-US" w:eastAsia="zh-CN"/>
          <w14:textFill>
            <w14:solidFill>
              <w14:schemeClr w14:val="tx1"/>
            </w14:solidFill>
          </w14:textFill>
        </w:rPr>
        <w:t>2</w:t>
      </w:r>
      <w:r>
        <w:rPr>
          <w:rFonts w:hint="eastAsia" w:ascii="宋体" w:hAnsi="宋体" w:eastAsia="宋体" w:cs="宋体"/>
          <w:color w:val="000000" w:themeColor="text1"/>
          <w:spacing w:val="-8"/>
          <w:sz w:val="28"/>
          <w:szCs w:val="28"/>
          <w14:textFill>
            <w14:solidFill>
              <w14:schemeClr w14:val="tx1"/>
            </w14:solidFill>
          </w14:textFill>
        </w:rPr>
        <w:t>-1。</w:t>
      </w:r>
    </w:p>
    <w:p w14:paraId="1429B9B9">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rPr>
        <w:drawing>
          <wp:anchor distT="0" distB="0" distL="114300" distR="114300" simplePos="0" relativeHeight="251663360" behindDoc="0" locked="0" layoutInCell="1" allowOverlap="1">
            <wp:simplePos x="0" y="0"/>
            <wp:positionH relativeFrom="column">
              <wp:posOffset>297180</wp:posOffset>
            </wp:positionH>
            <wp:positionV relativeFrom="paragraph">
              <wp:posOffset>236220</wp:posOffset>
            </wp:positionV>
            <wp:extent cx="5408295" cy="3596640"/>
            <wp:effectExtent l="0" t="0" r="1905" b="0"/>
            <wp:wrapTopAndBottom/>
            <wp:docPr id="1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3"/>
                    <pic:cNvPicPr>
                      <a:picLocks noChangeAspect="1"/>
                    </pic:cNvPicPr>
                  </pic:nvPicPr>
                  <pic:blipFill>
                    <a:blip r:embed="rId19"/>
                    <a:stretch>
                      <a:fillRect/>
                    </a:stretch>
                  </pic:blipFill>
                  <pic:spPr>
                    <a:xfrm>
                      <a:off x="0" y="0"/>
                      <a:ext cx="5408295" cy="3596640"/>
                    </a:xfrm>
                    <a:prstGeom prst="rect">
                      <a:avLst/>
                    </a:prstGeom>
                    <a:noFill/>
                    <a:ln>
                      <a:noFill/>
                    </a:ln>
                  </pic:spPr>
                </pic:pic>
              </a:graphicData>
            </a:graphic>
          </wp:anchor>
        </w:drawing>
      </w:r>
      <w:r>
        <w:rPr>
          <w:rFonts w:hint="eastAsia" w:ascii="宋体" w:hAnsi="宋体" w:eastAsia="宋体" w:cs="宋体"/>
          <w:color w:val="000000" w:themeColor="text1"/>
          <w:sz w:val="28"/>
          <w:szCs w:val="28"/>
          <w:lang w:val="en-US" w:eastAsia="zh-CN"/>
          <w14:textFill>
            <w14:solidFill>
              <w14:schemeClr w14:val="tx1"/>
            </w14:solidFill>
          </w14:textFill>
        </w:rPr>
        <w:t>图2-1 项目交通位置图</w:t>
      </w:r>
    </w:p>
    <w:p w14:paraId="37E1B4E7">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14:textFill>
            <w14:solidFill>
              <w14:schemeClr w14:val="tx1"/>
            </w14:solidFill>
          </w14:textFill>
        </w:rPr>
      </w:pPr>
      <w:bookmarkStart w:id="102" w:name="_Toc335926141"/>
      <w:bookmarkStart w:id="103" w:name="_Toc24917"/>
      <w:bookmarkStart w:id="104" w:name="_Toc313453448"/>
      <w:bookmarkStart w:id="105" w:name="_Toc29697"/>
      <w:bookmarkStart w:id="106" w:name="_Toc20279"/>
      <w:r>
        <w:rPr>
          <w:rFonts w:hint="eastAsia" w:ascii="宋体" w:hAnsi="宋体" w:eastAsia="宋体" w:cs="宋体"/>
          <w:snapToGrid w:val="0"/>
          <w:color w:val="000000" w:themeColor="text1"/>
          <w:kern w:val="0"/>
          <w:sz w:val="28"/>
          <w:szCs w:val="28"/>
          <w14:textFill>
            <w14:solidFill>
              <w14:schemeClr w14:val="tx1"/>
            </w14:solidFill>
          </w14:textFill>
        </w:rPr>
        <w:t>2.2.</w:t>
      </w:r>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 xml:space="preserve">3 </w:t>
      </w:r>
      <w:r>
        <w:rPr>
          <w:rFonts w:hint="eastAsia" w:ascii="宋体" w:hAnsi="宋体" w:eastAsia="宋体" w:cs="宋体"/>
          <w:snapToGrid w:val="0"/>
          <w:color w:val="000000" w:themeColor="text1"/>
          <w:kern w:val="0"/>
          <w:sz w:val="28"/>
          <w:szCs w:val="28"/>
          <w14:textFill>
            <w14:solidFill>
              <w14:schemeClr w14:val="tx1"/>
            </w14:solidFill>
          </w14:textFill>
        </w:rPr>
        <w:t>项目周边情况</w:t>
      </w:r>
      <w:bookmarkEnd w:id="102"/>
      <w:bookmarkEnd w:id="103"/>
      <w:bookmarkEnd w:id="104"/>
      <w:bookmarkEnd w:id="105"/>
      <w:bookmarkEnd w:id="106"/>
    </w:p>
    <w:p w14:paraId="547F3DF2">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云南普菲特数控机械有限公司厂址位于玉溪数控产业园，为租赁用地及租赁标准化厂房。项目厂房为园区5号厂房，西北侧为玉溪正宇智能科技有限公司，西侧为研和数控机床产业园二期办公楼，西南侧为云南研和数控机床有限公司等，南侧为云南鼎泰数控机床有限公司，东侧为云南派诺电气有限公司。距离项目最近的高速为昆磨高速及213国道，厂区出入口通过园区道路与213国道相连接，距离213国道仅300m，交通便利。厂区位置周边关系见图2-</w:t>
      </w:r>
      <w:r>
        <w:rPr>
          <w:rFonts w:hint="eastAsia" w:hAnsi="宋体" w:cs="宋体"/>
          <w:kern w:val="2"/>
          <w:sz w:val="28"/>
          <w:szCs w:val="28"/>
          <w:highlight w:val="none"/>
          <w:lang w:val="en-US" w:eastAsia="zh-CN" w:bidi="ar-SA"/>
        </w:rPr>
        <w:t>3</w:t>
      </w:r>
      <w:r>
        <w:rPr>
          <w:rFonts w:hint="eastAsia" w:ascii="宋体" w:hAnsi="宋体" w:eastAsia="宋体" w:cs="宋体"/>
          <w:kern w:val="2"/>
          <w:sz w:val="28"/>
          <w:szCs w:val="28"/>
          <w:highlight w:val="none"/>
          <w:lang w:val="en-US" w:eastAsia="zh-CN" w:bidi="ar-SA"/>
        </w:rPr>
        <w:t>所示。</w:t>
      </w:r>
    </w:p>
    <w:p w14:paraId="16D4D132">
      <w:pPr>
        <w:bidi w:val="0"/>
        <w:jc w:val="center"/>
        <w:rPr>
          <w:rFonts w:hint="eastAsia" w:ascii="宋体" w:hAnsi="宋体" w:eastAsia="宋体" w:cs="宋体"/>
          <w:kern w:val="2"/>
          <w:sz w:val="28"/>
          <w:szCs w:val="28"/>
          <w:highlight w:val="none"/>
          <w:lang w:val="en-US" w:eastAsia="zh-CN" w:bidi="ar-SA"/>
        </w:rPr>
      </w:pPr>
      <w:r>
        <w:rPr>
          <w:rFonts w:hint="eastAsia" w:ascii="宋体" w:hAnsi="宋体" w:eastAsia="宋体" w:cs="宋体"/>
          <w:b/>
          <w:bCs/>
          <w:lang w:val="en-US" w:eastAsia="zh-CN"/>
        </w:rPr>
        <w:t>周边环境一览表</w:t>
      </w:r>
    </w:p>
    <w:tbl>
      <w:tblPr>
        <w:tblStyle w:val="25"/>
        <w:tblpPr w:leftFromText="180" w:rightFromText="180" w:vertAnchor="text" w:horzAnchor="page" w:tblpX="2161" w:tblpY="17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1992"/>
        <w:gridCol w:w="1236"/>
        <w:gridCol w:w="1236"/>
        <w:gridCol w:w="3174"/>
      </w:tblGrid>
      <w:tr w14:paraId="2A7FF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884" w:type="dxa"/>
            <w:vAlign w:val="center"/>
          </w:tcPr>
          <w:p w14:paraId="52C945A1">
            <w:pPr>
              <w:keepNext w:val="0"/>
              <w:keepLines w:val="0"/>
              <w:widowControl/>
              <w:suppressLineNumbers w:val="0"/>
              <w:jc w:val="center"/>
              <w:rPr>
                <w:rFonts w:hint="eastAsia" w:ascii="宋体" w:hAnsi="宋体" w:eastAsia="宋体" w:cs="宋体"/>
                <w:sz w:val="21"/>
                <w:szCs w:val="21"/>
                <w:vertAlign w:val="baseline"/>
                <w:lang w:val="en-US" w:eastAsia="zh-CN"/>
              </w:rPr>
            </w:pPr>
            <w:r>
              <w:rPr>
                <w:rFonts w:hint="eastAsia" w:ascii="宋体" w:hAnsi="宋体" w:eastAsia="宋体" w:cs="宋体"/>
                <w:b/>
                <w:bCs/>
                <w:color w:val="000000"/>
                <w:kern w:val="0"/>
                <w:sz w:val="21"/>
                <w:szCs w:val="21"/>
                <w:lang w:val="en-US" w:eastAsia="zh-CN" w:bidi="ar"/>
              </w:rPr>
              <w:t>方位</w:t>
            </w:r>
          </w:p>
        </w:tc>
        <w:tc>
          <w:tcPr>
            <w:tcW w:w="1992" w:type="dxa"/>
            <w:vAlign w:val="center"/>
          </w:tcPr>
          <w:p w14:paraId="41196C03">
            <w:pPr>
              <w:keepNext w:val="0"/>
              <w:keepLines w:val="0"/>
              <w:widowControl/>
              <w:suppressLineNumbers w:val="0"/>
              <w:jc w:val="center"/>
              <w:rPr>
                <w:rFonts w:hint="eastAsia" w:ascii="宋体" w:hAnsi="宋体" w:eastAsia="宋体" w:cs="宋体"/>
                <w:sz w:val="21"/>
                <w:szCs w:val="21"/>
                <w:vertAlign w:val="baseline"/>
                <w:lang w:val="en-US" w:eastAsia="zh-CN"/>
              </w:rPr>
            </w:pPr>
            <w:r>
              <w:rPr>
                <w:rFonts w:hint="eastAsia" w:ascii="宋体" w:hAnsi="宋体" w:eastAsia="宋体" w:cs="宋体"/>
                <w:b/>
                <w:bCs/>
                <w:color w:val="000000"/>
                <w:kern w:val="0"/>
                <w:sz w:val="21"/>
                <w:szCs w:val="21"/>
                <w:lang w:val="en-US" w:eastAsia="zh-CN" w:bidi="ar"/>
              </w:rPr>
              <w:t>周边情况</w:t>
            </w:r>
          </w:p>
        </w:tc>
        <w:tc>
          <w:tcPr>
            <w:tcW w:w="1236" w:type="dxa"/>
            <w:shd w:val="clear" w:color="auto" w:fill="auto"/>
            <w:vAlign w:val="center"/>
          </w:tcPr>
          <w:p w14:paraId="7671DECB">
            <w:pPr>
              <w:keepNext w:val="0"/>
              <w:keepLines w:val="0"/>
              <w:widowControl/>
              <w:suppressLineNumbers w:val="0"/>
              <w:jc w:val="center"/>
              <w:rPr>
                <w:rFonts w:hint="eastAsia" w:ascii="宋体" w:hAnsi="宋体" w:eastAsia="宋体" w:cs="宋体"/>
                <w:sz w:val="21"/>
                <w:szCs w:val="21"/>
                <w:vertAlign w:val="baseline"/>
                <w:lang w:val="en-US" w:eastAsia="zh-CN" w:bidi="ar-SA"/>
              </w:rPr>
            </w:pPr>
            <w:r>
              <w:rPr>
                <w:rFonts w:hint="eastAsia" w:ascii="宋体" w:hAnsi="宋体" w:eastAsia="宋体" w:cs="宋体"/>
                <w:b/>
                <w:bCs/>
                <w:color w:val="000000"/>
                <w:kern w:val="0"/>
                <w:sz w:val="21"/>
                <w:szCs w:val="21"/>
                <w:lang w:val="en-US" w:eastAsia="zh-CN" w:bidi="ar"/>
              </w:rPr>
              <w:t>规范要求</w:t>
            </w:r>
          </w:p>
        </w:tc>
        <w:tc>
          <w:tcPr>
            <w:tcW w:w="1236" w:type="dxa"/>
            <w:vAlign w:val="center"/>
          </w:tcPr>
          <w:p w14:paraId="4EE19EB5">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b/>
                <w:bCs/>
                <w:color w:val="000000"/>
                <w:kern w:val="0"/>
                <w:sz w:val="21"/>
                <w:szCs w:val="21"/>
                <w:lang w:val="en-US" w:eastAsia="zh-CN" w:bidi="ar"/>
              </w:rPr>
              <w:t>距离</w:t>
            </w:r>
          </w:p>
        </w:tc>
        <w:tc>
          <w:tcPr>
            <w:tcW w:w="3174" w:type="dxa"/>
            <w:vAlign w:val="center"/>
          </w:tcPr>
          <w:p w14:paraId="1590528C">
            <w:pPr>
              <w:keepNext w:val="0"/>
              <w:keepLines w:val="0"/>
              <w:widowControl/>
              <w:suppressLineNumbers w:val="0"/>
              <w:jc w:val="center"/>
              <w:rPr>
                <w:rFonts w:hint="eastAsia" w:ascii="宋体" w:hAnsi="宋体" w:eastAsia="宋体" w:cs="宋体"/>
                <w:sz w:val="21"/>
                <w:szCs w:val="21"/>
                <w:vertAlign w:val="baseline"/>
                <w:lang w:val="en-US" w:eastAsia="zh-CN"/>
              </w:rPr>
            </w:pPr>
            <w:r>
              <w:rPr>
                <w:rFonts w:hint="eastAsia" w:ascii="宋体" w:hAnsi="宋体" w:eastAsia="宋体" w:cs="宋体"/>
                <w:b/>
                <w:bCs/>
                <w:color w:val="000000"/>
                <w:kern w:val="0"/>
                <w:sz w:val="21"/>
                <w:szCs w:val="21"/>
                <w:lang w:val="en-US" w:eastAsia="zh-CN" w:bidi="ar"/>
              </w:rPr>
              <w:t>参考依据</w:t>
            </w:r>
          </w:p>
        </w:tc>
      </w:tr>
      <w:tr w14:paraId="05BAD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vAlign w:val="center"/>
          </w:tcPr>
          <w:p w14:paraId="1959709D">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西侧</w:t>
            </w:r>
          </w:p>
        </w:tc>
        <w:tc>
          <w:tcPr>
            <w:tcW w:w="1992" w:type="dxa"/>
            <w:vAlign w:val="center"/>
          </w:tcPr>
          <w:p w14:paraId="0EC1B9CC">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研和数控机床产业园二期办公楼</w:t>
            </w:r>
          </w:p>
        </w:tc>
        <w:tc>
          <w:tcPr>
            <w:tcW w:w="1236" w:type="dxa"/>
            <w:shd w:val="clear" w:color="auto" w:fill="auto"/>
            <w:vAlign w:val="center"/>
          </w:tcPr>
          <w:p w14:paraId="23A80A51">
            <w:pPr>
              <w:bidi w:val="0"/>
              <w:jc w:val="center"/>
              <w:rPr>
                <w:rFonts w:hint="eastAsia" w:ascii="宋体" w:hAnsi="宋体" w:eastAsia="宋体" w:cs="宋体"/>
                <w:sz w:val="21"/>
                <w:szCs w:val="21"/>
                <w:vertAlign w:val="baseline"/>
                <w:lang w:val="en-US" w:eastAsia="zh-CN" w:bidi="ar-SA"/>
              </w:rPr>
            </w:pPr>
            <w:r>
              <w:rPr>
                <w:rFonts w:hint="eastAsia" w:ascii="宋体" w:hAnsi="宋体" w:eastAsia="宋体" w:cs="宋体"/>
                <w:sz w:val="21"/>
                <w:szCs w:val="21"/>
                <w:vertAlign w:val="baseline"/>
                <w:lang w:val="en-US" w:eastAsia="zh-CN"/>
              </w:rPr>
              <w:t>10m</w:t>
            </w:r>
          </w:p>
        </w:tc>
        <w:tc>
          <w:tcPr>
            <w:tcW w:w="1236" w:type="dxa"/>
            <w:vAlign w:val="center"/>
          </w:tcPr>
          <w:p w14:paraId="5F24DE39">
            <w:pPr>
              <w:bidi w:val="0"/>
              <w:jc w:val="center"/>
              <w:rPr>
                <w:rFonts w:hint="eastAsia" w:ascii="宋体" w:hAnsi="宋体" w:eastAsia="宋体" w:cs="宋体"/>
                <w:sz w:val="21"/>
                <w:szCs w:val="21"/>
                <w:vertAlign w:val="baseline"/>
                <w:lang w:val="en-US" w:eastAsia="zh-CN"/>
              </w:rPr>
            </w:pPr>
            <w:r>
              <w:rPr>
                <w:rFonts w:hint="eastAsia" w:hAnsi="宋体" w:cs="宋体"/>
                <w:sz w:val="21"/>
                <w:szCs w:val="21"/>
                <w:vertAlign w:val="baseline"/>
                <w:lang w:val="en-US" w:eastAsia="zh-CN"/>
              </w:rPr>
              <w:t>65</w:t>
            </w:r>
            <w:r>
              <w:rPr>
                <w:rFonts w:hint="eastAsia" w:ascii="宋体" w:hAnsi="宋体" w:eastAsia="宋体" w:cs="宋体"/>
                <w:sz w:val="21"/>
                <w:szCs w:val="21"/>
                <w:vertAlign w:val="baseline"/>
                <w:lang w:val="en-US" w:eastAsia="zh-CN"/>
              </w:rPr>
              <w:t>m</w:t>
            </w:r>
          </w:p>
        </w:tc>
        <w:tc>
          <w:tcPr>
            <w:tcW w:w="3174" w:type="dxa"/>
            <w:vAlign w:val="center"/>
          </w:tcPr>
          <w:p w14:paraId="1C9F0B29">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《建筑设计防火规范（GB50016-2014，2018 年版）第 3.4.1 条</w:t>
            </w:r>
          </w:p>
        </w:tc>
      </w:tr>
      <w:tr w14:paraId="14D4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vAlign w:val="center"/>
          </w:tcPr>
          <w:p w14:paraId="41A83DF4">
            <w:pPr>
              <w:bidi w:val="0"/>
              <w:jc w:val="both"/>
              <w:rPr>
                <w:rFonts w:hint="default" w:ascii="宋体" w:hAnsi="宋体" w:eastAsia="宋体" w:cs="宋体"/>
                <w:sz w:val="21"/>
                <w:szCs w:val="21"/>
                <w:vertAlign w:val="baseline"/>
                <w:lang w:val="en-US" w:eastAsia="zh-CN"/>
              </w:rPr>
            </w:pPr>
            <w:r>
              <w:rPr>
                <w:rFonts w:hint="eastAsia" w:hAnsi="宋体" w:cs="宋体"/>
                <w:sz w:val="21"/>
                <w:szCs w:val="21"/>
                <w:vertAlign w:val="baseline"/>
                <w:lang w:val="en-US" w:eastAsia="zh-CN"/>
              </w:rPr>
              <w:t>西北侧</w:t>
            </w:r>
          </w:p>
        </w:tc>
        <w:tc>
          <w:tcPr>
            <w:tcW w:w="1992" w:type="dxa"/>
            <w:vAlign w:val="center"/>
          </w:tcPr>
          <w:p w14:paraId="476A24A9">
            <w:pPr>
              <w:bidi w:val="0"/>
              <w:jc w:val="center"/>
              <w:rPr>
                <w:rFonts w:hint="eastAsia" w:ascii="宋体" w:hAnsi="宋体" w:eastAsia="宋体" w:cs="宋体"/>
                <w:sz w:val="21"/>
                <w:szCs w:val="21"/>
                <w:vertAlign w:val="baseline"/>
                <w:lang w:val="en-US" w:eastAsia="zh-CN"/>
              </w:rPr>
            </w:pPr>
            <w:r>
              <w:rPr>
                <w:rFonts w:hint="eastAsia" w:hAnsi="宋体" w:cs="宋体"/>
                <w:sz w:val="21"/>
                <w:szCs w:val="21"/>
                <w:vertAlign w:val="baseline"/>
                <w:lang w:val="en-US" w:eastAsia="zh-CN"/>
              </w:rPr>
              <w:t>玉溪正宇智能科技</w:t>
            </w:r>
            <w:r>
              <w:rPr>
                <w:rFonts w:hint="eastAsia" w:ascii="宋体" w:hAnsi="宋体" w:eastAsia="宋体" w:cs="宋体"/>
                <w:sz w:val="21"/>
                <w:szCs w:val="21"/>
                <w:vertAlign w:val="baseline"/>
                <w:lang w:val="en-US" w:eastAsia="zh-CN"/>
              </w:rPr>
              <w:t>有限公司</w:t>
            </w:r>
          </w:p>
        </w:tc>
        <w:tc>
          <w:tcPr>
            <w:tcW w:w="1236" w:type="dxa"/>
            <w:shd w:val="clear" w:color="auto" w:fill="auto"/>
            <w:vAlign w:val="center"/>
          </w:tcPr>
          <w:p w14:paraId="1229C76D">
            <w:pPr>
              <w:bidi w:val="0"/>
              <w:jc w:val="center"/>
              <w:rPr>
                <w:rFonts w:hint="eastAsia" w:ascii="宋体" w:hAnsi="宋体" w:eastAsia="宋体" w:cs="宋体"/>
                <w:sz w:val="21"/>
                <w:szCs w:val="21"/>
                <w:vertAlign w:val="baseline"/>
                <w:lang w:val="en-US" w:eastAsia="zh-CN" w:bidi="ar-SA"/>
              </w:rPr>
            </w:pPr>
            <w:r>
              <w:rPr>
                <w:rFonts w:hint="eastAsia" w:ascii="宋体" w:hAnsi="宋体" w:eastAsia="宋体" w:cs="宋体"/>
                <w:sz w:val="21"/>
                <w:szCs w:val="21"/>
                <w:vertAlign w:val="baseline"/>
                <w:lang w:val="en-US" w:eastAsia="zh-CN"/>
              </w:rPr>
              <w:t>10m</w:t>
            </w:r>
          </w:p>
        </w:tc>
        <w:tc>
          <w:tcPr>
            <w:tcW w:w="1236" w:type="dxa"/>
            <w:vAlign w:val="center"/>
          </w:tcPr>
          <w:p w14:paraId="5A19D194">
            <w:pPr>
              <w:bidi w:val="0"/>
              <w:jc w:val="center"/>
              <w:rPr>
                <w:rFonts w:hint="eastAsia" w:ascii="宋体" w:hAnsi="宋体" w:eastAsia="宋体" w:cs="宋体"/>
                <w:sz w:val="21"/>
                <w:szCs w:val="21"/>
                <w:vertAlign w:val="baseline"/>
                <w:lang w:val="en-US" w:eastAsia="zh-CN"/>
              </w:rPr>
            </w:pPr>
            <w:r>
              <w:rPr>
                <w:rFonts w:hint="eastAsia" w:hAnsi="宋体" w:cs="宋体"/>
                <w:sz w:val="21"/>
                <w:szCs w:val="21"/>
                <w:vertAlign w:val="baseline"/>
                <w:lang w:val="en-US" w:eastAsia="zh-CN"/>
              </w:rPr>
              <w:t>2</w:t>
            </w:r>
            <w:r>
              <w:rPr>
                <w:rFonts w:hint="eastAsia" w:ascii="宋体" w:hAnsi="宋体" w:eastAsia="宋体" w:cs="宋体"/>
                <w:sz w:val="21"/>
                <w:szCs w:val="21"/>
                <w:vertAlign w:val="baseline"/>
                <w:lang w:val="en-US" w:eastAsia="zh-CN"/>
              </w:rPr>
              <w:t>3m</w:t>
            </w:r>
          </w:p>
        </w:tc>
        <w:tc>
          <w:tcPr>
            <w:tcW w:w="3174" w:type="dxa"/>
            <w:vAlign w:val="center"/>
          </w:tcPr>
          <w:p w14:paraId="66C68BF4">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《建筑设计防火规范（GB50016-2014，2018 年版）第 3.4.1 条</w:t>
            </w:r>
          </w:p>
        </w:tc>
      </w:tr>
      <w:tr w14:paraId="4A8F2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vAlign w:val="center"/>
          </w:tcPr>
          <w:p w14:paraId="4932660F">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西</w:t>
            </w:r>
            <w:r>
              <w:rPr>
                <w:rFonts w:hint="eastAsia" w:hAnsi="宋体" w:cs="宋体"/>
                <w:sz w:val="21"/>
                <w:szCs w:val="21"/>
                <w:vertAlign w:val="baseline"/>
                <w:lang w:val="en-US" w:eastAsia="zh-CN"/>
              </w:rPr>
              <w:t>南</w:t>
            </w:r>
            <w:r>
              <w:rPr>
                <w:rFonts w:hint="eastAsia" w:ascii="宋体" w:hAnsi="宋体" w:eastAsia="宋体" w:cs="宋体"/>
                <w:sz w:val="21"/>
                <w:szCs w:val="21"/>
                <w:vertAlign w:val="baseline"/>
                <w:lang w:val="en-US" w:eastAsia="zh-CN"/>
              </w:rPr>
              <w:t>侧</w:t>
            </w:r>
          </w:p>
        </w:tc>
        <w:tc>
          <w:tcPr>
            <w:tcW w:w="1992" w:type="dxa"/>
            <w:vAlign w:val="center"/>
          </w:tcPr>
          <w:p w14:paraId="2B5F690F">
            <w:pPr>
              <w:bidi w:val="0"/>
              <w:jc w:val="center"/>
              <w:rPr>
                <w:rFonts w:hint="default" w:ascii="宋体" w:hAnsi="宋体" w:eastAsia="宋体" w:cs="宋体"/>
                <w:sz w:val="21"/>
                <w:szCs w:val="21"/>
                <w:vertAlign w:val="baseline"/>
                <w:lang w:val="en-US" w:eastAsia="zh-CN"/>
              </w:rPr>
            </w:pPr>
            <w:r>
              <w:rPr>
                <w:rFonts w:hint="eastAsia" w:hAnsi="宋体" w:cs="宋体"/>
                <w:sz w:val="21"/>
                <w:szCs w:val="21"/>
                <w:vertAlign w:val="baseline"/>
                <w:lang w:val="en-US" w:eastAsia="zh-CN"/>
              </w:rPr>
              <w:t>云南研和数控机床有限公司</w:t>
            </w:r>
          </w:p>
        </w:tc>
        <w:tc>
          <w:tcPr>
            <w:tcW w:w="1236" w:type="dxa"/>
            <w:shd w:val="clear" w:color="auto" w:fill="auto"/>
            <w:vAlign w:val="center"/>
          </w:tcPr>
          <w:p w14:paraId="5B03C61F">
            <w:pPr>
              <w:bidi w:val="0"/>
              <w:jc w:val="center"/>
              <w:rPr>
                <w:rFonts w:hint="eastAsia" w:ascii="宋体" w:hAnsi="宋体" w:eastAsia="宋体" w:cs="宋体"/>
                <w:sz w:val="21"/>
                <w:szCs w:val="21"/>
                <w:vertAlign w:val="baseline"/>
                <w:lang w:val="en-US" w:eastAsia="zh-CN" w:bidi="ar-SA"/>
              </w:rPr>
            </w:pPr>
            <w:r>
              <w:rPr>
                <w:rFonts w:hint="eastAsia" w:ascii="宋体" w:hAnsi="宋体" w:eastAsia="宋体" w:cs="宋体"/>
                <w:sz w:val="21"/>
                <w:szCs w:val="21"/>
                <w:vertAlign w:val="baseline"/>
                <w:lang w:val="en-US" w:eastAsia="zh-CN"/>
              </w:rPr>
              <w:t>10m</w:t>
            </w:r>
          </w:p>
        </w:tc>
        <w:tc>
          <w:tcPr>
            <w:tcW w:w="1236" w:type="dxa"/>
            <w:vAlign w:val="center"/>
          </w:tcPr>
          <w:p w14:paraId="0D78F052">
            <w:pPr>
              <w:bidi w:val="0"/>
              <w:jc w:val="center"/>
              <w:rPr>
                <w:rFonts w:hint="eastAsia" w:ascii="宋体" w:hAnsi="宋体" w:eastAsia="宋体" w:cs="宋体"/>
                <w:sz w:val="21"/>
                <w:szCs w:val="21"/>
                <w:vertAlign w:val="baseline"/>
                <w:lang w:val="en-US" w:eastAsia="zh-CN"/>
              </w:rPr>
            </w:pPr>
            <w:r>
              <w:rPr>
                <w:rFonts w:hint="eastAsia" w:hAnsi="宋体" w:cs="宋体"/>
                <w:sz w:val="21"/>
                <w:szCs w:val="21"/>
                <w:vertAlign w:val="baseline"/>
                <w:lang w:val="en-US" w:eastAsia="zh-CN"/>
              </w:rPr>
              <w:t>35</w:t>
            </w:r>
            <w:r>
              <w:rPr>
                <w:rFonts w:hint="eastAsia" w:ascii="宋体" w:hAnsi="宋体" w:eastAsia="宋体" w:cs="宋体"/>
                <w:sz w:val="21"/>
                <w:szCs w:val="21"/>
                <w:vertAlign w:val="baseline"/>
                <w:lang w:val="en-US" w:eastAsia="zh-CN"/>
              </w:rPr>
              <w:t>m</w:t>
            </w:r>
          </w:p>
        </w:tc>
        <w:tc>
          <w:tcPr>
            <w:tcW w:w="3174" w:type="dxa"/>
            <w:vAlign w:val="center"/>
          </w:tcPr>
          <w:p w14:paraId="2E2719B1">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《建筑设计防火规范（GB50016-2014，2018 年版）第 3.4.1 条</w:t>
            </w:r>
          </w:p>
        </w:tc>
      </w:tr>
      <w:tr w14:paraId="6BF8D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vAlign w:val="center"/>
          </w:tcPr>
          <w:p w14:paraId="3814B569">
            <w:pPr>
              <w:bidi w:val="0"/>
              <w:jc w:val="center"/>
              <w:rPr>
                <w:rFonts w:hint="eastAsia" w:ascii="宋体" w:hAnsi="宋体" w:eastAsia="宋体" w:cs="宋体"/>
                <w:sz w:val="21"/>
                <w:szCs w:val="21"/>
                <w:vertAlign w:val="baseline"/>
                <w:lang w:val="en-US" w:eastAsia="zh-CN"/>
              </w:rPr>
            </w:pPr>
            <w:r>
              <w:rPr>
                <w:rFonts w:hint="eastAsia" w:hAnsi="宋体" w:cs="宋体"/>
                <w:sz w:val="21"/>
                <w:szCs w:val="21"/>
                <w:vertAlign w:val="baseline"/>
                <w:lang w:val="en-US" w:eastAsia="zh-CN"/>
              </w:rPr>
              <w:t>南</w:t>
            </w:r>
            <w:r>
              <w:rPr>
                <w:rFonts w:hint="eastAsia" w:ascii="宋体" w:hAnsi="宋体" w:eastAsia="宋体" w:cs="宋体"/>
                <w:sz w:val="21"/>
                <w:szCs w:val="21"/>
                <w:vertAlign w:val="baseline"/>
                <w:lang w:val="en-US" w:eastAsia="zh-CN"/>
              </w:rPr>
              <w:t>侧</w:t>
            </w:r>
          </w:p>
        </w:tc>
        <w:tc>
          <w:tcPr>
            <w:tcW w:w="1992" w:type="dxa"/>
            <w:vAlign w:val="center"/>
          </w:tcPr>
          <w:p w14:paraId="7601CE97">
            <w:pPr>
              <w:bidi w:val="0"/>
              <w:jc w:val="center"/>
              <w:rPr>
                <w:rFonts w:hint="eastAsia" w:ascii="宋体" w:hAnsi="宋体" w:eastAsia="宋体" w:cs="宋体"/>
                <w:sz w:val="21"/>
                <w:szCs w:val="21"/>
                <w:vertAlign w:val="baseline"/>
                <w:lang w:val="en-US" w:eastAsia="zh-CN"/>
              </w:rPr>
            </w:pPr>
            <w:r>
              <w:rPr>
                <w:rFonts w:hint="eastAsia" w:hAnsi="宋体" w:cs="宋体"/>
                <w:sz w:val="21"/>
                <w:szCs w:val="21"/>
                <w:vertAlign w:val="baseline"/>
                <w:lang w:val="en-US" w:eastAsia="zh-CN"/>
              </w:rPr>
              <w:t>云南鼎泰</w:t>
            </w:r>
            <w:r>
              <w:rPr>
                <w:rFonts w:hint="eastAsia" w:ascii="宋体" w:hAnsi="宋体" w:eastAsia="宋体" w:cs="宋体"/>
                <w:sz w:val="21"/>
                <w:szCs w:val="21"/>
                <w:vertAlign w:val="baseline"/>
                <w:lang w:val="en-US" w:eastAsia="zh-CN"/>
              </w:rPr>
              <w:t>数控机床有限公司</w:t>
            </w:r>
          </w:p>
        </w:tc>
        <w:tc>
          <w:tcPr>
            <w:tcW w:w="1236" w:type="dxa"/>
            <w:shd w:val="clear" w:color="auto" w:fill="auto"/>
            <w:vAlign w:val="center"/>
          </w:tcPr>
          <w:p w14:paraId="24D6F1BD">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10m</w:t>
            </w:r>
          </w:p>
        </w:tc>
        <w:tc>
          <w:tcPr>
            <w:tcW w:w="1236" w:type="dxa"/>
            <w:vAlign w:val="center"/>
          </w:tcPr>
          <w:p w14:paraId="1875C9CF">
            <w:pPr>
              <w:bidi w:val="0"/>
              <w:jc w:val="center"/>
              <w:rPr>
                <w:rFonts w:hint="eastAsia" w:ascii="宋体" w:hAnsi="宋体" w:eastAsia="宋体" w:cs="宋体"/>
                <w:sz w:val="21"/>
                <w:szCs w:val="21"/>
                <w:vertAlign w:val="baseline"/>
                <w:lang w:val="en-US" w:eastAsia="zh-CN"/>
              </w:rPr>
            </w:pPr>
            <w:r>
              <w:rPr>
                <w:rFonts w:hint="eastAsia" w:hAnsi="宋体" w:cs="宋体"/>
                <w:sz w:val="21"/>
                <w:szCs w:val="21"/>
                <w:vertAlign w:val="baseline"/>
                <w:lang w:val="en-US" w:eastAsia="zh-CN"/>
              </w:rPr>
              <w:t>6</w:t>
            </w:r>
            <w:r>
              <w:rPr>
                <w:rFonts w:hint="eastAsia" w:ascii="宋体" w:hAnsi="宋体" w:eastAsia="宋体" w:cs="宋体"/>
                <w:sz w:val="21"/>
                <w:szCs w:val="21"/>
                <w:vertAlign w:val="baseline"/>
                <w:lang w:val="en-US" w:eastAsia="zh-CN"/>
              </w:rPr>
              <w:t>9m</w:t>
            </w:r>
          </w:p>
        </w:tc>
        <w:tc>
          <w:tcPr>
            <w:tcW w:w="3174" w:type="dxa"/>
            <w:vAlign w:val="center"/>
          </w:tcPr>
          <w:p w14:paraId="0A4C7262">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《建筑设计防火规范（GB50016-2014，2018 年版）第 3.4.1 条</w:t>
            </w:r>
          </w:p>
        </w:tc>
      </w:tr>
      <w:tr w14:paraId="4D26E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vAlign w:val="center"/>
          </w:tcPr>
          <w:p w14:paraId="2A37C316">
            <w:pPr>
              <w:bidi w:val="0"/>
              <w:jc w:val="center"/>
              <w:rPr>
                <w:rFonts w:hint="default" w:hAnsi="宋体" w:cs="宋体"/>
                <w:sz w:val="21"/>
                <w:szCs w:val="21"/>
                <w:vertAlign w:val="baseline"/>
                <w:lang w:val="en-US" w:eastAsia="zh-CN"/>
              </w:rPr>
            </w:pPr>
            <w:r>
              <w:rPr>
                <w:rFonts w:hint="eastAsia" w:hAnsi="宋体" w:cs="宋体"/>
                <w:sz w:val="21"/>
                <w:szCs w:val="21"/>
                <w:vertAlign w:val="baseline"/>
                <w:lang w:val="en-US" w:eastAsia="zh-CN"/>
              </w:rPr>
              <w:t>东侧</w:t>
            </w:r>
          </w:p>
        </w:tc>
        <w:tc>
          <w:tcPr>
            <w:tcW w:w="1992" w:type="dxa"/>
            <w:vAlign w:val="center"/>
          </w:tcPr>
          <w:p w14:paraId="643838D2">
            <w:pPr>
              <w:bidi w:val="0"/>
              <w:jc w:val="center"/>
              <w:rPr>
                <w:rFonts w:hint="default" w:ascii="宋体" w:hAnsi="宋体" w:eastAsia="宋体" w:cs="宋体"/>
                <w:sz w:val="21"/>
                <w:szCs w:val="21"/>
                <w:vertAlign w:val="baseline"/>
                <w:lang w:val="en-US" w:eastAsia="zh-CN"/>
              </w:rPr>
            </w:pPr>
            <w:r>
              <w:rPr>
                <w:rFonts w:hint="eastAsia" w:hAnsi="宋体" w:cs="宋体"/>
                <w:sz w:val="21"/>
                <w:szCs w:val="21"/>
                <w:vertAlign w:val="baseline"/>
                <w:lang w:val="en-US" w:eastAsia="zh-CN"/>
              </w:rPr>
              <w:t>云南派诺电气有限公司</w:t>
            </w:r>
          </w:p>
        </w:tc>
        <w:tc>
          <w:tcPr>
            <w:tcW w:w="1236" w:type="dxa"/>
            <w:shd w:val="clear" w:color="auto" w:fill="auto"/>
            <w:vAlign w:val="center"/>
          </w:tcPr>
          <w:p w14:paraId="5B51B81A">
            <w:pPr>
              <w:bidi w:val="0"/>
              <w:jc w:val="center"/>
              <w:rPr>
                <w:rFonts w:hint="default" w:ascii="宋体" w:hAnsi="宋体" w:eastAsia="宋体" w:cs="宋体"/>
                <w:sz w:val="21"/>
                <w:szCs w:val="21"/>
                <w:vertAlign w:val="baseline"/>
                <w:lang w:val="en-US" w:eastAsia="zh-CN"/>
              </w:rPr>
            </w:pPr>
            <w:r>
              <w:rPr>
                <w:rFonts w:hint="eastAsia" w:hAnsi="宋体" w:cs="宋体"/>
                <w:sz w:val="21"/>
                <w:szCs w:val="21"/>
                <w:vertAlign w:val="baseline"/>
                <w:lang w:val="en-US" w:eastAsia="zh-CN"/>
              </w:rPr>
              <w:t>10m</w:t>
            </w:r>
          </w:p>
        </w:tc>
        <w:tc>
          <w:tcPr>
            <w:tcW w:w="1236" w:type="dxa"/>
            <w:vAlign w:val="center"/>
          </w:tcPr>
          <w:p w14:paraId="69FB1CB9">
            <w:pPr>
              <w:bidi w:val="0"/>
              <w:jc w:val="center"/>
              <w:rPr>
                <w:rFonts w:hint="default" w:ascii="宋体" w:hAnsi="宋体" w:eastAsia="宋体" w:cs="宋体"/>
                <w:sz w:val="21"/>
                <w:szCs w:val="21"/>
                <w:vertAlign w:val="baseline"/>
                <w:lang w:val="en-US" w:eastAsia="zh-CN"/>
              </w:rPr>
            </w:pPr>
            <w:r>
              <w:rPr>
                <w:rFonts w:hint="eastAsia" w:hAnsi="宋体" w:cs="宋体"/>
                <w:sz w:val="21"/>
                <w:szCs w:val="21"/>
                <w:vertAlign w:val="baseline"/>
                <w:lang w:val="en-US" w:eastAsia="zh-CN"/>
              </w:rPr>
              <w:t>30m</w:t>
            </w:r>
          </w:p>
        </w:tc>
        <w:tc>
          <w:tcPr>
            <w:tcW w:w="3174" w:type="dxa"/>
            <w:vAlign w:val="center"/>
          </w:tcPr>
          <w:p w14:paraId="20217CED">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《建筑设计防火规范（GB50016-2014，2018 年版）第 3.4.1 条</w:t>
            </w:r>
          </w:p>
        </w:tc>
      </w:tr>
    </w:tbl>
    <w:p w14:paraId="726894F9">
      <w:pPr>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kern w:val="2"/>
          <w:sz w:val="28"/>
          <w:szCs w:val="28"/>
          <w:highlight w:val="none"/>
          <w:lang w:val="en-US" w:eastAsia="zh-CN" w:bidi="ar-SA"/>
        </w:rPr>
      </w:pPr>
      <w:r>
        <w:drawing>
          <wp:anchor distT="0" distB="0" distL="114300" distR="114300" simplePos="0" relativeHeight="251664384" behindDoc="0" locked="0" layoutInCell="1" allowOverlap="1">
            <wp:simplePos x="0" y="0"/>
            <wp:positionH relativeFrom="column">
              <wp:posOffset>267335</wp:posOffset>
            </wp:positionH>
            <wp:positionV relativeFrom="paragraph">
              <wp:posOffset>3589655</wp:posOffset>
            </wp:positionV>
            <wp:extent cx="5421630" cy="3094355"/>
            <wp:effectExtent l="0" t="0" r="3810" b="14605"/>
            <wp:wrapNone/>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0"/>
                    <a:stretch>
                      <a:fillRect/>
                    </a:stretch>
                  </pic:blipFill>
                  <pic:spPr>
                    <a:xfrm>
                      <a:off x="0" y="0"/>
                      <a:ext cx="5421630" cy="3094355"/>
                    </a:xfrm>
                    <a:prstGeom prst="rect">
                      <a:avLst/>
                    </a:prstGeom>
                    <a:noFill/>
                    <a:ln>
                      <a:noFill/>
                    </a:ln>
                  </pic:spPr>
                </pic:pic>
              </a:graphicData>
            </a:graphic>
          </wp:anchor>
        </w:drawing>
      </w:r>
    </w:p>
    <w:p w14:paraId="5D29F305">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kern w:val="2"/>
          <w:sz w:val="28"/>
          <w:szCs w:val="28"/>
          <w:highlight w:val="none"/>
          <w:lang w:val="en-US" w:eastAsia="zh-CN" w:bidi="ar-SA"/>
        </w:rPr>
      </w:pPr>
    </w:p>
    <w:p w14:paraId="02B85C0F">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kern w:val="2"/>
          <w:sz w:val="28"/>
          <w:szCs w:val="28"/>
          <w:highlight w:val="none"/>
          <w:lang w:val="en-US" w:eastAsia="zh-CN" w:bidi="ar-SA"/>
        </w:rPr>
      </w:pPr>
    </w:p>
    <w:p w14:paraId="469C6EFA">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kern w:val="2"/>
          <w:sz w:val="28"/>
          <w:szCs w:val="28"/>
          <w:highlight w:val="none"/>
          <w:lang w:val="en-US" w:eastAsia="zh-CN" w:bidi="ar-SA"/>
        </w:rPr>
      </w:pPr>
    </w:p>
    <w:p w14:paraId="4FA4AFBD">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kern w:val="2"/>
          <w:sz w:val="28"/>
          <w:szCs w:val="28"/>
          <w:highlight w:val="none"/>
          <w:lang w:val="en-US" w:eastAsia="zh-CN" w:bidi="ar-SA"/>
        </w:rPr>
      </w:pPr>
    </w:p>
    <w:p w14:paraId="59412684">
      <w:pPr>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kern w:val="2"/>
          <w:sz w:val="28"/>
          <w:szCs w:val="28"/>
          <w:highlight w:val="none"/>
          <w:lang w:val="en-US" w:eastAsia="zh-CN" w:bidi="ar-SA"/>
        </w:rPr>
      </w:pPr>
    </w:p>
    <w:p w14:paraId="2FEE8980">
      <w:pPr>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kern w:val="2"/>
          <w:sz w:val="28"/>
          <w:szCs w:val="28"/>
          <w:highlight w:val="none"/>
          <w:lang w:val="en-US" w:eastAsia="zh-CN" w:bidi="ar-SA"/>
        </w:rPr>
      </w:pPr>
    </w:p>
    <w:p w14:paraId="0B39E51C">
      <w:pPr>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kern w:val="2"/>
          <w:sz w:val="28"/>
          <w:szCs w:val="28"/>
          <w:highlight w:val="none"/>
          <w:lang w:val="en-US" w:eastAsia="zh-CN" w:bidi="ar-SA"/>
        </w:rPr>
      </w:pPr>
    </w:p>
    <w:p w14:paraId="0D106660">
      <w:pPr>
        <w:pStyle w:val="22"/>
        <w:ind w:left="0" w:leftChars="0" w:firstLine="0" w:firstLineChars="0"/>
        <w:jc w:val="both"/>
        <w:rPr>
          <w:rFonts w:hint="eastAsia" w:ascii="宋体" w:hAnsi="宋体" w:eastAsia="宋体" w:cs="宋体"/>
          <w:b/>
          <w:bCs/>
          <w:color w:val="auto"/>
          <w:sz w:val="24"/>
          <w:szCs w:val="24"/>
        </w:rPr>
      </w:pPr>
    </w:p>
    <w:p w14:paraId="122F8C22">
      <w:pPr>
        <w:pStyle w:val="22"/>
        <w:ind w:left="0" w:leftChars="0" w:firstLine="0" w:firstLineChars="0"/>
        <w:jc w:val="both"/>
        <w:rPr>
          <w:rFonts w:hint="eastAsia" w:ascii="宋体" w:hAnsi="宋体" w:eastAsia="宋体" w:cs="宋体"/>
          <w:b/>
          <w:bCs/>
          <w:color w:val="auto"/>
          <w:sz w:val="24"/>
          <w:szCs w:val="24"/>
        </w:rPr>
      </w:pPr>
    </w:p>
    <w:p w14:paraId="5C77A3FC">
      <w:pPr>
        <w:pStyle w:val="22"/>
        <w:ind w:left="0" w:leftChars="0" w:firstLine="0" w:firstLineChars="0"/>
        <w:jc w:val="both"/>
        <w:rPr>
          <w:rFonts w:hint="eastAsia" w:ascii="宋体" w:hAnsi="宋体" w:eastAsia="宋体" w:cs="宋体"/>
          <w:b/>
          <w:bCs/>
          <w:color w:val="auto"/>
          <w:sz w:val="24"/>
          <w:szCs w:val="24"/>
        </w:rPr>
      </w:pPr>
    </w:p>
    <w:p w14:paraId="42A96E94">
      <w:pPr>
        <w:bidi w:val="0"/>
        <w:jc w:val="center"/>
        <w:rPr>
          <w:rFonts w:hint="eastAsia" w:ascii="宋体" w:hAnsi="宋体" w:eastAsia="宋体" w:cs="宋体"/>
          <w:b/>
          <w:bCs/>
          <w:color w:val="000000" w:themeColor="text1"/>
          <w14:textFill>
            <w14:solidFill>
              <w14:schemeClr w14:val="tx1"/>
            </w14:solidFill>
          </w14:textFill>
        </w:rPr>
      </w:pPr>
    </w:p>
    <w:p w14:paraId="31E19027">
      <w:pPr>
        <w:bidi w:val="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图2-2 项目周边环境示意图</w:t>
      </w:r>
    </w:p>
    <w:p w14:paraId="14639DFF">
      <w:pPr>
        <w:bidi w:val="0"/>
        <w:jc w:val="center"/>
        <w:rPr>
          <w:rFonts w:hint="eastAsia" w:ascii="宋体" w:hAnsi="宋体" w:eastAsia="宋体" w:cs="宋体"/>
          <w:b/>
          <w:bCs/>
          <w:lang w:val="en-US" w:eastAsia="zh-CN"/>
        </w:rPr>
      </w:pPr>
    </w:p>
    <w:p w14:paraId="4EFA63A6">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14:textFill>
            <w14:solidFill>
              <w14:schemeClr w14:val="tx1"/>
            </w14:solidFill>
          </w14:textFill>
        </w:rPr>
      </w:pPr>
      <w:bookmarkStart w:id="107" w:name="_Toc32452"/>
      <w:bookmarkStart w:id="108" w:name="_Toc313453449"/>
      <w:bookmarkStart w:id="109" w:name="_Toc335926142"/>
      <w:bookmarkStart w:id="110" w:name="_Toc29473"/>
      <w:bookmarkStart w:id="111" w:name="_Toc4677"/>
      <w:bookmarkStart w:id="112" w:name="_Toc17782"/>
      <w:bookmarkStart w:id="113" w:name="_Toc15326"/>
      <w:r>
        <w:rPr>
          <w:rFonts w:hint="eastAsia" w:ascii="宋体" w:hAnsi="宋体" w:eastAsia="宋体" w:cs="宋体"/>
          <w:snapToGrid w:val="0"/>
          <w:color w:val="000000" w:themeColor="text1"/>
          <w:kern w:val="0"/>
          <w:sz w:val="28"/>
          <w:szCs w:val="28"/>
          <w14:textFill>
            <w14:solidFill>
              <w14:schemeClr w14:val="tx1"/>
            </w14:solidFill>
          </w14:textFill>
        </w:rPr>
        <w:t>2.2.</w:t>
      </w:r>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4</w:t>
      </w:r>
      <w:r>
        <w:rPr>
          <w:rFonts w:hint="eastAsia" w:ascii="宋体" w:hAnsi="宋体" w:eastAsia="宋体" w:cs="宋体"/>
          <w:snapToGrid w:val="0"/>
          <w:color w:val="000000" w:themeColor="text1"/>
          <w:kern w:val="0"/>
          <w:sz w:val="28"/>
          <w:szCs w:val="28"/>
          <w14:textFill>
            <w14:solidFill>
              <w14:schemeClr w14:val="tx1"/>
            </w14:solidFill>
          </w14:textFill>
        </w:rPr>
        <w:t>气象条件</w:t>
      </w:r>
      <w:bookmarkEnd w:id="107"/>
      <w:bookmarkEnd w:id="108"/>
      <w:bookmarkEnd w:id="109"/>
      <w:bookmarkEnd w:id="110"/>
      <w:bookmarkEnd w:id="111"/>
      <w:bookmarkEnd w:id="112"/>
      <w:bookmarkEnd w:id="113"/>
    </w:p>
    <w:p w14:paraId="46844248">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jc w:val="left"/>
        <w:textAlignment w:val="auto"/>
        <w:rPr>
          <w:rFonts w:hint="eastAsia" w:ascii="宋体" w:hAnsi="宋体" w:eastAsia="宋体" w:cs="宋体"/>
          <w:b w:val="0"/>
          <w:bCs w:val="0"/>
          <w:color w:val="000000" w:themeColor="text1"/>
          <w:sz w:val="28"/>
          <w:szCs w:val="28"/>
          <w:lang w:val="en-US" w:eastAsia="zh-CN"/>
          <w14:textFill>
            <w14:solidFill>
              <w14:schemeClr w14:val="tx1"/>
            </w14:solidFill>
          </w14:textFill>
        </w:rPr>
      </w:pPr>
      <w:bookmarkStart w:id="114" w:name="_Toc51340634"/>
      <w:bookmarkStart w:id="115" w:name="_Toc103178261"/>
      <w:bookmarkStart w:id="116" w:name="_Toc129520595"/>
      <w:bookmarkStart w:id="117" w:name="_Toc54294400"/>
      <w:bookmarkStart w:id="118" w:name="_Toc29539"/>
      <w:bookmarkStart w:id="119" w:name="_Toc335926143"/>
      <w:bookmarkStart w:id="120" w:name="_Toc21990"/>
      <w:bookmarkStart w:id="121" w:name="_Toc313453450"/>
      <w:r>
        <w:rPr>
          <w:rFonts w:hint="eastAsia" w:ascii="宋体" w:hAnsi="宋体" w:eastAsia="宋体" w:cs="宋体"/>
          <w:b w:val="0"/>
          <w:bCs w:val="0"/>
          <w:color w:val="000000" w:themeColor="text1"/>
          <w:sz w:val="28"/>
          <w:szCs w:val="28"/>
          <w:lang w:val="en-US" w:eastAsia="zh-CN"/>
          <w14:textFill>
            <w14:solidFill>
              <w14:schemeClr w14:val="tx1"/>
            </w14:solidFill>
          </w14:textFill>
        </w:rPr>
        <w:t>红塔区为中亚热带半湿润冷冬高原季风气候，冬无严寒，夏无酷暑，气候宜人。由于山脉和地势的影响，使红塔区气候的水平差异和垂直差异都较大，首先，山脉对气流的动力抬升作用，使东西部降水量比中部和南部坝区偏多，其次是使气温随海拔升高而降低。因此，坝区气候温和，山区气候冷凉。红塔区地处低纬高原，冬夏半年各受两种性质不同的大气环流交替影响，因此，高原季风气候特点显著，冬半年（即干季11-4月）受南支西风急流控制，空气温暖干燥，因而晴天多，日照充足，太阳辐射强，降水少；同时由于晴朗干燥，夜间辐射冷却亦强，容易形成霜或霜冻。夏半年(即雨季5-10月)，受副热带高压控制，常受来自赤道海洋的西南季风和来自热带海洋的东南季风影响，湿度大、水汽充足、降水多，会形成洪涝灾害，鉴于以上天气特点，红塔区形成了冬暖夏凉，四季如春，夏秋多雨，冬春干旱，雨热同季的气候。</w:t>
      </w:r>
    </w:p>
    <w:p w14:paraId="1F438263">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jc w:val="left"/>
        <w:textAlignment w:val="auto"/>
        <w:rPr>
          <w:rFonts w:hint="eastAsia" w:ascii="宋体" w:hAnsi="宋体" w:eastAsia="宋体" w:cs="宋体"/>
          <w:b w:val="0"/>
          <w:bCs w:val="0"/>
          <w:color w:val="000000" w:themeColor="text1"/>
          <w:sz w:val="28"/>
          <w:szCs w:val="28"/>
          <w:lang w:val="en-US" w:eastAsia="zh-CN"/>
          <w14:textFill>
            <w14:solidFill>
              <w14:schemeClr w14:val="tx1"/>
            </w14:solidFill>
          </w14:textFill>
        </w:rPr>
      </w:pPr>
      <w:r>
        <w:rPr>
          <w:rFonts w:hint="eastAsia" w:ascii="宋体" w:hAnsi="宋体" w:eastAsia="宋体" w:cs="宋体"/>
          <w:b w:val="0"/>
          <w:bCs w:val="0"/>
          <w:color w:val="000000" w:themeColor="text1"/>
          <w:sz w:val="28"/>
          <w:szCs w:val="28"/>
          <w:lang w:val="en-US" w:eastAsia="zh-CN"/>
          <w14:textFill>
            <w14:solidFill>
              <w14:schemeClr w14:val="tx1"/>
            </w14:solidFill>
          </w14:textFill>
        </w:rPr>
        <w:t>据红塔区气象局资料，全区多年平均气温15.6℃，最冷月（1月）平均温度8.4℃，最热月（7月）平均温度20.7℃，多年极端最低气温-5.5℃，无霜期233天，年平均降水量913.0ｍｍ，年日照时数2185.0小时。2010年全年平均气温17.4℃，极端最高气温32.2℃(5月6日)，极端最低气温0.5℃（12月17日）；全年日照时数为2370.5小时，日照率为54%；霜降从2010年11月3日始，2011年2月23日止，共113天；全年降雨155天，降雨量639.6毫米；平均相对湿度为72%，最小湿度为10%；主要气象灾害有旱灾、冰雹灾等。</w:t>
      </w:r>
      <w:bookmarkEnd w:id="114"/>
      <w:bookmarkEnd w:id="115"/>
      <w:bookmarkEnd w:id="116"/>
      <w:bookmarkEnd w:id="117"/>
      <w:r>
        <w:rPr>
          <w:rFonts w:hint="eastAsia" w:ascii="宋体" w:hAnsi="宋体" w:eastAsia="宋体" w:cs="宋体"/>
          <w:b w:val="0"/>
          <w:bCs w:val="0"/>
          <w:color w:val="000000" w:themeColor="text1"/>
          <w:sz w:val="28"/>
          <w:szCs w:val="28"/>
          <w:lang w:val="en-US" w:eastAsia="zh-CN"/>
          <w14:textFill>
            <w14:solidFill>
              <w14:schemeClr w14:val="tx1"/>
            </w14:solidFill>
          </w14:textFill>
        </w:rPr>
        <w:t>红塔区多年平均雷暴日天数63天，区内常年主导风向西南风，冬季有少量北风。</w:t>
      </w:r>
    </w:p>
    <w:p w14:paraId="4A8856D6">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jc w:val="left"/>
        <w:textAlignment w:val="auto"/>
        <w:rPr>
          <w:rFonts w:hint="eastAsia" w:ascii="宋体" w:hAnsi="宋体" w:eastAsia="宋体" w:cs="宋体"/>
          <w:lang w:val="en-US" w:eastAsia="zh-CN"/>
        </w:rPr>
      </w:pPr>
      <w:r>
        <w:rPr>
          <w:rFonts w:hint="eastAsia" w:ascii="宋体" w:hAnsi="宋体" w:eastAsia="宋体" w:cs="宋体"/>
          <w:kern w:val="2"/>
          <w:sz w:val="28"/>
          <w:szCs w:val="28"/>
          <w:lang w:val="en-US" w:eastAsia="zh-CN" w:bidi="ar-SA"/>
        </w:rPr>
        <w:t>项目所在地研和街道属于中亚热带半湿润凉冬高原季风气候。冬季，这里的空气温暖，降水量较少，晴天多，日照充足，气候干燥。夏季则空气湿度大，水汽充足，降水和云量多，日照时间较长。霜冻多发于秋末至来年春初，全年无霜期为206天。年平均气温在15—16°C之间，最热月（七月份）平均温度在25—26°C之间，极端最高气温为33.5°C，最冷月（一月份）平均温度在0°C—0.2°C之间，极端最低温度为-4.6°C。镇内年降水量在800—900毫米之间，年日照时数为2265.1小时，日照百分率达到51%。综上所述，研和镇的气候特点是温暖湿润、四季分明，日照充足，降水量适中，适宜农业生产，同时也有利于居民的生活和健康。</w:t>
      </w:r>
    </w:p>
    <w:p w14:paraId="3567550C">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14:textFill>
            <w14:solidFill>
              <w14:schemeClr w14:val="tx1"/>
            </w14:solidFill>
          </w14:textFill>
        </w:rPr>
      </w:pPr>
      <w:bookmarkStart w:id="122" w:name="_Toc20946"/>
      <w:bookmarkStart w:id="123" w:name="_Toc11571"/>
      <w:bookmarkStart w:id="124" w:name="_Toc18310"/>
      <w:r>
        <w:rPr>
          <w:rFonts w:hint="eastAsia" w:ascii="宋体" w:hAnsi="宋体" w:eastAsia="宋体" w:cs="宋体"/>
          <w:snapToGrid w:val="0"/>
          <w:color w:val="000000" w:themeColor="text1"/>
          <w:kern w:val="0"/>
          <w:sz w:val="28"/>
          <w:szCs w:val="28"/>
          <w14:textFill>
            <w14:solidFill>
              <w14:schemeClr w14:val="tx1"/>
            </w14:solidFill>
          </w14:textFill>
        </w:rPr>
        <w:t>2.2.</w:t>
      </w:r>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 xml:space="preserve">5 </w:t>
      </w:r>
      <w:r>
        <w:rPr>
          <w:rFonts w:hint="eastAsia" w:ascii="宋体" w:hAnsi="宋体" w:eastAsia="宋体" w:cs="宋体"/>
          <w:snapToGrid w:val="0"/>
          <w:color w:val="000000" w:themeColor="text1"/>
          <w:kern w:val="0"/>
          <w:sz w:val="28"/>
          <w:szCs w:val="28"/>
          <w14:textFill>
            <w14:solidFill>
              <w14:schemeClr w14:val="tx1"/>
            </w14:solidFill>
          </w14:textFill>
        </w:rPr>
        <w:t>地质条件</w:t>
      </w:r>
      <w:bookmarkEnd w:id="118"/>
      <w:bookmarkEnd w:id="119"/>
      <w:bookmarkEnd w:id="120"/>
      <w:bookmarkEnd w:id="121"/>
      <w:bookmarkEnd w:id="122"/>
      <w:bookmarkEnd w:id="123"/>
      <w:bookmarkEnd w:id="124"/>
    </w:p>
    <w:p w14:paraId="7B432EE0">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1.地形、地貌</w:t>
      </w:r>
    </w:p>
    <w:p w14:paraId="5105F410">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研和街道地处云贵高原西南部邻近边缘带，宽平山脊或圆形山顶形成了复杂的地形地貌，四周山系环抱研和盆地，坝子中矮丘起伏。东边山势平缓，西边山势峻缓。境内最高峰回族山位于南厂社区，海拔2142.6米；最低点黑泥红石岩位于玉屏社区红塔区、峨山县、通海县三县交界点，海拔1502米。</w:t>
      </w:r>
    </w:p>
    <w:p w14:paraId="67B0A9A9">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jc w:val="left"/>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根据</w:t>
      </w:r>
      <w:r>
        <w:rPr>
          <w:rFonts w:hint="eastAsia" w:hAnsi="宋体" w:cs="宋体"/>
          <w:kern w:val="2"/>
          <w:sz w:val="28"/>
          <w:szCs w:val="28"/>
          <w:lang w:val="en-US" w:eastAsia="zh-CN" w:bidi="ar-SA"/>
        </w:rPr>
        <w:t>玉溪正宇智能科技有限公司</w:t>
      </w:r>
      <w:r>
        <w:rPr>
          <w:rFonts w:hint="eastAsia" w:ascii="宋体" w:hAnsi="宋体" w:eastAsia="宋体" w:cs="宋体"/>
          <w:kern w:val="2"/>
          <w:sz w:val="28"/>
          <w:szCs w:val="28"/>
          <w:lang w:val="en-US" w:eastAsia="zh-CN" w:bidi="ar-SA"/>
        </w:rPr>
        <w:t>所提供地质资料及评价组现场检查，厂区内未发现塌陷、开裂、下沉等地灾现象。</w:t>
      </w:r>
    </w:p>
    <w:p w14:paraId="6A82F185">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.水文</w:t>
      </w:r>
    </w:p>
    <w:p w14:paraId="43024F91">
      <w:pPr>
        <w:keepNext w:val="0"/>
        <w:keepLines w:val="0"/>
        <w:pageBreakBefore w:val="0"/>
        <w:widowControl w:val="0"/>
        <w:numPr>
          <w:ilvl w:val="0"/>
          <w:numId w:val="0"/>
        </w:numPr>
        <w:kinsoku/>
        <w:wordWrap/>
        <w:overflowPunct/>
        <w:topLinePunct w:val="0"/>
        <w:autoSpaceDE/>
        <w:autoSpaceDN/>
        <w:bidi w:val="0"/>
        <w:adjustRightInd w:val="0"/>
        <w:snapToGrid/>
        <w:spacing w:line="500" w:lineRule="exact"/>
        <w:ind w:leftChars="0" w:firstLine="560" w:firstLineChars="200"/>
        <w:jc w:val="left"/>
        <w:textAlignment w:val="auto"/>
        <w:outlineLvl w:val="9"/>
        <w:rPr>
          <w:rFonts w:hint="eastAsia" w:ascii="宋体" w:hAnsi="宋体" w:eastAsia="宋体" w:cs="宋体"/>
          <w:color w:val="auto"/>
          <w:sz w:val="28"/>
          <w:szCs w:val="24"/>
          <w:lang w:val="en-US" w:eastAsia="zh-CN"/>
        </w:rPr>
      </w:pPr>
      <w:r>
        <w:rPr>
          <w:rFonts w:hint="eastAsia" w:ascii="宋体" w:hAnsi="宋体" w:eastAsia="宋体" w:cs="宋体"/>
          <w:color w:val="auto"/>
          <w:sz w:val="28"/>
          <w:szCs w:val="24"/>
          <w:lang w:val="en-US" w:eastAsia="zh-CN"/>
        </w:rPr>
        <w:t>研和街道境内河道属珠江流域。主要河道有东风大沟、歪者河、清水沟3条。河流总长度47千米，河网密度31.3千米/平方千米。境内最大河流东风南沟自高仓入境至玉屏村，全长15.6千米。流域面积1.5平方千米，年均流量0.3立方米/秒。</w:t>
      </w:r>
    </w:p>
    <w:p w14:paraId="674B992F">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项目区属于南盘江水系，位于南盘江一级支流曲江的支流大沙河右岸。处于玉溪盆地与低中山丘陵地形接触部位，项目范围内无常年性河流，也无泉水出露。</w:t>
      </w:r>
    </w:p>
    <w:p w14:paraId="7BD7D701">
      <w:pPr>
        <w:pStyle w:val="6"/>
        <w:keepNext w:val="0"/>
        <w:keepLines w:val="0"/>
        <w:pageBreakBefore w:val="0"/>
        <w:widowControl w:val="0"/>
        <w:kinsoku/>
        <w:wordWrap/>
        <w:overflowPunct/>
        <w:topLinePunct w:val="0"/>
        <w:autoSpaceDE/>
        <w:autoSpaceDN/>
        <w:bidi w:val="0"/>
        <w:adjustRightInd/>
        <w:snapToGrid/>
        <w:spacing w:line="520" w:lineRule="exact"/>
        <w:ind w:firstLine="56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.抗震</w:t>
      </w:r>
    </w:p>
    <w:p w14:paraId="750E1783">
      <w:pPr>
        <w:keepNext w:val="0"/>
        <w:keepLines w:val="0"/>
        <w:pageBreakBefore w:val="0"/>
        <w:widowControl w:val="0"/>
        <w:numPr>
          <w:ilvl w:val="0"/>
          <w:numId w:val="0"/>
        </w:numPr>
        <w:kinsoku/>
        <w:wordWrap/>
        <w:overflowPunct/>
        <w:topLinePunct w:val="0"/>
        <w:autoSpaceDE/>
        <w:autoSpaceDN/>
        <w:bidi w:val="0"/>
        <w:adjustRightInd w:val="0"/>
        <w:snapToGrid/>
        <w:spacing w:line="500" w:lineRule="exact"/>
        <w:ind w:leftChars="0" w:firstLine="560" w:firstLineChars="200"/>
        <w:jc w:val="left"/>
        <w:textAlignment w:val="auto"/>
        <w:outlineLvl w:val="9"/>
        <w:rPr>
          <w:rFonts w:hint="eastAsia" w:ascii="宋体" w:hAnsi="宋体" w:eastAsia="宋体" w:cs="宋体"/>
          <w:color w:val="auto"/>
          <w:sz w:val="28"/>
          <w:szCs w:val="24"/>
          <w:lang w:eastAsia="zh-CN"/>
        </w:rPr>
      </w:pPr>
      <w:r>
        <w:rPr>
          <w:rFonts w:hint="eastAsia" w:ascii="宋体" w:hAnsi="宋体" w:eastAsia="宋体" w:cs="宋体"/>
          <w:color w:val="000000" w:themeColor="text1"/>
          <w:sz w:val="28"/>
          <w:szCs w:val="28"/>
          <w14:textFill>
            <w14:solidFill>
              <w14:schemeClr w14:val="tx1"/>
            </w14:solidFill>
          </w14:textFill>
        </w:rPr>
        <w:t>据《建筑抗震设计规范</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2024年版</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》GB50011—2010</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中的有关规定，</w:t>
      </w:r>
      <w:r>
        <w:rPr>
          <w:rFonts w:hint="eastAsia" w:ascii="宋体" w:hAnsi="宋体" w:eastAsia="宋体" w:cs="宋体"/>
          <w:color w:val="auto"/>
          <w:sz w:val="28"/>
          <w:szCs w:val="24"/>
        </w:rPr>
        <w:t>玉溪市红塔区</w:t>
      </w:r>
      <w:r>
        <w:rPr>
          <w:rFonts w:hint="eastAsia" w:ascii="宋体" w:hAnsi="宋体" w:eastAsia="宋体" w:cs="宋体"/>
          <w:color w:val="auto"/>
          <w:sz w:val="28"/>
          <w:szCs w:val="24"/>
          <w:lang w:val="en-US" w:eastAsia="zh-CN"/>
        </w:rPr>
        <w:t>研和街道</w:t>
      </w:r>
      <w:r>
        <w:rPr>
          <w:rFonts w:hint="eastAsia" w:ascii="宋体" w:hAnsi="宋体" w:eastAsia="宋体" w:cs="宋体"/>
          <w:color w:val="auto"/>
          <w:sz w:val="28"/>
          <w:szCs w:val="24"/>
        </w:rPr>
        <w:t>抗震设防烈度为8度，设计基本地震加速度值0.2g，设计按8度设防</w:t>
      </w:r>
      <w:r>
        <w:rPr>
          <w:rFonts w:hint="eastAsia" w:ascii="宋体" w:hAnsi="宋体" w:eastAsia="宋体" w:cs="宋体"/>
          <w:color w:val="auto"/>
          <w:sz w:val="28"/>
          <w:szCs w:val="24"/>
          <w:lang w:eastAsia="zh-CN"/>
        </w:rPr>
        <w:t>。</w:t>
      </w:r>
    </w:p>
    <w:p w14:paraId="3BFAABBA">
      <w:pPr>
        <w:pStyle w:val="3"/>
        <w:keepNext/>
        <w:keepLines/>
        <w:pageBreakBefore w:val="0"/>
        <w:widowControl w:val="0"/>
        <w:kinsoku/>
        <w:wordWrap/>
        <w:overflowPunct/>
        <w:topLinePunct w:val="0"/>
        <w:autoSpaceDE/>
        <w:autoSpaceDN/>
        <w:bidi w:val="0"/>
        <w:adjustRightInd/>
        <w:snapToGrid w:val="0"/>
        <w:spacing w:before="0" w:after="0" w:line="520" w:lineRule="exact"/>
        <w:jc w:val="both"/>
        <w:textAlignment w:val="auto"/>
        <w:rPr>
          <w:rFonts w:hint="eastAsia" w:ascii="宋体" w:hAnsi="宋体" w:eastAsia="宋体" w:cs="宋体"/>
          <w:color w:val="000000" w:themeColor="text1"/>
          <w:kern w:val="0"/>
          <w14:textFill>
            <w14:solidFill>
              <w14:schemeClr w14:val="tx1"/>
            </w14:solidFill>
          </w14:textFill>
        </w:rPr>
      </w:pPr>
      <w:bookmarkStart w:id="125" w:name="_Toc278151346"/>
      <w:bookmarkStart w:id="126" w:name="_Toc7305"/>
      <w:bookmarkStart w:id="127" w:name="_Toc11484"/>
      <w:bookmarkStart w:id="128" w:name="_Toc2184"/>
      <w:bookmarkStart w:id="129" w:name="_Toc327017738"/>
      <w:bookmarkStart w:id="130" w:name="_Toc335926144"/>
      <w:bookmarkStart w:id="131" w:name="_Toc2898"/>
      <w:bookmarkStart w:id="132" w:name="_Toc309682404"/>
      <w:bookmarkStart w:id="133" w:name="_Toc14181"/>
      <w:r>
        <w:rPr>
          <w:rFonts w:hint="eastAsia" w:ascii="宋体" w:hAnsi="宋体" w:eastAsia="宋体" w:cs="宋体"/>
          <w:color w:val="000000" w:themeColor="text1"/>
          <w:kern w:val="0"/>
          <w14:textFill>
            <w14:solidFill>
              <w14:schemeClr w14:val="tx1"/>
            </w14:solidFill>
          </w14:textFill>
        </w:rPr>
        <w:t>2.3</w:t>
      </w:r>
      <w:r>
        <w:rPr>
          <w:rFonts w:hint="eastAsia" w:ascii="宋体" w:hAnsi="宋体" w:eastAsia="宋体" w:cs="宋体"/>
          <w:color w:val="000000" w:themeColor="text1"/>
          <w:kern w:val="0"/>
          <w:lang w:val="en-US" w:eastAsia="zh-CN"/>
          <w14:textFill>
            <w14:solidFill>
              <w14:schemeClr w14:val="tx1"/>
            </w14:solidFill>
          </w14:textFill>
        </w:rPr>
        <w:t xml:space="preserve"> </w:t>
      </w:r>
      <w:r>
        <w:rPr>
          <w:rFonts w:hint="eastAsia" w:ascii="宋体" w:hAnsi="宋体" w:eastAsia="宋体" w:cs="宋体"/>
          <w:color w:val="000000" w:themeColor="text1"/>
          <w:kern w:val="0"/>
          <w14:textFill>
            <w14:solidFill>
              <w14:schemeClr w14:val="tx1"/>
            </w14:solidFill>
          </w14:textFill>
        </w:rPr>
        <w:t>总图布置</w:t>
      </w:r>
      <w:bookmarkEnd w:id="125"/>
      <w:bookmarkEnd w:id="126"/>
      <w:bookmarkEnd w:id="127"/>
      <w:bookmarkEnd w:id="128"/>
      <w:bookmarkEnd w:id="129"/>
      <w:bookmarkEnd w:id="130"/>
      <w:bookmarkEnd w:id="131"/>
      <w:bookmarkEnd w:id="132"/>
      <w:bookmarkEnd w:id="133"/>
    </w:p>
    <w:p w14:paraId="5A76199F">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14:textFill>
            <w14:solidFill>
              <w14:schemeClr w14:val="tx1"/>
            </w14:solidFill>
          </w14:textFill>
        </w:rPr>
      </w:pPr>
      <w:bookmarkStart w:id="134" w:name="_Toc327017739"/>
      <w:bookmarkStart w:id="135" w:name="_Toc24006"/>
      <w:bookmarkStart w:id="136" w:name="_Toc335926145"/>
      <w:bookmarkStart w:id="137" w:name="_Toc22267"/>
      <w:bookmarkStart w:id="138" w:name="_Toc309682405"/>
      <w:bookmarkStart w:id="139" w:name="_Toc278151347"/>
      <w:bookmarkStart w:id="140" w:name="_Toc28529"/>
      <w:bookmarkStart w:id="141" w:name="_Toc18825"/>
      <w:bookmarkStart w:id="142" w:name="_Toc22582"/>
      <w:r>
        <w:rPr>
          <w:rFonts w:hint="eastAsia" w:ascii="宋体" w:hAnsi="宋体" w:eastAsia="宋体" w:cs="宋体"/>
          <w:snapToGrid w:val="0"/>
          <w:color w:val="000000" w:themeColor="text1"/>
          <w:kern w:val="0"/>
          <w:sz w:val="28"/>
          <w:szCs w:val="28"/>
          <w14:textFill>
            <w14:solidFill>
              <w14:schemeClr w14:val="tx1"/>
            </w14:solidFill>
          </w14:textFill>
        </w:rPr>
        <w:t>2.3.1</w:t>
      </w:r>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 xml:space="preserve"> </w:t>
      </w:r>
      <w:r>
        <w:rPr>
          <w:rFonts w:hint="eastAsia" w:ascii="宋体" w:hAnsi="宋体" w:eastAsia="宋体" w:cs="宋体"/>
          <w:snapToGrid w:val="0"/>
          <w:color w:val="000000" w:themeColor="text1"/>
          <w:kern w:val="0"/>
          <w:sz w:val="28"/>
          <w:szCs w:val="28"/>
          <w14:textFill>
            <w14:solidFill>
              <w14:schemeClr w14:val="tx1"/>
            </w14:solidFill>
          </w14:textFill>
        </w:rPr>
        <w:t>总平面布置</w:t>
      </w:r>
      <w:bookmarkEnd w:id="134"/>
      <w:bookmarkEnd w:id="135"/>
      <w:bookmarkEnd w:id="136"/>
      <w:bookmarkEnd w:id="137"/>
      <w:bookmarkEnd w:id="138"/>
      <w:bookmarkEnd w:id="139"/>
      <w:bookmarkEnd w:id="140"/>
      <w:bookmarkEnd w:id="141"/>
      <w:bookmarkEnd w:id="142"/>
    </w:p>
    <w:p w14:paraId="2AC9B921">
      <w:pPr>
        <w:keepNext w:val="0"/>
        <w:keepLines w:val="0"/>
        <w:pageBreakBefore w:val="0"/>
        <w:widowControl w:val="0"/>
        <w:numPr>
          <w:ilvl w:val="0"/>
          <w:numId w:val="0"/>
        </w:numPr>
        <w:kinsoku/>
        <w:wordWrap/>
        <w:overflowPunct/>
        <w:topLinePunct w:val="0"/>
        <w:autoSpaceDE/>
        <w:autoSpaceDN/>
        <w:bidi w:val="0"/>
        <w:adjustRightInd w:val="0"/>
        <w:snapToGrid/>
        <w:spacing w:line="500" w:lineRule="exact"/>
        <w:ind w:leftChars="0" w:firstLine="560" w:firstLineChars="200"/>
        <w:jc w:val="left"/>
        <w:textAlignment w:val="auto"/>
        <w:outlineLvl w:val="9"/>
        <w:rPr>
          <w:rFonts w:hint="eastAsia" w:ascii="宋体" w:hAnsi="宋体" w:eastAsia="宋体" w:cs="宋体"/>
          <w:color w:val="auto"/>
          <w:sz w:val="28"/>
          <w:szCs w:val="24"/>
          <w:lang w:val="en-US" w:eastAsia="zh-CN"/>
        </w:rPr>
      </w:pPr>
      <w:r>
        <w:rPr>
          <w:rFonts w:hint="eastAsia" w:ascii="宋体" w:hAnsi="宋体" w:eastAsia="宋体" w:cs="宋体"/>
          <w:color w:val="auto"/>
          <w:sz w:val="28"/>
          <w:szCs w:val="24"/>
          <w:lang w:val="en-US" w:eastAsia="zh-CN"/>
        </w:rPr>
        <w:t>现状：厂区根据生产需要将平面布置分为生产区、非生产区。</w:t>
      </w:r>
    </w:p>
    <w:p w14:paraId="10B05B95">
      <w:pPr>
        <w:keepNext w:val="0"/>
        <w:keepLines w:val="0"/>
        <w:pageBreakBefore w:val="0"/>
        <w:widowControl w:val="0"/>
        <w:numPr>
          <w:ilvl w:val="0"/>
          <w:numId w:val="0"/>
        </w:numPr>
        <w:kinsoku/>
        <w:wordWrap/>
        <w:overflowPunct/>
        <w:topLinePunct w:val="0"/>
        <w:autoSpaceDE/>
        <w:autoSpaceDN/>
        <w:bidi w:val="0"/>
        <w:adjustRightInd w:val="0"/>
        <w:snapToGrid/>
        <w:spacing w:line="500" w:lineRule="exact"/>
        <w:ind w:leftChars="0" w:firstLine="560" w:firstLineChars="200"/>
        <w:jc w:val="left"/>
        <w:textAlignment w:val="auto"/>
        <w:outlineLvl w:val="9"/>
        <w:rPr>
          <w:rFonts w:hint="eastAsia" w:ascii="宋体" w:hAnsi="宋体" w:eastAsia="宋体" w:cs="宋体"/>
          <w:color w:val="auto"/>
          <w:sz w:val="28"/>
          <w:szCs w:val="24"/>
          <w:lang w:val="en-US" w:eastAsia="zh-CN"/>
        </w:rPr>
      </w:pPr>
      <w:r>
        <w:rPr>
          <w:rFonts w:hint="eastAsia" w:ascii="宋体" w:hAnsi="宋体" w:eastAsia="宋体" w:cs="宋体"/>
          <w:color w:val="auto"/>
          <w:sz w:val="28"/>
          <w:szCs w:val="24"/>
          <w:lang w:val="en-US" w:eastAsia="zh-CN"/>
        </w:rPr>
        <w:t>生产区包括：生产装配区、</w:t>
      </w:r>
      <w:r>
        <w:rPr>
          <w:rFonts w:hint="eastAsia" w:hAnsi="宋体" w:cs="宋体"/>
          <w:color w:val="auto"/>
          <w:sz w:val="28"/>
          <w:szCs w:val="24"/>
          <w:lang w:val="en-US" w:eastAsia="zh-CN"/>
        </w:rPr>
        <w:t>机加工区、成品区、半成品区、</w:t>
      </w:r>
      <w:r>
        <w:rPr>
          <w:rFonts w:hint="eastAsia" w:ascii="宋体" w:hAnsi="宋体" w:eastAsia="宋体" w:cs="宋体"/>
          <w:color w:val="auto"/>
          <w:sz w:val="28"/>
          <w:szCs w:val="24"/>
          <w:lang w:val="en-US" w:eastAsia="zh-CN"/>
        </w:rPr>
        <w:t>仓库区。</w:t>
      </w:r>
    </w:p>
    <w:p w14:paraId="1FAC336C">
      <w:pPr>
        <w:keepNext w:val="0"/>
        <w:keepLines w:val="0"/>
        <w:pageBreakBefore w:val="0"/>
        <w:widowControl w:val="0"/>
        <w:numPr>
          <w:ilvl w:val="0"/>
          <w:numId w:val="0"/>
        </w:numPr>
        <w:kinsoku/>
        <w:wordWrap/>
        <w:overflowPunct/>
        <w:topLinePunct w:val="0"/>
        <w:autoSpaceDE/>
        <w:autoSpaceDN/>
        <w:bidi w:val="0"/>
        <w:adjustRightInd w:val="0"/>
        <w:snapToGrid/>
        <w:spacing w:line="500" w:lineRule="exact"/>
        <w:ind w:leftChars="0" w:firstLine="560" w:firstLineChars="200"/>
        <w:jc w:val="left"/>
        <w:textAlignment w:val="auto"/>
        <w:outlineLvl w:val="9"/>
        <w:rPr>
          <w:rFonts w:hint="eastAsia" w:ascii="宋体" w:hAnsi="宋体" w:eastAsia="宋体" w:cs="宋体"/>
          <w:color w:val="auto"/>
          <w:sz w:val="28"/>
          <w:szCs w:val="24"/>
          <w:lang w:val="en-US" w:eastAsia="zh-CN"/>
        </w:rPr>
      </w:pPr>
      <w:r>
        <w:rPr>
          <w:rFonts w:hint="eastAsia" w:ascii="宋体" w:hAnsi="宋体" w:eastAsia="宋体" w:cs="宋体"/>
          <w:color w:val="auto"/>
          <w:sz w:val="28"/>
          <w:szCs w:val="24"/>
          <w:lang w:val="en-US" w:eastAsia="zh-CN"/>
        </w:rPr>
        <w:t>非生产区包括：办公室。</w:t>
      </w:r>
    </w:p>
    <w:p w14:paraId="2861919E">
      <w:pPr>
        <w:keepNext w:val="0"/>
        <w:keepLines w:val="0"/>
        <w:pageBreakBefore w:val="0"/>
        <w:widowControl w:val="0"/>
        <w:numPr>
          <w:ilvl w:val="0"/>
          <w:numId w:val="0"/>
        </w:numPr>
        <w:kinsoku/>
        <w:wordWrap/>
        <w:overflowPunct/>
        <w:topLinePunct w:val="0"/>
        <w:autoSpaceDE/>
        <w:autoSpaceDN/>
        <w:bidi w:val="0"/>
        <w:adjustRightInd w:val="0"/>
        <w:snapToGrid/>
        <w:spacing w:line="500" w:lineRule="exact"/>
        <w:ind w:leftChars="0" w:firstLine="560" w:firstLineChars="200"/>
        <w:jc w:val="left"/>
        <w:textAlignment w:val="auto"/>
        <w:outlineLvl w:val="9"/>
        <w:rPr>
          <w:rFonts w:hint="eastAsia" w:ascii="宋体" w:hAnsi="宋体" w:eastAsia="宋体" w:cs="宋体"/>
          <w:color w:val="auto"/>
          <w:sz w:val="28"/>
          <w:szCs w:val="24"/>
          <w:lang w:val="en-US" w:eastAsia="zh-CN"/>
        </w:rPr>
      </w:pPr>
      <w:r>
        <w:rPr>
          <w:rFonts w:hint="eastAsia" w:hAnsi="宋体" w:cs="宋体"/>
          <w:color w:val="auto"/>
          <w:sz w:val="28"/>
          <w:szCs w:val="24"/>
          <w:lang w:val="en-US" w:eastAsia="zh-CN"/>
        </w:rPr>
        <w:t>厂内建筑：</w:t>
      </w:r>
      <w:r>
        <w:rPr>
          <w:rFonts w:hint="eastAsia" w:ascii="宋体" w:hAnsi="宋体" w:eastAsia="宋体" w:cs="宋体"/>
          <w:color w:val="auto"/>
          <w:sz w:val="28"/>
          <w:szCs w:val="24"/>
          <w:lang w:val="en-US" w:eastAsia="zh-CN"/>
        </w:rPr>
        <w:t>整个厂区呈矩形，厂区大门位于厂区北侧，主要构筑物包括生产组装车间、加工车间、车间办公室、仓库、成品摆放区、半成品区等。厂区中部设置有消防通道（消防通道路宽均≥4m），中部主干道与厂外道路相通，应急救援车辆、消防车辆能通达各主要危险源点，可以满足消防及应急救援的需要。厂区平面布置示意图见图2—1。</w:t>
      </w:r>
    </w:p>
    <w:p w14:paraId="439604E4">
      <w:pPr>
        <w:spacing w:before="42" w:line="350" w:lineRule="auto"/>
        <w:ind w:left="50" w:leftChars="0" w:right="102" w:hanging="50" w:firstLineChars="0"/>
        <w:jc w:val="center"/>
        <w:rPr>
          <w:rFonts w:hint="eastAsia" w:ascii="宋体" w:hAnsi="宋体" w:eastAsia="宋体" w:cs="宋体"/>
          <w:spacing w:val="0"/>
          <w:sz w:val="28"/>
          <w:szCs w:val="28"/>
        </w:rPr>
      </w:pPr>
      <w:r>
        <w:drawing>
          <wp:inline distT="0" distB="0" distL="114300" distR="114300">
            <wp:extent cx="5824220" cy="2014855"/>
            <wp:effectExtent l="0" t="0" r="1270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5824220" cy="2014855"/>
                    </a:xfrm>
                    <a:prstGeom prst="rect">
                      <a:avLst/>
                    </a:prstGeom>
                    <a:noFill/>
                    <a:ln>
                      <a:noFill/>
                    </a:ln>
                  </pic:spPr>
                </pic:pic>
              </a:graphicData>
            </a:graphic>
          </wp:inline>
        </w:drawing>
      </w:r>
    </w:p>
    <w:p w14:paraId="24A204E9">
      <w:pPr>
        <w:pStyle w:val="22"/>
        <w:ind w:left="0" w:leftChars="0" w:firstLine="0" w:firstLineChars="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图2-</w:t>
      </w:r>
      <w:r>
        <w:rPr>
          <w:rFonts w:hint="eastAsia" w:ascii="宋体" w:hAnsi="宋体" w:eastAsia="宋体" w:cs="宋体"/>
          <w:b/>
          <w:bCs/>
          <w:color w:val="auto"/>
          <w:sz w:val="24"/>
          <w:szCs w:val="24"/>
          <w:lang w:val="en-US" w:eastAsia="zh-CN"/>
        </w:rPr>
        <w:t>3平面布置</w:t>
      </w:r>
      <w:r>
        <w:rPr>
          <w:rFonts w:hint="eastAsia" w:ascii="宋体" w:hAnsi="宋体" w:eastAsia="宋体" w:cs="宋体"/>
          <w:b/>
          <w:bCs/>
          <w:color w:val="auto"/>
          <w:sz w:val="24"/>
          <w:szCs w:val="24"/>
        </w:rPr>
        <w:t>图</w:t>
      </w:r>
      <w:r>
        <w:rPr>
          <w:rFonts w:hint="eastAsia" w:ascii="宋体" w:hAnsi="宋体" w:eastAsia="宋体" w:cs="宋体"/>
          <w:b/>
          <w:bCs/>
          <w:color w:val="auto"/>
          <w:sz w:val="24"/>
          <w:szCs w:val="24"/>
          <w:lang w:val="en-US" w:eastAsia="zh-CN"/>
        </w:rPr>
        <w:t>示意图</w:t>
      </w:r>
    </w:p>
    <w:p w14:paraId="10A63744">
      <w:pPr>
        <w:pStyle w:val="22"/>
        <w:ind w:left="0" w:leftChars="0" w:firstLine="0" w:firstLineChars="0"/>
        <w:jc w:val="both"/>
        <w:rPr>
          <w:rFonts w:hint="eastAsia" w:ascii="宋体" w:hAnsi="宋体" w:eastAsia="宋体" w:cs="宋体"/>
          <w:b/>
          <w:bCs/>
          <w:color w:val="auto"/>
          <w:sz w:val="24"/>
          <w:szCs w:val="24"/>
          <w:lang w:val="en-US" w:eastAsia="zh-CN"/>
        </w:rPr>
      </w:pPr>
    </w:p>
    <w:p w14:paraId="0598EC1B">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14:textFill>
            <w14:solidFill>
              <w14:schemeClr w14:val="tx1"/>
            </w14:solidFill>
          </w14:textFill>
        </w:rPr>
      </w:pPr>
      <w:bookmarkStart w:id="143" w:name="_Toc31670"/>
      <w:bookmarkStart w:id="144" w:name="_Toc3812"/>
      <w:bookmarkStart w:id="145" w:name="_Toc29651"/>
      <w:bookmarkStart w:id="146" w:name="_Toc27043"/>
      <w:r>
        <w:rPr>
          <w:rFonts w:hint="eastAsia" w:ascii="宋体" w:hAnsi="宋体" w:eastAsia="宋体" w:cs="宋体"/>
          <w:snapToGrid w:val="0"/>
          <w:color w:val="000000" w:themeColor="text1"/>
          <w:kern w:val="0"/>
          <w:sz w:val="28"/>
          <w:szCs w:val="28"/>
          <w14:textFill>
            <w14:solidFill>
              <w14:schemeClr w14:val="tx1"/>
            </w14:solidFill>
          </w14:textFill>
        </w:rPr>
        <w:t>2.</w:t>
      </w:r>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3</w:t>
      </w:r>
      <w:r>
        <w:rPr>
          <w:rFonts w:hint="eastAsia" w:ascii="宋体" w:hAnsi="宋体" w:eastAsia="宋体" w:cs="宋体"/>
          <w:snapToGrid w:val="0"/>
          <w:color w:val="000000" w:themeColor="text1"/>
          <w:kern w:val="0"/>
          <w:sz w:val="28"/>
          <w:szCs w:val="28"/>
          <w14:textFill>
            <w14:solidFill>
              <w14:schemeClr w14:val="tx1"/>
            </w14:solidFill>
          </w14:textFill>
        </w:rPr>
        <w:t>.</w:t>
      </w:r>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2</w:t>
      </w:r>
      <w:r>
        <w:rPr>
          <w:rFonts w:hint="eastAsia" w:ascii="宋体" w:hAnsi="宋体" w:eastAsia="宋体" w:cs="宋体"/>
          <w:snapToGrid w:val="0"/>
          <w:color w:val="000000" w:themeColor="text1"/>
          <w:kern w:val="0"/>
          <w:sz w:val="28"/>
          <w:szCs w:val="28"/>
          <w14:textFill>
            <w14:solidFill>
              <w14:schemeClr w14:val="tx1"/>
            </w14:solidFill>
          </w14:textFill>
        </w:rPr>
        <w:t xml:space="preserve"> 主要建（构）筑物防火间距</w:t>
      </w:r>
      <w:bookmarkEnd w:id="143"/>
      <w:bookmarkEnd w:id="144"/>
      <w:bookmarkEnd w:id="145"/>
      <w:bookmarkEnd w:id="146"/>
    </w:p>
    <w:p w14:paraId="4273CD72">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napToGrid w:val="0"/>
          <w:color w:val="000000" w:themeColor="text1"/>
          <w:kern w:val="0"/>
          <w:sz w:val="28"/>
          <w:lang w:val="en-US" w:eastAsia="zh-CN"/>
          <w14:textFill>
            <w14:solidFill>
              <w14:schemeClr w14:val="tx1"/>
            </w14:solidFill>
          </w14:textFill>
        </w:rPr>
      </w:pPr>
      <w:r>
        <w:rPr>
          <w:rFonts w:hint="eastAsia" w:ascii="宋体" w:hAnsi="宋体" w:eastAsia="宋体" w:cs="宋体"/>
          <w:snapToGrid w:val="0"/>
          <w:color w:val="000000" w:themeColor="text1"/>
          <w:kern w:val="0"/>
          <w:sz w:val="28"/>
          <w:lang w:val="en-US" w:eastAsia="zh-CN"/>
          <w14:textFill>
            <w14:solidFill>
              <w14:schemeClr w14:val="tx1"/>
            </w14:solidFill>
          </w14:textFill>
        </w:rPr>
        <w:t>根据《建筑设计防火规范（2018年版）》（GB50016-2014），本项目厂区内主要建（构）筑物有生产装配区、仓库区、办公室等，生产装配区为</w:t>
      </w:r>
      <w:r>
        <w:rPr>
          <w:rFonts w:hint="eastAsia" w:hAnsi="宋体" w:cs="宋体"/>
          <w:snapToGrid w:val="0"/>
          <w:color w:val="000000" w:themeColor="text1"/>
          <w:kern w:val="0"/>
          <w:sz w:val="28"/>
          <w:lang w:val="en-US" w:eastAsia="zh-CN"/>
          <w14:textFill>
            <w14:solidFill>
              <w14:schemeClr w14:val="tx1"/>
            </w14:solidFill>
          </w14:textFill>
        </w:rPr>
        <w:t>戊</w:t>
      </w:r>
      <w:r>
        <w:rPr>
          <w:rFonts w:hint="eastAsia" w:ascii="宋体" w:hAnsi="宋体" w:eastAsia="宋体" w:cs="宋体"/>
          <w:snapToGrid w:val="0"/>
          <w:color w:val="000000" w:themeColor="text1"/>
          <w:kern w:val="0"/>
          <w:sz w:val="28"/>
          <w:lang w:val="en-US" w:eastAsia="zh-CN"/>
          <w14:textFill>
            <w14:solidFill>
              <w14:schemeClr w14:val="tx1"/>
            </w14:solidFill>
          </w14:textFill>
        </w:rPr>
        <w:t>类，办公室为戊类，仓库区为</w:t>
      </w:r>
      <w:r>
        <w:rPr>
          <w:rFonts w:hint="eastAsia" w:hAnsi="宋体" w:cs="宋体"/>
          <w:snapToGrid w:val="0"/>
          <w:color w:val="000000" w:themeColor="text1"/>
          <w:kern w:val="0"/>
          <w:sz w:val="28"/>
          <w:lang w:val="en-US" w:eastAsia="zh-CN"/>
          <w14:textFill>
            <w14:solidFill>
              <w14:schemeClr w14:val="tx1"/>
            </w14:solidFill>
          </w14:textFill>
        </w:rPr>
        <w:t>戊</w:t>
      </w:r>
      <w:r>
        <w:rPr>
          <w:rFonts w:hint="eastAsia" w:ascii="宋体" w:hAnsi="宋体" w:eastAsia="宋体" w:cs="宋体"/>
          <w:snapToGrid w:val="0"/>
          <w:color w:val="000000" w:themeColor="text1"/>
          <w:kern w:val="0"/>
          <w:sz w:val="28"/>
          <w:lang w:val="en-US" w:eastAsia="zh-CN"/>
          <w14:textFill>
            <w14:solidFill>
              <w14:schemeClr w14:val="tx1"/>
            </w14:solidFill>
          </w14:textFill>
        </w:rPr>
        <w:t>类。各类建（构）筑物的耐火等级均为二类，防火间距满足规范要求，如下表2-</w:t>
      </w:r>
      <w:r>
        <w:rPr>
          <w:rFonts w:hint="eastAsia" w:hAnsi="宋体" w:cs="宋体"/>
          <w:snapToGrid w:val="0"/>
          <w:color w:val="000000" w:themeColor="text1"/>
          <w:kern w:val="0"/>
          <w:sz w:val="28"/>
          <w:lang w:val="en-US" w:eastAsia="zh-CN"/>
          <w14:textFill>
            <w14:solidFill>
              <w14:schemeClr w14:val="tx1"/>
            </w14:solidFill>
          </w14:textFill>
        </w:rPr>
        <w:t>4</w:t>
      </w:r>
      <w:r>
        <w:rPr>
          <w:rFonts w:hint="eastAsia" w:ascii="宋体" w:hAnsi="宋体" w:eastAsia="宋体" w:cs="宋体"/>
          <w:snapToGrid w:val="0"/>
          <w:color w:val="000000" w:themeColor="text1"/>
          <w:kern w:val="0"/>
          <w:sz w:val="28"/>
          <w:lang w:val="en-US" w:eastAsia="zh-CN"/>
          <w14:textFill>
            <w14:solidFill>
              <w14:schemeClr w14:val="tx1"/>
            </w14:solidFill>
          </w14:textFill>
        </w:rPr>
        <w:t>示。</w:t>
      </w:r>
    </w:p>
    <w:p w14:paraId="0DA070A0">
      <w:pPr>
        <w:pStyle w:val="16"/>
        <w:rPr>
          <w:rFonts w:hint="eastAsia" w:ascii="宋体" w:hAnsi="宋体" w:eastAsia="宋体" w:cs="宋体"/>
          <w:lang w:eastAsia="zh-CN"/>
        </w:rPr>
      </w:pPr>
    </w:p>
    <w:tbl>
      <w:tblPr>
        <w:tblStyle w:val="24"/>
        <w:tblW w:w="86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3135"/>
        <w:gridCol w:w="1332"/>
        <w:gridCol w:w="3069"/>
      </w:tblGrid>
      <w:tr w14:paraId="2B4CB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78" w:type="dxa"/>
            <w:noWrap/>
            <w:vAlign w:val="center"/>
          </w:tcPr>
          <w:p w14:paraId="09FEC7D7">
            <w:pPr>
              <w:widowControl/>
              <w:jc w:val="center"/>
              <w:rPr>
                <w:rFonts w:hint="eastAsia"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序号</w:t>
            </w:r>
          </w:p>
        </w:tc>
        <w:tc>
          <w:tcPr>
            <w:tcW w:w="3135" w:type="dxa"/>
            <w:noWrap/>
            <w:vAlign w:val="center"/>
          </w:tcPr>
          <w:p w14:paraId="0D7B26D4">
            <w:pPr>
              <w:widowControl/>
              <w:jc w:val="center"/>
              <w:rPr>
                <w:rFonts w:hint="eastAsia"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建筑物名称</w:t>
            </w:r>
          </w:p>
        </w:tc>
        <w:tc>
          <w:tcPr>
            <w:tcW w:w="1332" w:type="dxa"/>
            <w:noWrap w:val="0"/>
            <w:vAlign w:val="center"/>
          </w:tcPr>
          <w:p w14:paraId="7C332F86">
            <w:pPr>
              <w:widowControl/>
              <w:jc w:val="center"/>
              <w:rPr>
                <w:rFonts w:hint="eastAsia"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耐火等级</w:t>
            </w:r>
          </w:p>
        </w:tc>
        <w:tc>
          <w:tcPr>
            <w:tcW w:w="3069" w:type="dxa"/>
            <w:noWrap w:val="0"/>
            <w:vAlign w:val="center"/>
          </w:tcPr>
          <w:p w14:paraId="36F1830B">
            <w:pPr>
              <w:spacing w:line="276" w:lineRule="auto"/>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火灾危险性</w:t>
            </w:r>
          </w:p>
          <w:p w14:paraId="76C06F70">
            <w:pPr>
              <w:widowControl/>
              <w:jc w:val="center"/>
              <w:rPr>
                <w:rFonts w:hint="eastAsia"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依据《建筑设计防火规范[2018版]》（GB50016-2014）</w:t>
            </w:r>
          </w:p>
        </w:tc>
      </w:tr>
      <w:tr w14:paraId="44220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78" w:type="dxa"/>
            <w:noWrap/>
            <w:vAlign w:val="center"/>
          </w:tcPr>
          <w:p w14:paraId="02D3CCDF">
            <w:pPr>
              <w:widowControl/>
              <w:jc w:val="center"/>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w:t>
            </w:r>
          </w:p>
        </w:tc>
        <w:tc>
          <w:tcPr>
            <w:tcW w:w="3135" w:type="dxa"/>
            <w:noWrap/>
            <w:vAlign w:val="center"/>
          </w:tcPr>
          <w:p w14:paraId="71577081">
            <w:pPr>
              <w:widowControl/>
              <w:jc w:val="center"/>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eastAsia="宋体" w:cs="宋体"/>
                <w:color w:val="000000" w:themeColor="text1"/>
                <w:kern w:val="0"/>
                <w:szCs w:val="21"/>
                <w:lang w:val="en-US" w:eastAsia="zh-CN"/>
                <w14:textFill>
                  <w14:solidFill>
                    <w14:schemeClr w14:val="tx1"/>
                  </w14:solidFill>
                </w14:textFill>
              </w:rPr>
              <w:t>生产装配区</w:t>
            </w:r>
          </w:p>
        </w:tc>
        <w:tc>
          <w:tcPr>
            <w:tcW w:w="1332" w:type="dxa"/>
            <w:noWrap w:val="0"/>
            <w:vAlign w:val="top"/>
          </w:tcPr>
          <w:p w14:paraId="1D0187BA">
            <w:pPr>
              <w:widowControl/>
              <w:jc w:val="center"/>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二级</w:t>
            </w:r>
          </w:p>
        </w:tc>
        <w:tc>
          <w:tcPr>
            <w:tcW w:w="3069" w:type="dxa"/>
            <w:noWrap w:val="0"/>
            <w:vAlign w:val="top"/>
          </w:tcPr>
          <w:p w14:paraId="389F547E">
            <w:pPr>
              <w:widowControl/>
              <w:jc w:val="center"/>
              <w:rPr>
                <w:rFonts w:hint="eastAsia" w:ascii="宋体" w:hAnsi="宋体" w:eastAsia="宋体" w:cs="宋体"/>
                <w:color w:val="000000" w:themeColor="text1"/>
                <w:kern w:val="0"/>
                <w:szCs w:val="21"/>
                <w14:textFill>
                  <w14:solidFill>
                    <w14:schemeClr w14:val="tx1"/>
                  </w14:solidFill>
                </w14:textFill>
              </w:rPr>
            </w:pPr>
            <w:r>
              <w:rPr>
                <w:rFonts w:hint="eastAsia" w:hAnsi="宋体" w:cs="宋体"/>
                <w:color w:val="000000" w:themeColor="text1"/>
                <w:kern w:val="0"/>
                <w:szCs w:val="21"/>
                <w:lang w:val="en-US" w:eastAsia="zh-CN"/>
                <w14:textFill>
                  <w14:solidFill>
                    <w14:schemeClr w14:val="tx1"/>
                  </w14:solidFill>
                </w14:textFill>
              </w:rPr>
              <w:t>戊</w:t>
            </w:r>
            <w:r>
              <w:rPr>
                <w:rFonts w:hint="eastAsia" w:ascii="宋体" w:hAnsi="宋体" w:eastAsia="宋体" w:cs="宋体"/>
                <w:color w:val="000000" w:themeColor="text1"/>
                <w:kern w:val="0"/>
                <w:szCs w:val="21"/>
                <w14:textFill>
                  <w14:solidFill>
                    <w14:schemeClr w14:val="tx1"/>
                  </w14:solidFill>
                </w14:textFill>
              </w:rPr>
              <w:t>类</w:t>
            </w:r>
          </w:p>
        </w:tc>
      </w:tr>
      <w:tr w14:paraId="5451E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078" w:type="dxa"/>
            <w:noWrap/>
            <w:vAlign w:val="center"/>
          </w:tcPr>
          <w:p w14:paraId="4E5D6B28">
            <w:pPr>
              <w:widowControl/>
              <w:jc w:val="center"/>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eastAsia="宋体" w:cs="宋体"/>
                <w:color w:val="000000" w:themeColor="text1"/>
                <w:kern w:val="0"/>
                <w:szCs w:val="21"/>
                <w:lang w:val="en-US" w:eastAsia="zh-CN"/>
                <w14:textFill>
                  <w14:solidFill>
                    <w14:schemeClr w14:val="tx1"/>
                  </w14:solidFill>
                </w14:textFill>
              </w:rPr>
              <w:t>2</w:t>
            </w:r>
          </w:p>
        </w:tc>
        <w:tc>
          <w:tcPr>
            <w:tcW w:w="3135" w:type="dxa"/>
            <w:noWrap/>
            <w:vAlign w:val="center"/>
          </w:tcPr>
          <w:p w14:paraId="6A8A3BC0">
            <w:pPr>
              <w:widowControl/>
              <w:jc w:val="center"/>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hAnsi="宋体" w:cs="宋体"/>
                <w:color w:val="000000" w:themeColor="text1"/>
                <w:kern w:val="0"/>
                <w:szCs w:val="21"/>
                <w:lang w:val="en-US" w:eastAsia="zh-CN"/>
                <w14:textFill>
                  <w14:solidFill>
                    <w14:schemeClr w14:val="tx1"/>
                  </w14:solidFill>
                </w14:textFill>
              </w:rPr>
              <w:t>机加工区</w:t>
            </w:r>
          </w:p>
        </w:tc>
        <w:tc>
          <w:tcPr>
            <w:tcW w:w="1332" w:type="dxa"/>
            <w:noWrap w:val="0"/>
            <w:vAlign w:val="top"/>
          </w:tcPr>
          <w:p w14:paraId="32C12D3C">
            <w:pPr>
              <w:widowControl/>
              <w:jc w:val="center"/>
              <w:rPr>
                <w:rFonts w:hint="eastAsia" w:ascii="宋体" w:hAnsi="宋体" w:eastAsia="宋体" w:cs="宋体"/>
                <w:color w:val="000000" w:themeColor="text1"/>
                <w:kern w:val="0"/>
                <w:szCs w:val="21"/>
                <w:lang w:val="en-US" w:eastAsia="zh-CN"/>
                <w14:textFill>
                  <w14:solidFill>
                    <w14:schemeClr w14:val="tx1"/>
                  </w14:solidFill>
                </w14:textFill>
              </w:rPr>
            </w:pPr>
            <w:r>
              <w:rPr>
                <w:rFonts w:hint="eastAsia" w:hAnsi="宋体" w:cs="宋体"/>
                <w:color w:val="000000" w:themeColor="text1"/>
                <w:kern w:val="0"/>
                <w:szCs w:val="21"/>
                <w:lang w:val="en-US" w:eastAsia="zh-CN"/>
                <w14:textFill>
                  <w14:solidFill>
                    <w14:schemeClr w14:val="tx1"/>
                  </w14:solidFill>
                </w14:textFill>
              </w:rPr>
              <w:t>二级</w:t>
            </w:r>
          </w:p>
        </w:tc>
        <w:tc>
          <w:tcPr>
            <w:tcW w:w="3069" w:type="dxa"/>
            <w:noWrap w:val="0"/>
            <w:vAlign w:val="top"/>
          </w:tcPr>
          <w:p w14:paraId="61405E8D">
            <w:pPr>
              <w:widowControl/>
              <w:jc w:val="center"/>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hAnsi="宋体" w:cs="宋体"/>
                <w:color w:val="000000" w:themeColor="text1"/>
                <w:kern w:val="0"/>
                <w:szCs w:val="21"/>
                <w:lang w:val="en-US" w:eastAsia="zh-CN"/>
                <w14:textFill>
                  <w14:solidFill>
                    <w14:schemeClr w14:val="tx1"/>
                  </w14:solidFill>
                </w14:textFill>
              </w:rPr>
              <w:t>戊类</w:t>
            </w:r>
          </w:p>
        </w:tc>
      </w:tr>
      <w:tr w14:paraId="3F37B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078" w:type="dxa"/>
            <w:noWrap/>
            <w:vAlign w:val="center"/>
          </w:tcPr>
          <w:p w14:paraId="17666EF1">
            <w:pPr>
              <w:widowControl/>
              <w:jc w:val="center"/>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eastAsia="宋体" w:cs="宋体"/>
                <w:color w:val="000000" w:themeColor="text1"/>
                <w:kern w:val="0"/>
                <w:szCs w:val="21"/>
                <w:lang w:val="en-US" w:eastAsia="zh-CN"/>
                <w14:textFill>
                  <w14:solidFill>
                    <w14:schemeClr w14:val="tx1"/>
                  </w14:solidFill>
                </w14:textFill>
              </w:rPr>
              <w:t>3</w:t>
            </w:r>
          </w:p>
        </w:tc>
        <w:tc>
          <w:tcPr>
            <w:tcW w:w="3135" w:type="dxa"/>
            <w:shd w:val="clear" w:color="auto" w:fill="auto"/>
            <w:noWrap/>
            <w:vAlign w:val="center"/>
          </w:tcPr>
          <w:p w14:paraId="68A1C9C7">
            <w:pPr>
              <w:widowControl/>
              <w:jc w:val="center"/>
              <w:rPr>
                <w:rFonts w:hint="default" w:ascii="宋体" w:hAnsi="宋体" w:eastAsia="宋体" w:cs="宋体"/>
                <w:color w:val="000000" w:themeColor="text1"/>
                <w:kern w:val="0"/>
                <w:sz w:val="24"/>
                <w:szCs w:val="21"/>
                <w:lang w:val="en-US" w:eastAsia="zh-CN" w:bidi="ar-SA"/>
                <w14:textFill>
                  <w14:solidFill>
                    <w14:schemeClr w14:val="tx1"/>
                  </w14:solidFill>
                </w14:textFill>
              </w:rPr>
            </w:pPr>
            <w:r>
              <w:rPr>
                <w:rFonts w:hint="eastAsia" w:ascii="宋体" w:hAnsi="宋体" w:eastAsia="宋体" w:cs="宋体"/>
                <w:color w:val="000000" w:themeColor="text1"/>
                <w:kern w:val="0"/>
                <w:szCs w:val="21"/>
                <w:lang w:val="en-US" w:eastAsia="zh-CN"/>
                <w14:textFill>
                  <w14:solidFill>
                    <w14:schemeClr w14:val="tx1"/>
                  </w14:solidFill>
                </w14:textFill>
              </w:rPr>
              <w:t>办公室</w:t>
            </w:r>
          </w:p>
        </w:tc>
        <w:tc>
          <w:tcPr>
            <w:tcW w:w="1332" w:type="dxa"/>
            <w:shd w:val="clear" w:color="auto" w:fill="auto"/>
            <w:noWrap w:val="0"/>
            <w:vAlign w:val="top"/>
          </w:tcPr>
          <w:p w14:paraId="3F1F34B5">
            <w:pPr>
              <w:widowControl/>
              <w:jc w:val="center"/>
              <w:rPr>
                <w:rFonts w:hint="eastAsia" w:ascii="宋体" w:hAnsi="宋体" w:eastAsia="宋体" w:cs="宋体"/>
                <w:color w:val="000000" w:themeColor="text1"/>
                <w:kern w:val="0"/>
                <w:sz w:val="24"/>
                <w:szCs w:val="21"/>
                <w:lang w:val="en-US" w:eastAsia="zh-CN" w:bidi="ar-SA"/>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二级</w:t>
            </w:r>
          </w:p>
        </w:tc>
        <w:tc>
          <w:tcPr>
            <w:tcW w:w="3069" w:type="dxa"/>
            <w:shd w:val="clear" w:color="auto" w:fill="auto"/>
            <w:noWrap w:val="0"/>
            <w:vAlign w:val="top"/>
          </w:tcPr>
          <w:p w14:paraId="01725BA4">
            <w:pPr>
              <w:widowControl/>
              <w:jc w:val="center"/>
              <w:rPr>
                <w:rFonts w:hint="eastAsia" w:ascii="宋体" w:hAnsi="宋体" w:eastAsia="宋体" w:cs="宋体"/>
                <w:color w:val="000000" w:themeColor="text1"/>
                <w:kern w:val="0"/>
                <w:sz w:val="24"/>
                <w:szCs w:val="21"/>
                <w:lang w:val="en-US" w:eastAsia="zh-CN" w:bidi="ar-SA"/>
                <w14:textFill>
                  <w14:solidFill>
                    <w14:schemeClr w14:val="tx1"/>
                  </w14:solidFill>
                </w14:textFill>
              </w:rPr>
            </w:pPr>
            <w:r>
              <w:rPr>
                <w:rFonts w:hint="eastAsia" w:ascii="宋体" w:hAnsi="宋体" w:eastAsia="宋体" w:cs="宋体"/>
                <w:color w:val="000000" w:themeColor="text1"/>
                <w:kern w:val="0"/>
                <w:szCs w:val="21"/>
                <w:lang w:val="en-US" w:eastAsia="zh-CN"/>
                <w14:textFill>
                  <w14:solidFill>
                    <w14:schemeClr w14:val="tx1"/>
                  </w14:solidFill>
                </w14:textFill>
              </w:rPr>
              <w:t>戊类</w:t>
            </w:r>
          </w:p>
        </w:tc>
      </w:tr>
      <w:tr w14:paraId="20DE6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078" w:type="dxa"/>
            <w:noWrap/>
            <w:vAlign w:val="center"/>
          </w:tcPr>
          <w:p w14:paraId="4A34CC45">
            <w:pPr>
              <w:widowControl/>
              <w:jc w:val="center"/>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hAnsi="宋体" w:cs="宋体"/>
                <w:color w:val="000000" w:themeColor="text1"/>
                <w:kern w:val="0"/>
                <w:szCs w:val="21"/>
                <w:lang w:val="en-US" w:eastAsia="zh-CN"/>
                <w14:textFill>
                  <w14:solidFill>
                    <w14:schemeClr w14:val="tx1"/>
                  </w14:solidFill>
                </w14:textFill>
              </w:rPr>
              <w:t>4</w:t>
            </w:r>
          </w:p>
        </w:tc>
        <w:tc>
          <w:tcPr>
            <w:tcW w:w="3135" w:type="dxa"/>
            <w:shd w:val="clear" w:color="auto" w:fill="auto"/>
            <w:noWrap/>
            <w:vAlign w:val="center"/>
          </w:tcPr>
          <w:p w14:paraId="238851AE">
            <w:pPr>
              <w:widowControl/>
              <w:jc w:val="center"/>
              <w:rPr>
                <w:rFonts w:hint="eastAsia" w:ascii="宋体" w:hAnsi="宋体" w:eastAsia="宋体" w:cs="宋体"/>
                <w:color w:val="000000" w:themeColor="text1"/>
                <w:kern w:val="0"/>
                <w:sz w:val="24"/>
                <w:szCs w:val="21"/>
                <w:lang w:val="en-US" w:eastAsia="zh-CN" w:bidi="ar-SA"/>
                <w14:textFill>
                  <w14:solidFill>
                    <w14:schemeClr w14:val="tx1"/>
                  </w14:solidFill>
                </w14:textFill>
              </w:rPr>
            </w:pPr>
            <w:r>
              <w:rPr>
                <w:rFonts w:hint="eastAsia" w:ascii="宋体" w:hAnsi="宋体" w:eastAsia="宋体" w:cs="宋体"/>
                <w:color w:val="000000" w:themeColor="text1"/>
                <w:kern w:val="0"/>
                <w:szCs w:val="21"/>
                <w:lang w:val="en-US" w:eastAsia="zh-CN"/>
                <w14:textFill>
                  <w14:solidFill>
                    <w14:schemeClr w14:val="tx1"/>
                  </w14:solidFill>
                </w14:textFill>
              </w:rPr>
              <w:t>仓库区</w:t>
            </w:r>
          </w:p>
        </w:tc>
        <w:tc>
          <w:tcPr>
            <w:tcW w:w="1332" w:type="dxa"/>
            <w:shd w:val="clear" w:color="auto" w:fill="auto"/>
            <w:noWrap w:val="0"/>
            <w:vAlign w:val="top"/>
          </w:tcPr>
          <w:p w14:paraId="57EC60CD">
            <w:pPr>
              <w:widowControl/>
              <w:jc w:val="center"/>
              <w:rPr>
                <w:rFonts w:hint="eastAsia" w:ascii="宋体" w:hAnsi="宋体" w:eastAsia="宋体" w:cs="宋体"/>
                <w:color w:val="000000" w:themeColor="text1"/>
                <w:kern w:val="0"/>
                <w:sz w:val="24"/>
                <w:szCs w:val="21"/>
                <w:lang w:val="en-US" w:eastAsia="zh-CN" w:bidi="ar-SA"/>
                <w14:textFill>
                  <w14:solidFill>
                    <w14:schemeClr w14:val="tx1"/>
                  </w14:solidFill>
                </w14:textFill>
              </w:rPr>
            </w:pPr>
            <w:r>
              <w:rPr>
                <w:rFonts w:hint="eastAsia" w:ascii="宋体" w:hAnsi="宋体" w:eastAsia="宋体" w:cs="宋体"/>
                <w:color w:val="000000" w:themeColor="text1"/>
                <w:kern w:val="0"/>
                <w:szCs w:val="21"/>
                <w:lang w:val="en-US" w:eastAsia="zh-CN"/>
                <w14:textFill>
                  <w14:solidFill>
                    <w14:schemeClr w14:val="tx1"/>
                  </w14:solidFill>
                </w14:textFill>
              </w:rPr>
              <w:t>二级</w:t>
            </w:r>
          </w:p>
        </w:tc>
        <w:tc>
          <w:tcPr>
            <w:tcW w:w="3069" w:type="dxa"/>
            <w:shd w:val="clear" w:color="auto" w:fill="auto"/>
            <w:noWrap w:val="0"/>
            <w:vAlign w:val="top"/>
          </w:tcPr>
          <w:p w14:paraId="60706510">
            <w:pPr>
              <w:widowControl/>
              <w:jc w:val="center"/>
              <w:rPr>
                <w:rFonts w:hint="eastAsia" w:ascii="宋体" w:hAnsi="宋体" w:eastAsia="宋体" w:cs="宋体"/>
                <w:color w:val="000000" w:themeColor="text1"/>
                <w:kern w:val="0"/>
                <w:sz w:val="24"/>
                <w:szCs w:val="21"/>
                <w:lang w:val="en-US" w:eastAsia="zh-CN" w:bidi="ar-SA"/>
                <w14:textFill>
                  <w14:solidFill>
                    <w14:schemeClr w14:val="tx1"/>
                  </w14:solidFill>
                </w14:textFill>
              </w:rPr>
            </w:pPr>
            <w:r>
              <w:rPr>
                <w:rFonts w:hint="eastAsia" w:hAnsi="宋体" w:cs="宋体"/>
                <w:color w:val="000000" w:themeColor="text1"/>
                <w:kern w:val="0"/>
                <w:szCs w:val="21"/>
                <w:lang w:val="en-US" w:eastAsia="zh-CN"/>
                <w14:textFill>
                  <w14:solidFill>
                    <w14:schemeClr w14:val="tx1"/>
                  </w14:solidFill>
                </w14:textFill>
              </w:rPr>
              <w:t>戊</w:t>
            </w:r>
            <w:r>
              <w:rPr>
                <w:rFonts w:hint="eastAsia" w:ascii="宋体" w:hAnsi="宋体" w:eastAsia="宋体" w:cs="宋体"/>
                <w:color w:val="000000" w:themeColor="text1"/>
                <w:kern w:val="0"/>
                <w:szCs w:val="21"/>
                <w:lang w:val="en-US" w:eastAsia="zh-CN"/>
                <w14:textFill>
                  <w14:solidFill>
                    <w14:schemeClr w14:val="tx1"/>
                  </w14:solidFill>
                </w14:textFill>
              </w:rPr>
              <w:t>类</w:t>
            </w:r>
          </w:p>
        </w:tc>
      </w:tr>
      <w:tr w14:paraId="23D1C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078" w:type="dxa"/>
            <w:noWrap/>
            <w:vAlign w:val="center"/>
          </w:tcPr>
          <w:p w14:paraId="63BC4A6C">
            <w:pPr>
              <w:widowControl/>
              <w:jc w:val="center"/>
              <w:rPr>
                <w:rFonts w:hint="default" w:hAnsi="宋体" w:cs="宋体"/>
                <w:color w:val="000000" w:themeColor="text1"/>
                <w:kern w:val="0"/>
                <w:szCs w:val="21"/>
                <w:lang w:val="en-US" w:eastAsia="zh-CN"/>
                <w14:textFill>
                  <w14:solidFill>
                    <w14:schemeClr w14:val="tx1"/>
                  </w14:solidFill>
                </w14:textFill>
              </w:rPr>
            </w:pPr>
            <w:r>
              <w:rPr>
                <w:rFonts w:hint="eastAsia" w:hAnsi="宋体" w:cs="宋体"/>
                <w:color w:val="000000" w:themeColor="text1"/>
                <w:kern w:val="0"/>
                <w:szCs w:val="21"/>
                <w:lang w:val="en-US" w:eastAsia="zh-CN"/>
                <w14:textFill>
                  <w14:solidFill>
                    <w14:schemeClr w14:val="tx1"/>
                  </w14:solidFill>
                </w14:textFill>
              </w:rPr>
              <w:t>5</w:t>
            </w:r>
          </w:p>
        </w:tc>
        <w:tc>
          <w:tcPr>
            <w:tcW w:w="3135" w:type="dxa"/>
            <w:shd w:val="clear" w:color="auto" w:fill="auto"/>
            <w:noWrap/>
            <w:vAlign w:val="center"/>
          </w:tcPr>
          <w:p w14:paraId="258DD38E">
            <w:pPr>
              <w:widowControl/>
              <w:jc w:val="center"/>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hAnsi="宋体" w:cs="宋体"/>
                <w:color w:val="000000" w:themeColor="text1"/>
                <w:kern w:val="0"/>
                <w:szCs w:val="21"/>
                <w:lang w:val="en-US" w:eastAsia="zh-CN"/>
                <w14:textFill>
                  <w14:solidFill>
                    <w14:schemeClr w14:val="tx1"/>
                  </w14:solidFill>
                </w14:textFill>
              </w:rPr>
              <w:t>成品区</w:t>
            </w:r>
          </w:p>
        </w:tc>
        <w:tc>
          <w:tcPr>
            <w:tcW w:w="1332" w:type="dxa"/>
            <w:shd w:val="clear" w:color="auto" w:fill="auto"/>
            <w:noWrap w:val="0"/>
            <w:vAlign w:val="top"/>
          </w:tcPr>
          <w:p w14:paraId="534BB4A1">
            <w:pPr>
              <w:widowControl/>
              <w:jc w:val="center"/>
              <w:rPr>
                <w:rFonts w:hint="eastAsia" w:ascii="宋体" w:hAnsi="宋体" w:eastAsia="宋体" w:cs="宋体"/>
                <w:color w:val="000000" w:themeColor="text1"/>
                <w:kern w:val="0"/>
                <w:sz w:val="24"/>
                <w:szCs w:val="21"/>
                <w:lang w:val="en-US" w:eastAsia="zh-CN" w:bidi="ar-SA"/>
                <w14:textFill>
                  <w14:solidFill>
                    <w14:schemeClr w14:val="tx1"/>
                  </w14:solidFill>
                </w14:textFill>
              </w:rPr>
            </w:pPr>
            <w:r>
              <w:rPr>
                <w:rFonts w:hint="eastAsia" w:ascii="宋体" w:hAnsi="宋体" w:eastAsia="宋体" w:cs="宋体"/>
                <w:color w:val="000000" w:themeColor="text1"/>
                <w:kern w:val="0"/>
                <w:szCs w:val="21"/>
                <w:lang w:val="en-US" w:eastAsia="zh-CN"/>
                <w14:textFill>
                  <w14:solidFill>
                    <w14:schemeClr w14:val="tx1"/>
                  </w14:solidFill>
                </w14:textFill>
              </w:rPr>
              <w:t>二级</w:t>
            </w:r>
          </w:p>
        </w:tc>
        <w:tc>
          <w:tcPr>
            <w:tcW w:w="3069" w:type="dxa"/>
            <w:shd w:val="clear" w:color="auto" w:fill="auto"/>
            <w:noWrap w:val="0"/>
            <w:vAlign w:val="top"/>
          </w:tcPr>
          <w:p w14:paraId="532E43B7">
            <w:pPr>
              <w:widowControl/>
              <w:jc w:val="center"/>
              <w:rPr>
                <w:rFonts w:hint="eastAsia" w:ascii="宋体" w:hAnsi="宋体" w:eastAsia="宋体" w:cs="宋体"/>
                <w:color w:val="000000" w:themeColor="text1"/>
                <w:kern w:val="0"/>
                <w:sz w:val="24"/>
                <w:szCs w:val="21"/>
                <w:lang w:val="en-US" w:eastAsia="zh-CN" w:bidi="ar-SA"/>
                <w14:textFill>
                  <w14:solidFill>
                    <w14:schemeClr w14:val="tx1"/>
                  </w14:solidFill>
                </w14:textFill>
              </w:rPr>
            </w:pPr>
            <w:r>
              <w:rPr>
                <w:rFonts w:hint="eastAsia" w:hAnsi="宋体" w:cs="宋体"/>
                <w:color w:val="000000" w:themeColor="text1"/>
                <w:kern w:val="0"/>
                <w:szCs w:val="21"/>
                <w:lang w:val="en-US" w:eastAsia="zh-CN"/>
                <w14:textFill>
                  <w14:solidFill>
                    <w14:schemeClr w14:val="tx1"/>
                  </w14:solidFill>
                </w14:textFill>
              </w:rPr>
              <w:t>戊</w:t>
            </w:r>
            <w:r>
              <w:rPr>
                <w:rFonts w:hint="eastAsia" w:ascii="宋体" w:hAnsi="宋体" w:eastAsia="宋体" w:cs="宋体"/>
                <w:color w:val="000000" w:themeColor="text1"/>
                <w:kern w:val="0"/>
                <w:szCs w:val="21"/>
                <w:lang w:val="en-US" w:eastAsia="zh-CN"/>
                <w14:textFill>
                  <w14:solidFill>
                    <w14:schemeClr w14:val="tx1"/>
                  </w14:solidFill>
                </w14:textFill>
              </w:rPr>
              <w:t>类</w:t>
            </w:r>
          </w:p>
        </w:tc>
      </w:tr>
    </w:tbl>
    <w:p w14:paraId="306C9A55">
      <w:pPr>
        <w:bidi w:val="0"/>
        <w:rPr>
          <w:rFonts w:hint="eastAsia" w:ascii="宋体" w:hAnsi="宋体" w:eastAsia="宋体" w:cs="宋体"/>
          <w:lang w:eastAsia="zh-CN"/>
        </w:rPr>
      </w:pPr>
    </w:p>
    <w:p w14:paraId="1F0BF473">
      <w:pPr>
        <w:pStyle w:val="7"/>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 xml:space="preserve">表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STYLEREF 1 \s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sz w:val="21"/>
          <w:szCs w:val="21"/>
          <w:lang w:eastAsia="zh-CN"/>
        </w:rPr>
        <w:t>-</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SEQ 表 \* ARABIC \s 1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主要</w:t>
      </w:r>
      <w:r>
        <w:rPr>
          <w:rFonts w:hint="eastAsia" w:ascii="宋体" w:hAnsi="宋体" w:eastAsia="宋体" w:cs="宋体"/>
          <w:sz w:val="21"/>
          <w:szCs w:val="21"/>
          <w:lang w:eastAsia="zh-CN"/>
        </w:rPr>
        <w:t>建（</w:t>
      </w:r>
      <w:r>
        <w:rPr>
          <w:rFonts w:hint="eastAsia" w:ascii="宋体" w:hAnsi="宋体" w:eastAsia="宋体" w:cs="宋体"/>
          <w:sz w:val="21"/>
          <w:szCs w:val="21"/>
          <w:lang w:val="en-US" w:eastAsia="zh-CN"/>
        </w:rPr>
        <w:t>构</w:t>
      </w:r>
      <w:r>
        <w:rPr>
          <w:rFonts w:hint="eastAsia" w:ascii="宋体" w:hAnsi="宋体" w:eastAsia="宋体" w:cs="宋体"/>
          <w:sz w:val="21"/>
          <w:szCs w:val="21"/>
          <w:lang w:eastAsia="zh-CN"/>
        </w:rPr>
        <w:t>）筑</w:t>
      </w:r>
      <w:r>
        <w:rPr>
          <w:rFonts w:hint="eastAsia" w:ascii="宋体" w:hAnsi="宋体" w:eastAsia="宋体" w:cs="宋体"/>
          <w:sz w:val="21"/>
          <w:szCs w:val="21"/>
          <w:lang w:val="en-US" w:eastAsia="zh-CN"/>
        </w:rPr>
        <w:t>物防火间距</w:t>
      </w:r>
      <w:r>
        <w:rPr>
          <w:rFonts w:hint="eastAsia" w:ascii="宋体" w:hAnsi="宋体" w:eastAsia="宋体" w:cs="宋体"/>
          <w:sz w:val="21"/>
          <w:szCs w:val="21"/>
          <w:lang w:eastAsia="zh-CN"/>
        </w:rPr>
        <w:t>表（</w:t>
      </w:r>
      <w:r>
        <w:rPr>
          <w:rFonts w:hint="eastAsia" w:ascii="宋体" w:hAnsi="宋体" w:eastAsia="宋体" w:cs="宋体"/>
          <w:sz w:val="21"/>
          <w:szCs w:val="21"/>
          <w:lang w:val="en-US" w:eastAsia="zh-CN"/>
        </w:rPr>
        <w:t>单位：m</w:t>
      </w:r>
      <w:r>
        <w:rPr>
          <w:rFonts w:hint="eastAsia" w:ascii="宋体" w:hAnsi="宋体" w:eastAsia="宋体" w:cs="宋体"/>
          <w:sz w:val="21"/>
          <w:szCs w:val="21"/>
          <w:lang w:eastAsia="zh-CN"/>
        </w:rPr>
        <w:t>）</w:t>
      </w:r>
    </w:p>
    <w:tbl>
      <w:tblPr>
        <w:tblStyle w:val="24"/>
        <w:tblW w:w="45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5"/>
        <w:gridCol w:w="2208"/>
        <w:gridCol w:w="905"/>
        <w:gridCol w:w="902"/>
        <w:gridCol w:w="789"/>
        <w:gridCol w:w="2293"/>
      </w:tblGrid>
      <w:tr w14:paraId="5606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pct"/>
            <w:noWrap w:val="0"/>
            <w:vAlign w:val="center"/>
          </w:tcPr>
          <w:p w14:paraId="0A0B142D">
            <w:pPr>
              <w:jc w:val="center"/>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建（构）物名称</w:t>
            </w:r>
          </w:p>
        </w:tc>
        <w:tc>
          <w:tcPr>
            <w:tcW w:w="1300" w:type="pct"/>
            <w:noWrap w:val="0"/>
            <w:vAlign w:val="center"/>
          </w:tcPr>
          <w:p w14:paraId="36A83195">
            <w:pPr>
              <w:jc w:val="center"/>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周边建（筑）物</w:t>
            </w:r>
          </w:p>
        </w:tc>
        <w:tc>
          <w:tcPr>
            <w:tcW w:w="532" w:type="pct"/>
            <w:noWrap w:val="0"/>
            <w:vAlign w:val="center"/>
          </w:tcPr>
          <w:p w14:paraId="4A8FD820">
            <w:pPr>
              <w:jc w:val="center"/>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规范要求（m）</w:t>
            </w:r>
          </w:p>
        </w:tc>
        <w:tc>
          <w:tcPr>
            <w:tcW w:w="531" w:type="pct"/>
            <w:shd w:val="clear" w:color="auto" w:fill="auto"/>
            <w:noWrap w:val="0"/>
            <w:vAlign w:val="center"/>
          </w:tcPr>
          <w:p w14:paraId="5A978040">
            <w:pPr>
              <w:jc w:val="center"/>
              <w:rPr>
                <w:rFonts w:hint="eastAsia" w:ascii="宋体" w:hAnsi="宋体" w:eastAsia="宋体" w:cs="宋体"/>
                <w:b/>
                <w:color w:val="000000" w:themeColor="text1"/>
                <w:sz w:val="24"/>
                <w:lang w:val="en-US" w:eastAsia="zh-CN" w:bidi="ar-SA"/>
                <w14:textFill>
                  <w14:solidFill>
                    <w14:schemeClr w14:val="tx1"/>
                  </w14:solidFill>
                </w14:textFill>
              </w:rPr>
            </w:pPr>
            <w:r>
              <w:rPr>
                <w:rFonts w:hint="eastAsia" w:ascii="宋体" w:hAnsi="宋体" w:eastAsia="宋体" w:cs="宋体"/>
                <w:b/>
                <w:color w:val="000000" w:themeColor="text1"/>
                <w:lang w:val="en-US" w:eastAsia="zh-CN"/>
                <w14:textFill>
                  <w14:solidFill>
                    <w14:schemeClr w14:val="tx1"/>
                  </w14:solidFill>
                </w14:textFill>
              </w:rPr>
              <w:t>实际</w:t>
            </w:r>
            <w:r>
              <w:rPr>
                <w:rFonts w:hint="eastAsia" w:ascii="宋体" w:hAnsi="宋体" w:eastAsia="宋体" w:cs="宋体"/>
                <w:b/>
                <w:color w:val="000000" w:themeColor="text1"/>
                <w14:textFill>
                  <w14:solidFill>
                    <w14:schemeClr w14:val="tx1"/>
                  </w14:solidFill>
                </w14:textFill>
              </w:rPr>
              <w:t>距离（m）</w:t>
            </w:r>
          </w:p>
        </w:tc>
        <w:tc>
          <w:tcPr>
            <w:tcW w:w="464" w:type="pct"/>
            <w:noWrap w:val="0"/>
            <w:vAlign w:val="center"/>
          </w:tcPr>
          <w:p w14:paraId="0F6D4AE4">
            <w:pPr>
              <w:jc w:val="center"/>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结论</w:t>
            </w:r>
          </w:p>
        </w:tc>
        <w:tc>
          <w:tcPr>
            <w:tcW w:w="1350" w:type="pct"/>
            <w:noWrap w:val="0"/>
            <w:vAlign w:val="center"/>
          </w:tcPr>
          <w:p w14:paraId="436D2532">
            <w:pPr>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《建筑设计防火规范[2018版]》（GB50016-2014）条文号</w:t>
            </w:r>
          </w:p>
        </w:tc>
      </w:tr>
      <w:tr w14:paraId="34FC0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pct"/>
            <w:vMerge w:val="restart"/>
            <w:noWrap w:val="0"/>
            <w:vAlign w:val="center"/>
          </w:tcPr>
          <w:p w14:paraId="30593D95">
            <w:pPr>
              <w:jc w:val="center"/>
              <w:rPr>
                <w:rFonts w:hint="default" w:ascii="宋体" w:hAnsi="宋体" w:eastAsia="宋体" w:cs="宋体"/>
                <w:b/>
                <w:color w:val="000000" w:themeColor="text1"/>
                <w:lang w:val="en-US" w:eastAsia="zh-CN"/>
                <w14:textFill>
                  <w14:solidFill>
                    <w14:schemeClr w14:val="tx1"/>
                  </w14:solidFill>
                </w14:textFill>
              </w:rPr>
            </w:pPr>
            <w:r>
              <w:rPr>
                <w:rFonts w:hint="eastAsia" w:hAnsi="宋体" w:cs="宋体"/>
                <w:b w:val="0"/>
                <w:bCs/>
                <w:color w:val="000000" w:themeColor="text1"/>
                <w:lang w:val="en-US" w:eastAsia="zh-CN"/>
                <w14:textFill>
                  <w14:solidFill>
                    <w14:schemeClr w14:val="tx1"/>
                  </w14:solidFill>
                </w14:textFill>
              </w:rPr>
              <w:t>装配区</w:t>
            </w:r>
          </w:p>
        </w:tc>
        <w:tc>
          <w:tcPr>
            <w:tcW w:w="1300" w:type="pct"/>
            <w:noWrap w:val="0"/>
            <w:vAlign w:val="top"/>
          </w:tcPr>
          <w:p w14:paraId="1927FE9F">
            <w:pPr>
              <w:jc w:val="center"/>
              <w:rPr>
                <w:rFonts w:hint="eastAsia" w:ascii="宋体" w:hAnsi="宋体" w:eastAsia="宋体" w:cs="宋体"/>
                <w:b/>
                <w:color w:val="000000" w:themeColor="text1"/>
                <w:lang w:val="en-US" w:eastAsia="zh-CN"/>
                <w14:textFill>
                  <w14:solidFill>
                    <w14:schemeClr w14:val="tx1"/>
                  </w14:solidFill>
                </w14:textFill>
              </w:rPr>
            </w:pPr>
            <w:r>
              <w:rPr>
                <w:rFonts w:hint="eastAsia" w:ascii="宋体" w:hAnsi="宋体" w:eastAsia="宋体" w:cs="宋体"/>
                <w:b w:val="0"/>
                <w:bCs/>
                <w:color w:val="000000" w:themeColor="text1"/>
                <w:lang w:val="en-US" w:eastAsia="zh-CN"/>
                <w14:textFill>
                  <w14:solidFill>
                    <w14:schemeClr w14:val="tx1"/>
                  </w14:solidFill>
                </w14:textFill>
              </w:rPr>
              <w:t>加工区</w:t>
            </w:r>
          </w:p>
        </w:tc>
        <w:tc>
          <w:tcPr>
            <w:tcW w:w="532" w:type="pct"/>
            <w:noWrap w:val="0"/>
            <w:vAlign w:val="center"/>
          </w:tcPr>
          <w:p w14:paraId="4382F3BA">
            <w:pPr>
              <w:jc w:val="center"/>
              <w:rPr>
                <w:rFonts w:hint="eastAsia" w:ascii="宋体" w:hAnsi="宋体" w:eastAsia="宋体" w:cs="宋体"/>
                <w:b/>
                <w:color w:val="000000" w:themeColor="text1"/>
                <w:lang w:val="en-US" w:eastAsia="zh-CN"/>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10</w:t>
            </w:r>
          </w:p>
        </w:tc>
        <w:tc>
          <w:tcPr>
            <w:tcW w:w="531" w:type="pct"/>
            <w:shd w:val="clear" w:color="auto" w:fill="auto"/>
            <w:noWrap w:val="0"/>
            <w:vAlign w:val="center"/>
          </w:tcPr>
          <w:p w14:paraId="7117D446">
            <w:pPr>
              <w:jc w:val="center"/>
              <w:rPr>
                <w:rFonts w:hint="eastAsia" w:ascii="宋体" w:hAnsi="宋体" w:eastAsia="宋体" w:cs="宋体"/>
                <w:b/>
                <w:color w:val="000000" w:themeColor="text1"/>
                <w:sz w:val="24"/>
                <w:lang w:val="en-US" w:eastAsia="zh-CN" w:bidi="ar-SA"/>
                <w14:textFill>
                  <w14:solidFill>
                    <w14:schemeClr w14:val="tx1"/>
                  </w14:solidFill>
                </w14:textFill>
              </w:rPr>
            </w:pPr>
            <w:r>
              <w:rPr>
                <w:rFonts w:hint="eastAsia" w:ascii="宋体" w:hAnsi="宋体" w:eastAsia="宋体" w:cs="宋体"/>
                <w:b/>
                <w:color w:val="000000" w:themeColor="text1"/>
                <w:lang w:val="en-US" w:eastAsia="zh-CN"/>
                <w14:textFill>
                  <w14:solidFill>
                    <w14:schemeClr w14:val="tx1"/>
                  </w14:solidFill>
                </w14:textFill>
              </w:rPr>
              <w:t>15</w:t>
            </w:r>
          </w:p>
        </w:tc>
        <w:tc>
          <w:tcPr>
            <w:tcW w:w="464" w:type="pct"/>
            <w:noWrap w:val="0"/>
            <w:vAlign w:val="top"/>
          </w:tcPr>
          <w:p w14:paraId="1090E495">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符合</w:t>
            </w:r>
          </w:p>
        </w:tc>
        <w:tc>
          <w:tcPr>
            <w:tcW w:w="1350" w:type="pct"/>
            <w:noWrap w:val="0"/>
            <w:vAlign w:val="top"/>
          </w:tcPr>
          <w:p w14:paraId="769620A7">
            <w:pPr>
              <w:jc w:val="center"/>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3.4.1</w:t>
            </w:r>
          </w:p>
        </w:tc>
      </w:tr>
      <w:tr w14:paraId="2081E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pct"/>
            <w:vMerge w:val="continue"/>
            <w:noWrap w:val="0"/>
            <w:vAlign w:val="center"/>
          </w:tcPr>
          <w:p w14:paraId="2E127267">
            <w:pPr>
              <w:jc w:val="center"/>
              <w:rPr>
                <w:rFonts w:hint="eastAsia" w:ascii="宋体" w:hAnsi="宋体" w:eastAsia="宋体" w:cs="宋体"/>
                <w:b/>
                <w:color w:val="000000" w:themeColor="text1"/>
                <w14:textFill>
                  <w14:solidFill>
                    <w14:schemeClr w14:val="tx1"/>
                  </w14:solidFill>
                </w14:textFill>
              </w:rPr>
            </w:pPr>
          </w:p>
        </w:tc>
        <w:tc>
          <w:tcPr>
            <w:tcW w:w="1300" w:type="pct"/>
            <w:noWrap w:val="0"/>
            <w:vAlign w:val="center"/>
          </w:tcPr>
          <w:p w14:paraId="0005AF65">
            <w:pPr>
              <w:jc w:val="center"/>
              <w:rPr>
                <w:rFonts w:hint="eastAsia" w:ascii="宋体" w:hAnsi="宋体" w:eastAsia="宋体" w:cs="宋体"/>
                <w:b w:val="0"/>
                <w:bCs/>
                <w:color w:val="000000" w:themeColor="text1"/>
                <w:lang w:val="en-US" w:eastAsia="zh-CN"/>
                <w14:textFill>
                  <w14:solidFill>
                    <w14:schemeClr w14:val="tx1"/>
                  </w14:solidFill>
                </w14:textFill>
              </w:rPr>
            </w:pPr>
            <w:r>
              <w:rPr>
                <w:rFonts w:hint="eastAsia" w:hAnsi="宋体" w:cs="宋体"/>
                <w:b w:val="0"/>
                <w:bCs/>
                <w:color w:val="000000" w:themeColor="text1"/>
                <w:lang w:val="en-US" w:eastAsia="zh-CN"/>
                <w14:textFill>
                  <w14:solidFill>
                    <w14:schemeClr w14:val="tx1"/>
                  </w14:solidFill>
                </w14:textFill>
              </w:rPr>
              <w:t>成品</w:t>
            </w:r>
            <w:r>
              <w:rPr>
                <w:rFonts w:hint="eastAsia" w:ascii="宋体" w:hAnsi="宋体" w:eastAsia="宋体" w:cs="宋体"/>
                <w:b w:val="0"/>
                <w:bCs/>
                <w:color w:val="000000" w:themeColor="text1"/>
                <w:lang w:val="en-US" w:eastAsia="zh-CN"/>
                <w14:textFill>
                  <w14:solidFill>
                    <w14:schemeClr w14:val="tx1"/>
                  </w14:solidFill>
                </w14:textFill>
              </w:rPr>
              <w:t>区</w:t>
            </w:r>
          </w:p>
        </w:tc>
        <w:tc>
          <w:tcPr>
            <w:tcW w:w="532" w:type="pct"/>
            <w:noWrap w:val="0"/>
            <w:vAlign w:val="center"/>
          </w:tcPr>
          <w:p w14:paraId="51D9772B">
            <w:pPr>
              <w:jc w:val="center"/>
              <w:rPr>
                <w:rFonts w:hint="eastAsia" w:ascii="宋体" w:hAnsi="宋体" w:eastAsia="宋体" w:cs="宋体"/>
                <w:b/>
                <w:color w:val="000000" w:themeColor="text1"/>
                <w:lang w:val="en-US" w:eastAsia="zh-CN"/>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10</w:t>
            </w:r>
          </w:p>
        </w:tc>
        <w:tc>
          <w:tcPr>
            <w:tcW w:w="531" w:type="pct"/>
            <w:shd w:val="clear" w:color="auto" w:fill="auto"/>
            <w:noWrap w:val="0"/>
            <w:vAlign w:val="center"/>
          </w:tcPr>
          <w:p w14:paraId="054FC70D">
            <w:pPr>
              <w:jc w:val="center"/>
              <w:rPr>
                <w:rFonts w:hint="eastAsia" w:ascii="宋体" w:hAnsi="宋体" w:eastAsia="宋体" w:cs="宋体"/>
                <w:b/>
                <w:color w:val="000000" w:themeColor="text1"/>
                <w:sz w:val="24"/>
                <w:lang w:val="en-US" w:eastAsia="zh-CN" w:bidi="ar-SA"/>
                <w14:textFill>
                  <w14:solidFill>
                    <w14:schemeClr w14:val="tx1"/>
                  </w14:solidFill>
                </w14:textFill>
              </w:rPr>
            </w:pPr>
            <w:r>
              <w:rPr>
                <w:rFonts w:hint="eastAsia" w:ascii="宋体" w:hAnsi="宋体" w:eastAsia="宋体" w:cs="宋体"/>
                <w:b/>
                <w:color w:val="000000" w:themeColor="text1"/>
                <w:sz w:val="24"/>
                <w:lang w:val="en-US" w:eastAsia="zh-CN" w:bidi="ar-SA"/>
                <w14:textFill>
                  <w14:solidFill>
                    <w14:schemeClr w14:val="tx1"/>
                  </w14:solidFill>
                </w14:textFill>
              </w:rPr>
              <w:t>12</w:t>
            </w:r>
          </w:p>
        </w:tc>
        <w:tc>
          <w:tcPr>
            <w:tcW w:w="464" w:type="pct"/>
            <w:noWrap w:val="0"/>
            <w:vAlign w:val="top"/>
          </w:tcPr>
          <w:p w14:paraId="40BE9438">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符合</w:t>
            </w:r>
          </w:p>
        </w:tc>
        <w:tc>
          <w:tcPr>
            <w:tcW w:w="1350" w:type="pct"/>
            <w:noWrap w:val="0"/>
            <w:vAlign w:val="top"/>
          </w:tcPr>
          <w:p w14:paraId="5BFFC162">
            <w:pPr>
              <w:jc w:val="center"/>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3.4.1</w:t>
            </w:r>
          </w:p>
        </w:tc>
      </w:tr>
      <w:tr w14:paraId="3AD4F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pct"/>
            <w:vMerge w:val="continue"/>
            <w:noWrap w:val="0"/>
            <w:vAlign w:val="center"/>
          </w:tcPr>
          <w:p w14:paraId="062AA1AE">
            <w:pPr>
              <w:jc w:val="center"/>
              <w:rPr>
                <w:rFonts w:hint="eastAsia" w:ascii="宋体" w:hAnsi="宋体" w:eastAsia="宋体" w:cs="宋体"/>
                <w:b/>
                <w:color w:val="000000" w:themeColor="text1"/>
                <w14:textFill>
                  <w14:solidFill>
                    <w14:schemeClr w14:val="tx1"/>
                  </w14:solidFill>
                </w14:textFill>
              </w:rPr>
            </w:pPr>
          </w:p>
        </w:tc>
        <w:tc>
          <w:tcPr>
            <w:tcW w:w="1300" w:type="pct"/>
            <w:noWrap w:val="0"/>
            <w:vAlign w:val="center"/>
          </w:tcPr>
          <w:p w14:paraId="15BC9245">
            <w:pPr>
              <w:jc w:val="center"/>
              <w:rPr>
                <w:rFonts w:hint="eastAsia" w:ascii="宋体" w:hAnsi="宋体" w:eastAsia="宋体" w:cs="宋体"/>
                <w:b w:val="0"/>
                <w:bCs/>
                <w:color w:val="000000" w:themeColor="text1"/>
                <w:lang w:val="en-US" w:eastAsia="zh-CN"/>
                <w14:textFill>
                  <w14:solidFill>
                    <w14:schemeClr w14:val="tx1"/>
                  </w14:solidFill>
                </w14:textFill>
              </w:rPr>
            </w:pPr>
            <w:r>
              <w:rPr>
                <w:rFonts w:hint="eastAsia" w:ascii="宋体" w:hAnsi="宋体" w:eastAsia="宋体" w:cs="宋体"/>
                <w:b w:val="0"/>
                <w:bCs/>
                <w:color w:val="000000" w:themeColor="text1"/>
                <w:lang w:val="en-US" w:eastAsia="zh-CN"/>
                <w14:textFill>
                  <w14:solidFill>
                    <w14:schemeClr w14:val="tx1"/>
                  </w14:solidFill>
                </w14:textFill>
              </w:rPr>
              <w:t>办公室</w:t>
            </w:r>
          </w:p>
        </w:tc>
        <w:tc>
          <w:tcPr>
            <w:tcW w:w="532" w:type="pct"/>
            <w:noWrap w:val="0"/>
            <w:vAlign w:val="center"/>
          </w:tcPr>
          <w:p w14:paraId="37FBCD28">
            <w:pPr>
              <w:jc w:val="center"/>
              <w:rPr>
                <w:rFonts w:hint="eastAsia" w:ascii="宋体" w:hAnsi="宋体" w:eastAsia="宋体" w:cs="宋体"/>
                <w:b/>
                <w:color w:val="000000" w:themeColor="text1"/>
                <w:lang w:val="en-US" w:eastAsia="zh-CN"/>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10</w:t>
            </w:r>
          </w:p>
        </w:tc>
        <w:tc>
          <w:tcPr>
            <w:tcW w:w="531" w:type="pct"/>
            <w:shd w:val="clear" w:color="auto" w:fill="auto"/>
            <w:noWrap w:val="0"/>
            <w:vAlign w:val="center"/>
          </w:tcPr>
          <w:p w14:paraId="142B6177">
            <w:pPr>
              <w:jc w:val="center"/>
              <w:rPr>
                <w:rFonts w:hint="default" w:ascii="宋体" w:hAnsi="宋体" w:eastAsia="宋体" w:cs="宋体"/>
                <w:b/>
                <w:color w:val="000000" w:themeColor="text1"/>
                <w:sz w:val="24"/>
                <w:lang w:val="en-US" w:eastAsia="zh-CN" w:bidi="ar-SA"/>
                <w14:textFill>
                  <w14:solidFill>
                    <w14:schemeClr w14:val="tx1"/>
                  </w14:solidFill>
                </w14:textFill>
              </w:rPr>
            </w:pPr>
            <w:r>
              <w:rPr>
                <w:rFonts w:hint="eastAsia" w:ascii="宋体" w:hAnsi="宋体" w:eastAsia="宋体" w:cs="宋体"/>
                <w:b/>
                <w:color w:val="000000" w:themeColor="text1"/>
                <w:lang w:val="en-US" w:eastAsia="zh-CN"/>
                <w14:textFill>
                  <w14:solidFill>
                    <w14:schemeClr w14:val="tx1"/>
                  </w14:solidFill>
                </w14:textFill>
              </w:rPr>
              <w:t>2</w:t>
            </w:r>
            <w:r>
              <w:rPr>
                <w:rFonts w:hint="eastAsia" w:hAnsi="宋体" w:cs="宋体"/>
                <w:b/>
                <w:color w:val="000000" w:themeColor="text1"/>
                <w:lang w:val="en-US" w:eastAsia="zh-CN"/>
                <w14:textFill>
                  <w14:solidFill>
                    <w14:schemeClr w14:val="tx1"/>
                  </w14:solidFill>
                </w14:textFill>
              </w:rPr>
              <w:t>3</w:t>
            </w:r>
          </w:p>
        </w:tc>
        <w:tc>
          <w:tcPr>
            <w:tcW w:w="464" w:type="pct"/>
            <w:noWrap w:val="0"/>
            <w:vAlign w:val="top"/>
          </w:tcPr>
          <w:p w14:paraId="2109CBC7">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符合</w:t>
            </w:r>
          </w:p>
        </w:tc>
        <w:tc>
          <w:tcPr>
            <w:tcW w:w="1350" w:type="pct"/>
            <w:noWrap w:val="0"/>
            <w:vAlign w:val="top"/>
          </w:tcPr>
          <w:p w14:paraId="1D9F63F0">
            <w:pPr>
              <w:jc w:val="center"/>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3.4.1</w:t>
            </w:r>
          </w:p>
        </w:tc>
      </w:tr>
      <w:tr w14:paraId="6084F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pct"/>
            <w:vMerge w:val="continue"/>
            <w:noWrap w:val="0"/>
            <w:vAlign w:val="center"/>
          </w:tcPr>
          <w:p w14:paraId="2ABA3634">
            <w:pPr>
              <w:jc w:val="center"/>
              <w:rPr>
                <w:rFonts w:hint="eastAsia" w:ascii="宋体" w:hAnsi="宋体" w:eastAsia="宋体" w:cs="宋体"/>
                <w:b/>
                <w:color w:val="000000" w:themeColor="text1"/>
                <w14:textFill>
                  <w14:solidFill>
                    <w14:schemeClr w14:val="tx1"/>
                  </w14:solidFill>
                </w14:textFill>
              </w:rPr>
            </w:pPr>
          </w:p>
        </w:tc>
        <w:tc>
          <w:tcPr>
            <w:tcW w:w="1300" w:type="pct"/>
            <w:noWrap w:val="0"/>
            <w:vAlign w:val="center"/>
          </w:tcPr>
          <w:p w14:paraId="70C7B7CE">
            <w:pPr>
              <w:jc w:val="center"/>
              <w:rPr>
                <w:rFonts w:hint="eastAsia" w:ascii="宋体" w:hAnsi="宋体" w:eastAsia="宋体" w:cs="宋体"/>
                <w:b w:val="0"/>
                <w:bCs/>
                <w:color w:val="000000" w:themeColor="text1"/>
                <w:lang w:val="en-US" w:eastAsia="zh-CN"/>
                <w14:textFill>
                  <w14:solidFill>
                    <w14:schemeClr w14:val="tx1"/>
                  </w14:solidFill>
                </w14:textFill>
              </w:rPr>
            </w:pPr>
            <w:r>
              <w:rPr>
                <w:rFonts w:hint="eastAsia" w:ascii="宋体" w:hAnsi="宋体" w:eastAsia="宋体" w:cs="宋体"/>
                <w:b w:val="0"/>
                <w:bCs/>
                <w:color w:val="000000" w:themeColor="text1"/>
                <w:lang w:val="en-US" w:eastAsia="zh-CN"/>
                <w14:textFill>
                  <w14:solidFill>
                    <w14:schemeClr w14:val="tx1"/>
                  </w14:solidFill>
                </w14:textFill>
              </w:rPr>
              <w:t>仓库</w:t>
            </w:r>
          </w:p>
        </w:tc>
        <w:tc>
          <w:tcPr>
            <w:tcW w:w="532" w:type="pct"/>
            <w:noWrap w:val="0"/>
            <w:vAlign w:val="center"/>
          </w:tcPr>
          <w:p w14:paraId="10433A03">
            <w:pPr>
              <w:jc w:val="center"/>
              <w:rPr>
                <w:rFonts w:hint="eastAsia" w:ascii="宋体" w:hAnsi="宋体" w:eastAsia="宋体" w:cs="宋体"/>
                <w:b/>
                <w:color w:val="000000" w:themeColor="text1"/>
                <w:lang w:val="en-US" w:eastAsia="zh-CN"/>
                <w14:textFill>
                  <w14:solidFill>
                    <w14:schemeClr w14:val="tx1"/>
                  </w14:solidFill>
                </w14:textFill>
              </w:rPr>
            </w:pPr>
            <w:r>
              <w:rPr>
                <w:rFonts w:hint="eastAsia" w:ascii="宋体" w:hAnsi="宋体" w:eastAsia="宋体" w:cs="宋体"/>
                <w:b/>
                <w:color w:val="000000" w:themeColor="text1"/>
                <w:lang w:val="en-US" w:eastAsia="zh-CN"/>
                <w14:textFill>
                  <w14:solidFill>
                    <w14:schemeClr w14:val="tx1"/>
                  </w14:solidFill>
                </w14:textFill>
              </w:rPr>
              <w:t>10</w:t>
            </w:r>
          </w:p>
        </w:tc>
        <w:tc>
          <w:tcPr>
            <w:tcW w:w="531" w:type="pct"/>
            <w:shd w:val="clear" w:color="auto" w:fill="auto"/>
            <w:noWrap w:val="0"/>
            <w:vAlign w:val="center"/>
          </w:tcPr>
          <w:p w14:paraId="1411C00D">
            <w:pPr>
              <w:jc w:val="center"/>
              <w:rPr>
                <w:rFonts w:hint="eastAsia" w:ascii="宋体" w:hAnsi="宋体" w:eastAsia="宋体" w:cs="宋体"/>
                <w:b/>
                <w:color w:val="000000" w:themeColor="text1"/>
                <w:lang w:val="en-US" w:eastAsia="zh-CN"/>
                <w14:textFill>
                  <w14:solidFill>
                    <w14:schemeClr w14:val="tx1"/>
                  </w14:solidFill>
                </w14:textFill>
              </w:rPr>
            </w:pPr>
            <w:r>
              <w:rPr>
                <w:rFonts w:hint="eastAsia" w:ascii="宋体" w:hAnsi="宋体" w:eastAsia="宋体" w:cs="宋体"/>
                <w:b/>
                <w:color w:val="000000" w:themeColor="text1"/>
                <w:lang w:val="en-US" w:eastAsia="zh-CN"/>
                <w14:textFill>
                  <w14:solidFill>
                    <w14:schemeClr w14:val="tx1"/>
                  </w14:solidFill>
                </w14:textFill>
              </w:rPr>
              <w:t>11</w:t>
            </w:r>
          </w:p>
        </w:tc>
        <w:tc>
          <w:tcPr>
            <w:tcW w:w="464" w:type="pct"/>
            <w:noWrap w:val="0"/>
            <w:vAlign w:val="top"/>
          </w:tcPr>
          <w:p w14:paraId="4AD990BF">
            <w:pPr>
              <w:jc w:val="center"/>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符合</w:t>
            </w:r>
          </w:p>
        </w:tc>
        <w:tc>
          <w:tcPr>
            <w:tcW w:w="1350" w:type="pct"/>
            <w:noWrap w:val="0"/>
            <w:vAlign w:val="top"/>
          </w:tcPr>
          <w:p w14:paraId="0758E1C7">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3.4.1</w:t>
            </w:r>
          </w:p>
        </w:tc>
      </w:tr>
      <w:tr w14:paraId="68A8F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pct"/>
            <w:vMerge w:val="restart"/>
            <w:noWrap w:val="0"/>
            <w:vAlign w:val="center"/>
          </w:tcPr>
          <w:p w14:paraId="34B9D9C0">
            <w:pPr>
              <w:jc w:val="center"/>
              <w:rPr>
                <w:rFonts w:hint="eastAsia" w:ascii="宋体" w:hAnsi="宋体" w:eastAsia="宋体" w:cs="宋体"/>
                <w:b w:val="0"/>
                <w:bCs/>
                <w:color w:val="000000" w:themeColor="text1"/>
                <w:lang w:val="en-US" w:eastAsia="zh-CN"/>
                <w14:textFill>
                  <w14:solidFill>
                    <w14:schemeClr w14:val="tx1"/>
                  </w14:solidFill>
                </w14:textFill>
              </w:rPr>
            </w:pPr>
            <w:r>
              <w:rPr>
                <w:rFonts w:hint="eastAsia" w:ascii="宋体" w:hAnsi="宋体" w:eastAsia="宋体" w:cs="宋体"/>
                <w:b w:val="0"/>
                <w:bCs/>
                <w:color w:val="000000" w:themeColor="text1"/>
                <w:lang w:val="en-US" w:eastAsia="zh-CN"/>
                <w14:textFill>
                  <w14:solidFill>
                    <w14:schemeClr w14:val="tx1"/>
                  </w14:solidFill>
                </w14:textFill>
              </w:rPr>
              <w:t>加工区</w:t>
            </w:r>
          </w:p>
        </w:tc>
        <w:tc>
          <w:tcPr>
            <w:tcW w:w="1300" w:type="pct"/>
            <w:noWrap w:val="0"/>
            <w:vAlign w:val="center"/>
          </w:tcPr>
          <w:p w14:paraId="16D0582B">
            <w:pPr>
              <w:jc w:val="center"/>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hAnsi="宋体" w:cs="宋体"/>
                <w:color w:val="000000" w:themeColor="text1"/>
                <w:kern w:val="0"/>
                <w:szCs w:val="21"/>
                <w:lang w:val="en-US" w:eastAsia="zh-CN"/>
                <w14:textFill>
                  <w14:solidFill>
                    <w14:schemeClr w14:val="tx1"/>
                  </w14:solidFill>
                </w14:textFill>
              </w:rPr>
              <w:t>装配区</w:t>
            </w:r>
          </w:p>
        </w:tc>
        <w:tc>
          <w:tcPr>
            <w:tcW w:w="532" w:type="pct"/>
            <w:noWrap w:val="0"/>
            <w:vAlign w:val="top"/>
          </w:tcPr>
          <w:p w14:paraId="0BE17F3F">
            <w:pPr>
              <w:jc w:val="center"/>
              <w:rPr>
                <w:rFonts w:hint="eastAsia" w:ascii="宋体" w:hAnsi="宋体" w:eastAsia="宋体" w:cs="宋体"/>
                <w:b/>
                <w:color w:val="000000" w:themeColor="text1"/>
                <w:lang w:val="en-US" w:eastAsia="zh-CN"/>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10</w:t>
            </w:r>
          </w:p>
        </w:tc>
        <w:tc>
          <w:tcPr>
            <w:tcW w:w="531" w:type="pct"/>
            <w:shd w:val="clear" w:color="auto" w:fill="auto"/>
            <w:noWrap w:val="0"/>
            <w:vAlign w:val="center"/>
          </w:tcPr>
          <w:p w14:paraId="744E323B">
            <w:pPr>
              <w:jc w:val="center"/>
              <w:rPr>
                <w:rFonts w:hint="eastAsia" w:ascii="宋体" w:hAnsi="宋体" w:eastAsia="宋体" w:cs="宋体"/>
                <w:b/>
                <w:color w:val="000000" w:themeColor="text1"/>
                <w:sz w:val="24"/>
                <w:lang w:val="en-US" w:eastAsia="zh-CN" w:bidi="ar-SA"/>
                <w14:textFill>
                  <w14:solidFill>
                    <w14:schemeClr w14:val="tx1"/>
                  </w14:solidFill>
                </w14:textFill>
              </w:rPr>
            </w:pPr>
            <w:r>
              <w:rPr>
                <w:rFonts w:hint="eastAsia" w:ascii="宋体" w:hAnsi="宋体" w:eastAsia="宋体" w:cs="宋体"/>
                <w:b/>
                <w:color w:val="000000" w:themeColor="text1"/>
                <w:sz w:val="24"/>
                <w:lang w:val="en-US" w:eastAsia="zh-CN" w:bidi="ar-SA"/>
                <w14:textFill>
                  <w14:solidFill>
                    <w14:schemeClr w14:val="tx1"/>
                  </w14:solidFill>
                </w14:textFill>
              </w:rPr>
              <w:t>15</w:t>
            </w:r>
          </w:p>
        </w:tc>
        <w:tc>
          <w:tcPr>
            <w:tcW w:w="464" w:type="pct"/>
            <w:noWrap w:val="0"/>
            <w:vAlign w:val="top"/>
          </w:tcPr>
          <w:p w14:paraId="715ED5A8">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符合</w:t>
            </w:r>
          </w:p>
        </w:tc>
        <w:tc>
          <w:tcPr>
            <w:tcW w:w="1350" w:type="pct"/>
            <w:noWrap w:val="0"/>
            <w:vAlign w:val="top"/>
          </w:tcPr>
          <w:p w14:paraId="70E52D5D">
            <w:pPr>
              <w:jc w:val="center"/>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3.4.1</w:t>
            </w:r>
          </w:p>
        </w:tc>
      </w:tr>
      <w:tr w14:paraId="01CF1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pct"/>
            <w:vMerge w:val="continue"/>
            <w:noWrap w:val="0"/>
            <w:vAlign w:val="center"/>
          </w:tcPr>
          <w:p w14:paraId="5E466143">
            <w:pPr>
              <w:jc w:val="center"/>
              <w:rPr>
                <w:rFonts w:hint="eastAsia" w:ascii="宋体" w:hAnsi="宋体" w:eastAsia="宋体" w:cs="宋体"/>
                <w:b/>
                <w:color w:val="000000" w:themeColor="text1"/>
                <w14:textFill>
                  <w14:solidFill>
                    <w14:schemeClr w14:val="tx1"/>
                  </w14:solidFill>
                </w14:textFill>
              </w:rPr>
            </w:pPr>
          </w:p>
        </w:tc>
        <w:tc>
          <w:tcPr>
            <w:tcW w:w="1300" w:type="pct"/>
            <w:noWrap w:val="0"/>
            <w:vAlign w:val="center"/>
          </w:tcPr>
          <w:p w14:paraId="7461B2B7">
            <w:pPr>
              <w:jc w:val="center"/>
              <w:rPr>
                <w:rFonts w:hint="eastAsia" w:ascii="宋体" w:hAnsi="宋体" w:eastAsia="宋体" w:cs="宋体"/>
                <w:color w:val="000000" w:themeColor="text1"/>
                <w:kern w:val="0"/>
                <w:szCs w:val="21"/>
                <w:lang w:val="en-US" w:eastAsia="zh-CN"/>
                <w14:textFill>
                  <w14:solidFill>
                    <w14:schemeClr w14:val="tx1"/>
                  </w14:solidFill>
                </w14:textFill>
              </w:rPr>
            </w:pPr>
            <w:r>
              <w:rPr>
                <w:rFonts w:hint="eastAsia" w:hAnsi="宋体" w:cs="宋体"/>
                <w:color w:val="000000" w:themeColor="text1"/>
                <w:kern w:val="0"/>
                <w:szCs w:val="21"/>
                <w:lang w:val="en-US" w:eastAsia="zh-CN"/>
                <w14:textFill>
                  <w14:solidFill>
                    <w14:schemeClr w14:val="tx1"/>
                  </w14:solidFill>
                </w14:textFill>
              </w:rPr>
              <w:t>成品</w:t>
            </w:r>
            <w:r>
              <w:rPr>
                <w:rFonts w:hint="eastAsia" w:ascii="宋体" w:hAnsi="宋体" w:eastAsia="宋体" w:cs="宋体"/>
                <w:color w:val="000000" w:themeColor="text1"/>
                <w:kern w:val="0"/>
                <w:szCs w:val="21"/>
                <w:lang w:val="en-US" w:eastAsia="zh-CN"/>
                <w14:textFill>
                  <w14:solidFill>
                    <w14:schemeClr w14:val="tx1"/>
                  </w14:solidFill>
                </w14:textFill>
              </w:rPr>
              <w:t>区</w:t>
            </w:r>
          </w:p>
        </w:tc>
        <w:tc>
          <w:tcPr>
            <w:tcW w:w="532" w:type="pct"/>
            <w:noWrap w:val="0"/>
            <w:vAlign w:val="top"/>
          </w:tcPr>
          <w:p w14:paraId="4526B5D4">
            <w:pPr>
              <w:jc w:val="center"/>
              <w:rPr>
                <w:rFonts w:hint="eastAsia" w:ascii="宋体" w:hAnsi="宋体" w:eastAsia="宋体" w:cs="宋体"/>
                <w:b/>
                <w:color w:val="000000" w:themeColor="text1"/>
                <w:lang w:val="en-US" w:eastAsia="zh-CN"/>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10</w:t>
            </w:r>
          </w:p>
        </w:tc>
        <w:tc>
          <w:tcPr>
            <w:tcW w:w="531" w:type="pct"/>
            <w:shd w:val="clear" w:color="auto" w:fill="auto"/>
            <w:noWrap w:val="0"/>
            <w:vAlign w:val="center"/>
          </w:tcPr>
          <w:p w14:paraId="11F5B9E8">
            <w:pPr>
              <w:jc w:val="center"/>
              <w:rPr>
                <w:rFonts w:hint="eastAsia" w:ascii="宋体" w:hAnsi="宋体" w:eastAsia="宋体" w:cs="宋体"/>
                <w:b/>
                <w:color w:val="000000" w:themeColor="text1"/>
                <w:sz w:val="24"/>
                <w:lang w:val="en-US" w:eastAsia="zh-CN" w:bidi="ar-SA"/>
                <w14:textFill>
                  <w14:solidFill>
                    <w14:schemeClr w14:val="tx1"/>
                  </w14:solidFill>
                </w14:textFill>
              </w:rPr>
            </w:pPr>
            <w:r>
              <w:rPr>
                <w:rFonts w:hint="eastAsia" w:ascii="宋体" w:hAnsi="宋体" w:eastAsia="宋体" w:cs="宋体"/>
                <w:b/>
                <w:color w:val="000000" w:themeColor="text1"/>
                <w:sz w:val="24"/>
                <w:lang w:val="en-US" w:eastAsia="zh-CN" w:bidi="ar-SA"/>
                <w14:textFill>
                  <w14:solidFill>
                    <w14:schemeClr w14:val="tx1"/>
                  </w14:solidFill>
                </w14:textFill>
              </w:rPr>
              <w:t>11</w:t>
            </w:r>
          </w:p>
        </w:tc>
        <w:tc>
          <w:tcPr>
            <w:tcW w:w="464" w:type="pct"/>
            <w:noWrap w:val="0"/>
            <w:vAlign w:val="top"/>
          </w:tcPr>
          <w:p w14:paraId="42337702">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符合</w:t>
            </w:r>
          </w:p>
        </w:tc>
        <w:tc>
          <w:tcPr>
            <w:tcW w:w="1350" w:type="pct"/>
            <w:noWrap w:val="0"/>
            <w:vAlign w:val="top"/>
          </w:tcPr>
          <w:p w14:paraId="61FF223D">
            <w:pPr>
              <w:jc w:val="center"/>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3.4.1</w:t>
            </w:r>
          </w:p>
        </w:tc>
      </w:tr>
      <w:tr w14:paraId="6D99F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pct"/>
            <w:vMerge w:val="continue"/>
            <w:noWrap w:val="0"/>
            <w:vAlign w:val="center"/>
          </w:tcPr>
          <w:p w14:paraId="1DBD1724">
            <w:pPr>
              <w:jc w:val="center"/>
              <w:rPr>
                <w:rFonts w:hint="eastAsia" w:ascii="宋体" w:hAnsi="宋体" w:eastAsia="宋体" w:cs="宋体"/>
                <w:b/>
                <w:color w:val="000000" w:themeColor="text1"/>
                <w14:textFill>
                  <w14:solidFill>
                    <w14:schemeClr w14:val="tx1"/>
                  </w14:solidFill>
                </w14:textFill>
              </w:rPr>
            </w:pPr>
          </w:p>
        </w:tc>
        <w:tc>
          <w:tcPr>
            <w:tcW w:w="1300" w:type="pct"/>
            <w:noWrap w:val="0"/>
            <w:vAlign w:val="center"/>
          </w:tcPr>
          <w:p w14:paraId="3CE045C4">
            <w:pPr>
              <w:jc w:val="center"/>
              <w:rPr>
                <w:rFonts w:hint="eastAsia" w:ascii="宋体" w:hAnsi="宋体" w:eastAsia="宋体" w:cs="宋体"/>
                <w:b/>
                <w:color w:val="000000" w:themeColor="text1"/>
                <w:lang w:val="en-US" w:eastAsia="zh-CN"/>
                <w14:textFill>
                  <w14:solidFill>
                    <w14:schemeClr w14:val="tx1"/>
                  </w14:solidFill>
                </w14:textFill>
              </w:rPr>
            </w:pPr>
            <w:r>
              <w:rPr>
                <w:rFonts w:hint="eastAsia" w:ascii="宋体" w:hAnsi="宋体" w:eastAsia="宋体" w:cs="宋体"/>
                <w:b w:val="0"/>
                <w:bCs/>
                <w:color w:val="000000" w:themeColor="text1"/>
                <w:lang w:val="en-US" w:eastAsia="zh-CN"/>
                <w14:textFill>
                  <w14:solidFill>
                    <w14:schemeClr w14:val="tx1"/>
                  </w14:solidFill>
                </w14:textFill>
              </w:rPr>
              <w:t>办公室</w:t>
            </w:r>
          </w:p>
        </w:tc>
        <w:tc>
          <w:tcPr>
            <w:tcW w:w="532" w:type="pct"/>
            <w:noWrap w:val="0"/>
            <w:vAlign w:val="top"/>
          </w:tcPr>
          <w:p w14:paraId="13E2B9FF">
            <w:pPr>
              <w:jc w:val="center"/>
              <w:rPr>
                <w:rFonts w:hint="eastAsia" w:ascii="宋体" w:hAnsi="宋体" w:eastAsia="宋体" w:cs="宋体"/>
                <w:b/>
                <w:color w:val="000000" w:themeColor="text1"/>
                <w:lang w:val="en-US" w:eastAsia="zh-CN"/>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10</w:t>
            </w:r>
          </w:p>
        </w:tc>
        <w:tc>
          <w:tcPr>
            <w:tcW w:w="531" w:type="pct"/>
            <w:shd w:val="clear" w:color="auto" w:fill="auto"/>
            <w:noWrap w:val="0"/>
            <w:vAlign w:val="center"/>
          </w:tcPr>
          <w:p w14:paraId="1B2FA8F2">
            <w:pPr>
              <w:jc w:val="center"/>
              <w:rPr>
                <w:rFonts w:hint="eastAsia" w:ascii="宋体" w:hAnsi="宋体" w:eastAsia="宋体" w:cs="宋体"/>
                <w:b/>
                <w:color w:val="000000" w:themeColor="text1"/>
                <w:sz w:val="24"/>
                <w:lang w:val="en-US" w:eastAsia="zh-CN" w:bidi="ar-SA"/>
                <w14:textFill>
                  <w14:solidFill>
                    <w14:schemeClr w14:val="tx1"/>
                  </w14:solidFill>
                </w14:textFill>
              </w:rPr>
            </w:pPr>
            <w:r>
              <w:rPr>
                <w:rFonts w:hint="eastAsia" w:ascii="宋体" w:hAnsi="宋体" w:eastAsia="宋体" w:cs="宋体"/>
                <w:b/>
                <w:color w:val="000000" w:themeColor="text1"/>
                <w:lang w:val="en-US" w:eastAsia="zh-CN"/>
                <w14:textFill>
                  <w14:solidFill>
                    <w14:schemeClr w14:val="tx1"/>
                  </w14:solidFill>
                </w14:textFill>
              </w:rPr>
              <w:t>25</w:t>
            </w:r>
          </w:p>
        </w:tc>
        <w:tc>
          <w:tcPr>
            <w:tcW w:w="464" w:type="pct"/>
            <w:noWrap w:val="0"/>
            <w:vAlign w:val="top"/>
          </w:tcPr>
          <w:p w14:paraId="4ACCF3EE">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符合</w:t>
            </w:r>
          </w:p>
        </w:tc>
        <w:tc>
          <w:tcPr>
            <w:tcW w:w="1350" w:type="pct"/>
            <w:noWrap w:val="0"/>
            <w:vAlign w:val="top"/>
          </w:tcPr>
          <w:p w14:paraId="3F2FFC94">
            <w:pPr>
              <w:jc w:val="center"/>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3.4.1</w:t>
            </w:r>
          </w:p>
        </w:tc>
      </w:tr>
      <w:tr w14:paraId="47100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pct"/>
            <w:vMerge w:val="continue"/>
            <w:noWrap w:val="0"/>
            <w:vAlign w:val="center"/>
          </w:tcPr>
          <w:p w14:paraId="3D77DD44">
            <w:pPr>
              <w:jc w:val="center"/>
              <w:rPr>
                <w:rFonts w:hint="eastAsia" w:ascii="宋体" w:hAnsi="宋体" w:eastAsia="宋体" w:cs="宋体"/>
                <w:b/>
                <w:color w:val="000000" w:themeColor="text1"/>
                <w14:textFill>
                  <w14:solidFill>
                    <w14:schemeClr w14:val="tx1"/>
                  </w14:solidFill>
                </w14:textFill>
              </w:rPr>
            </w:pPr>
          </w:p>
        </w:tc>
        <w:tc>
          <w:tcPr>
            <w:tcW w:w="1300" w:type="pct"/>
            <w:noWrap w:val="0"/>
            <w:vAlign w:val="center"/>
          </w:tcPr>
          <w:p w14:paraId="25B782E1">
            <w:pPr>
              <w:jc w:val="center"/>
              <w:rPr>
                <w:rFonts w:hint="eastAsia" w:ascii="宋体" w:hAnsi="宋体" w:eastAsia="宋体" w:cs="宋体"/>
                <w:b w:val="0"/>
                <w:bCs/>
                <w:color w:val="000000" w:themeColor="text1"/>
                <w:lang w:val="en-US" w:eastAsia="zh-CN"/>
                <w14:textFill>
                  <w14:solidFill>
                    <w14:schemeClr w14:val="tx1"/>
                  </w14:solidFill>
                </w14:textFill>
              </w:rPr>
            </w:pPr>
            <w:r>
              <w:rPr>
                <w:rFonts w:hint="eastAsia" w:ascii="宋体" w:hAnsi="宋体" w:eastAsia="宋体" w:cs="宋体"/>
                <w:b w:val="0"/>
                <w:bCs/>
                <w:color w:val="000000" w:themeColor="text1"/>
                <w:lang w:val="en-US" w:eastAsia="zh-CN"/>
                <w14:textFill>
                  <w14:solidFill>
                    <w14:schemeClr w14:val="tx1"/>
                  </w14:solidFill>
                </w14:textFill>
              </w:rPr>
              <w:t>仓库</w:t>
            </w:r>
          </w:p>
        </w:tc>
        <w:tc>
          <w:tcPr>
            <w:tcW w:w="532" w:type="pct"/>
            <w:noWrap w:val="0"/>
            <w:vAlign w:val="top"/>
          </w:tcPr>
          <w:p w14:paraId="1F6D504F">
            <w:pPr>
              <w:jc w:val="center"/>
              <w:rPr>
                <w:rFonts w:hint="eastAsia" w:ascii="宋体" w:hAnsi="宋体" w:eastAsia="宋体" w:cs="宋体"/>
                <w:b/>
                <w:color w:val="000000" w:themeColor="text1"/>
                <w:lang w:val="en-US" w:eastAsia="zh-CN"/>
                <w14:textFill>
                  <w14:solidFill>
                    <w14:schemeClr w14:val="tx1"/>
                  </w14:solidFill>
                </w14:textFill>
              </w:rPr>
            </w:pPr>
            <w:r>
              <w:rPr>
                <w:rFonts w:hint="eastAsia" w:ascii="宋体" w:hAnsi="宋体" w:eastAsia="宋体" w:cs="宋体"/>
                <w:b/>
                <w:color w:val="000000" w:themeColor="text1"/>
                <w:lang w:val="en-US" w:eastAsia="zh-CN"/>
                <w14:textFill>
                  <w14:solidFill>
                    <w14:schemeClr w14:val="tx1"/>
                  </w14:solidFill>
                </w14:textFill>
              </w:rPr>
              <w:t>10</w:t>
            </w:r>
          </w:p>
        </w:tc>
        <w:tc>
          <w:tcPr>
            <w:tcW w:w="531" w:type="pct"/>
            <w:shd w:val="clear" w:color="auto" w:fill="auto"/>
            <w:noWrap w:val="0"/>
            <w:vAlign w:val="center"/>
          </w:tcPr>
          <w:p w14:paraId="636A390B">
            <w:pPr>
              <w:jc w:val="center"/>
              <w:rPr>
                <w:rFonts w:hint="eastAsia" w:ascii="宋体" w:hAnsi="宋体" w:eastAsia="宋体" w:cs="宋体"/>
                <w:b/>
                <w:color w:val="000000" w:themeColor="text1"/>
                <w:lang w:val="en-US" w:eastAsia="zh-CN"/>
                <w14:textFill>
                  <w14:solidFill>
                    <w14:schemeClr w14:val="tx1"/>
                  </w14:solidFill>
                </w14:textFill>
              </w:rPr>
            </w:pPr>
            <w:r>
              <w:rPr>
                <w:rFonts w:hint="eastAsia" w:ascii="宋体" w:hAnsi="宋体" w:eastAsia="宋体" w:cs="宋体"/>
                <w:b/>
                <w:color w:val="000000" w:themeColor="text1"/>
                <w:lang w:val="en-US" w:eastAsia="zh-CN"/>
                <w14:textFill>
                  <w14:solidFill>
                    <w14:schemeClr w14:val="tx1"/>
                  </w14:solidFill>
                </w14:textFill>
              </w:rPr>
              <w:t>20</w:t>
            </w:r>
          </w:p>
        </w:tc>
        <w:tc>
          <w:tcPr>
            <w:tcW w:w="464" w:type="pct"/>
            <w:shd w:val="clear" w:color="auto" w:fill="auto"/>
            <w:noWrap w:val="0"/>
            <w:vAlign w:val="top"/>
          </w:tcPr>
          <w:p w14:paraId="4DDDE148">
            <w:pPr>
              <w:jc w:val="center"/>
              <w:rPr>
                <w:rFonts w:hint="eastAsia" w:ascii="宋体" w:hAnsi="宋体" w:eastAsia="宋体" w:cs="宋体"/>
                <w:color w:val="000000" w:themeColor="text1"/>
                <w:sz w:val="24"/>
                <w:lang w:val="en-US" w:eastAsia="zh-CN" w:bidi="ar-SA"/>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符合</w:t>
            </w:r>
          </w:p>
        </w:tc>
        <w:tc>
          <w:tcPr>
            <w:tcW w:w="1350" w:type="pct"/>
            <w:noWrap w:val="0"/>
            <w:vAlign w:val="top"/>
          </w:tcPr>
          <w:p w14:paraId="6F0CFC3E">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3.4.1</w:t>
            </w:r>
          </w:p>
        </w:tc>
      </w:tr>
      <w:tr w14:paraId="3CFD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pct"/>
            <w:vMerge w:val="restart"/>
            <w:noWrap w:val="0"/>
            <w:vAlign w:val="center"/>
          </w:tcPr>
          <w:p w14:paraId="78135A15">
            <w:pPr>
              <w:jc w:val="center"/>
              <w:rPr>
                <w:rFonts w:hint="eastAsia" w:ascii="宋体" w:hAnsi="宋体" w:eastAsia="宋体" w:cs="宋体"/>
                <w:b/>
                <w:color w:val="000000" w:themeColor="text1"/>
                <w:lang w:val="en-US" w:eastAsia="zh-CN"/>
                <w14:textFill>
                  <w14:solidFill>
                    <w14:schemeClr w14:val="tx1"/>
                  </w14:solidFill>
                </w14:textFill>
              </w:rPr>
            </w:pPr>
            <w:r>
              <w:rPr>
                <w:rFonts w:hint="eastAsia" w:hAnsi="宋体" w:cs="宋体"/>
                <w:b w:val="0"/>
                <w:bCs/>
                <w:color w:val="000000" w:themeColor="text1"/>
                <w:lang w:val="en-US" w:eastAsia="zh-CN"/>
                <w14:textFill>
                  <w14:solidFill>
                    <w14:schemeClr w14:val="tx1"/>
                  </w14:solidFill>
                </w14:textFill>
              </w:rPr>
              <w:t>成品</w:t>
            </w:r>
            <w:r>
              <w:rPr>
                <w:rFonts w:hint="eastAsia" w:ascii="宋体" w:hAnsi="宋体" w:eastAsia="宋体" w:cs="宋体"/>
                <w:b w:val="0"/>
                <w:bCs/>
                <w:color w:val="000000" w:themeColor="text1"/>
                <w:lang w:val="en-US" w:eastAsia="zh-CN"/>
                <w14:textFill>
                  <w14:solidFill>
                    <w14:schemeClr w14:val="tx1"/>
                  </w14:solidFill>
                </w14:textFill>
              </w:rPr>
              <w:t>区</w:t>
            </w:r>
          </w:p>
        </w:tc>
        <w:tc>
          <w:tcPr>
            <w:tcW w:w="1300" w:type="pct"/>
            <w:noWrap w:val="0"/>
            <w:vAlign w:val="center"/>
          </w:tcPr>
          <w:p w14:paraId="61448E39">
            <w:pPr>
              <w:jc w:val="center"/>
              <w:rPr>
                <w:rFonts w:hint="eastAsia" w:ascii="宋体" w:hAnsi="宋体" w:eastAsia="宋体" w:cs="宋体"/>
                <w:b/>
                <w:color w:val="000000" w:themeColor="text1"/>
                <w:lang w:val="en-US" w:eastAsia="zh-CN"/>
                <w14:textFill>
                  <w14:solidFill>
                    <w14:schemeClr w14:val="tx1"/>
                  </w14:solidFill>
                </w14:textFill>
              </w:rPr>
            </w:pPr>
            <w:r>
              <w:rPr>
                <w:rFonts w:hint="eastAsia" w:hAnsi="宋体" w:cs="宋体"/>
                <w:b w:val="0"/>
                <w:bCs/>
                <w:color w:val="000000" w:themeColor="text1"/>
                <w:lang w:val="en-US" w:eastAsia="zh-CN"/>
                <w14:textFill>
                  <w14:solidFill>
                    <w14:schemeClr w14:val="tx1"/>
                  </w14:solidFill>
                </w14:textFill>
              </w:rPr>
              <w:t>装配区</w:t>
            </w:r>
          </w:p>
        </w:tc>
        <w:tc>
          <w:tcPr>
            <w:tcW w:w="532" w:type="pct"/>
            <w:noWrap w:val="0"/>
            <w:vAlign w:val="center"/>
          </w:tcPr>
          <w:p w14:paraId="23F0ED21">
            <w:pPr>
              <w:jc w:val="center"/>
              <w:rPr>
                <w:rFonts w:hint="eastAsia" w:ascii="宋体" w:hAnsi="宋体" w:eastAsia="宋体" w:cs="宋体"/>
                <w:b/>
                <w:color w:val="000000" w:themeColor="text1"/>
                <w:lang w:val="en-US" w:eastAsia="zh-CN"/>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10</w:t>
            </w:r>
          </w:p>
        </w:tc>
        <w:tc>
          <w:tcPr>
            <w:tcW w:w="531" w:type="pct"/>
            <w:shd w:val="clear" w:color="auto" w:fill="auto"/>
            <w:noWrap w:val="0"/>
            <w:vAlign w:val="center"/>
          </w:tcPr>
          <w:p w14:paraId="7628B838">
            <w:pPr>
              <w:jc w:val="center"/>
              <w:rPr>
                <w:rFonts w:hint="eastAsia" w:ascii="宋体" w:hAnsi="宋体" w:eastAsia="宋体" w:cs="宋体"/>
                <w:b/>
                <w:color w:val="000000" w:themeColor="text1"/>
                <w:sz w:val="24"/>
                <w:lang w:val="en-US" w:eastAsia="zh-CN" w:bidi="ar-SA"/>
                <w14:textFill>
                  <w14:solidFill>
                    <w14:schemeClr w14:val="tx1"/>
                  </w14:solidFill>
                </w14:textFill>
              </w:rPr>
            </w:pPr>
            <w:r>
              <w:rPr>
                <w:rFonts w:hint="eastAsia" w:ascii="宋体" w:hAnsi="宋体" w:eastAsia="宋体" w:cs="宋体"/>
                <w:b/>
                <w:color w:val="000000" w:themeColor="text1"/>
                <w:sz w:val="24"/>
                <w:lang w:val="en-US" w:eastAsia="zh-CN" w:bidi="ar-SA"/>
                <w14:textFill>
                  <w14:solidFill>
                    <w14:schemeClr w14:val="tx1"/>
                  </w14:solidFill>
                </w14:textFill>
              </w:rPr>
              <w:t>12</w:t>
            </w:r>
          </w:p>
        </w:tc>
        <w:tc>
          <w:tcPr>
            <w:tcW w:w="464" w:type="pct"/>
            <w:noWrap w:val="0"/>
            <w:vAlign w:val="top"/>
          </w:tcPr>
          <w:p w14:paraId="57AB66F4">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符合</w:t>
            </w:r>
          </w:p>
        </w:tc>
        <w:tc>
          <w:tcPr>
            <w:tcW w:w="1350" w:type="pct"/>
            <w:noWrap w:val="0"/>
            <w:vAlign w:val="top"/>
          </w:tcPr>
          <w:p w14:paraId="21414D48">
            <w:pPr>
              <w:jc w:val="center"/>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3.4.1</w:t>
            </w:r>
          </w:p>
        </w:tc>
      </w:tr>
      <w:tr w14:paraId="2C1BF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pct"/>
            <w:vMerge w:val="continue"/>
            <w:noWrap w:val="0"/>
            <w:vAlign w:val="center"/>
          </w:tcPr>
          <w:p w14:paraId="642D3D16">
            <w:pPr>
              <w:jc w:val="center"/>
              <w:rPr>
                <w:rFonts w:hint="eastAsia" w:ascii="宋体" w:hAnsi="宋体" w:eastAsia="宋体" w:cs="宋体"/>
                <w:color w:val="000000" w:themeColor="text1"/>
                <w:kern w:val="0"/>
                <w:szCs w:val="21"/>
                <w14:textFill>
                  <w14:solidFill>
                    <w14:schemeClr w14:val="tx1"/>
                  </w14:solidFill>
                </w14:textFill>
              </w:rPr>
            </w:pPr>
          </w:p>
        </w:tc>
        <w:tc>
          <w:tcPr>
            <w:tcW w:w="1300" w:type="pct"/>
            <w:noWrap w:val="0"/>
            <w:vAlign w:val="center"/>
          </w:tcPr>
          <w:p w14:paraId="5533B325">
            <w:pPr>
              <w:jc w:val="both"/>
              <w:rPr>
                <w:rFonts w:hint="eastAsia"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eastAsia="宋体" w:cs="宋体"/>
                <w:color w:val="000000" w:themeColor="text1"/>
                <w:kern w:val="0"/>
                <w:szCs w:val="21"/>
                <w:lang w:val="en-US" w:eastAsia="zh-CN"/>
                <w14:textFill>
                  <w14:solidFill>
                    <w14:schemeClr w14:val="tx1"/>
                  </w14:solidFill>
                </w14:textFill>
              </w:rPr>
              <w:t xml:space="preserve">    </w:t>
            </w:r>
            <w:r>
              <w:rPr>
                <w:rFonts w:hint="eastAsia" w:hAnsi="宋体" w:cs="宋体"/>
                <w:color w:val="000000" w:themeColor="text1"/>
                <w:kern w:val="0"/>
                <w:szCs w:val="21"/>
                <w:lang w:val="en-US" w:eastAsia="zh-CN"/>
                <w14:textFill>
                  <w14:solidFill>
                    <w14:schemeClr w14:val="tx1"/>
                  </w14:solidFill>
                </w14:textFill>
              </w:rPr>
              <w:t xml:space="preserve"> </w:t>
            </w:r>
            <w:r>
              <w:rPr>
                <w:rFonts w:hint="eastAsia" w:ascii="宋体" w:hAnsi="宋体" w:eastAsia="宋体" w:cs="宋体"/>
                <w:color w:val="000000" w:themeColor="text1"/>
                <w:kern w:val="0"/>
                <w:szCs w:val="21"/>
                <w:lang w:val="en-US" w:eastAsia="zh-CN"/>
                <w14:textFill>
                  <w14:solidFill>
                    <w14:schemeClr w14:val="tx1"/>
                  </w14:solidFill>
                </w14:textFill>
              </w:rPr>
              <w:t>加工区</w:t>
            </w:r>
          </w:p>
        </w:tc>
        <w:tc>
          <w:tcPr>
            <w:tcW w:w="532" w:type="pct"/>
            <w:noWrap w:val="0"/>
            <w:vAlign w:val="center"/>
          </w:tcPr>
          <w:p w14:paraId="3356F8BD">
            <w:pPr>
              <w:jc w:val="center"/>
              <w:rPr>
                <w:rFonts w:hint="eastAsia" w:ascii="宋体" w:hAnsi="宋体" w:eastAsia="宋体" w:cs="宋体"/>
                <w:b/>
                <w:color w:val="000000" w:themeColor="text1"/>
                <w:lang w:val="en-US" w:eastAsia="zh-CN"/>
                <w14:textFill>
                  <w14:solidFill>
                    <w14:schemeClr w14:val="tx1"/>
                  </w14:solidFill>
                </w14:textFill>
              </w:rPr>
            </w:pPr>
            <w:r>
              <w:rPr>
                <w:rFonts w:hint="eastAsia" w:ascii="宋体" w:hAnsi="宋体" w:eastAsia="宋体" w:cs="宋体"/>
                <w:b/>
                <w:color w:val="000000" w:themeColor="text1"/>
                <w:lang w:val="en-US" w:eastAsia="zh-CN"/>
                <w14:textFill>
                  <w14:solidFill>
                    <w14:schemeClr w14:val="tx1"/>
                  </w14:solidFill>
                </w14:textFill>
              </w:rPr>
              <w:t>10</w:t>
            </w:r>
          </w:p>
        </w:tc>
        <w:tc>
          <w:tcPr>
            <w:tcW w:w="531" w:type="pct"/>
            <w:shd w:val="clear" w:color="auto" w:fill="auto"/>
            <w:noWrap w:val="0"/>
            <w:vAlign w:val="center"/>
          </w:tcPr>
          <w:p w14:paraId="6C7ABD24">
            <w:pPr>
              <w:jc w:val="center"/>
              <w:rPr>
                <w:rFonts w:hint="eastAsia" w:ascii="宋体" w:hAnsi="宋体" w:eastAsia="宋体" w:cs="宋体"/>
                <w:b/>
                <w:color w:val="000000" w:themeColor="text1"/>
                <w:sz w:val="24"/>
                <w:lang w:val="en-US" w:eastAsia="zh-CN" w:bidi="ar-SA"/>
                <w14:textFill>
                  <w14:solidFill>
                    <w14:schemeClr w14:val="tx1"/>
                  </w14:solidFill>
                </w14:textFill>
              </w:rPr>
            </w:pPr>
            <w:r>
              <w:rPr>
                <w:rFonts w:hint="eastAsia" w:ascii="宋体" w:hAnsi="宋体" w:eastAsia="宋体" w:cs="宋体"/>
                <w:b/>
                <w:color w:val="000000" w:themeColor="text1"/>
                <w:sz w:val="24"/>
                <w:lang w:val="en-US" w:eastAsia="zh-CN" w:bidi="ar-SA"/>
                <w14:textFill>
                  <w14:solidFill>
                    <w14:schemeClr w14:val="tx1"/>
                  </w14:solidFill>
                </w14:textFill>
              </w:rPr>
              <w:t>11</w:t>
            </w:r>
          </w:p>
        </w:tc>
        <w:tc>
          <w:tcPr>
            <w:tcW w:w="464" w:type="pct"/>
            <w:noWrap w:val="0"/>
            <w:vAlign w:val="top"/>
          </w:tcPr>
          <w:p w14:paraId="62DBDDE1">
            <w:pPr>
              <w:jc w:val="center"/>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符合</w:t>
            </w:r>
          </w:p>
        </w:tc>
        <w:tc>
          <w:tcPr>
            <w:tcW w:w="1350" w:type="pct"/>
            <w:noWrap w:val="0"/>
            <w:vAlign w:val="top"/>
          </w:tcPr>
          <w:p w14:paraId="6E59BAEB">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3.4.1</w:t>
            </w:r>
          </w:p>
        </w:tc>
      </w:tr>
      <w:tr w14:paraId="533EE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pct"/>
            <w:vMerge w:val="continue"/>
            <w:noWrap w:val="0"/>
            <w:vAlign w:val="center"/>
          </w:tcPr>
          <w:p w14:paraId="5318C2C3">
            <w:pPr>
              <w:jc w:val="center"/>
              <w:rPr>
                <w:rFonts w:hint="eastAsia" w:ascii="宋体" w:hAnsi="宋体" w:eastAsia="宋体" w:cs="宋体"/>
                <w:color w:val="000000" w:themeColor="text1"/>
                <w:kern w:val="0"/>
                <w:szCs w:val="21"/>
                <w14:textFill>
                  <w14:solidFill>
                    <w14:schemeClr w14:val="tx1"/>
                  </w14:solidFill>
                </w14:textFill>
              </w:rPr>
            </w:pPr>
          </w:p>
        </w:tc>
        <w:tc>
          <w:tcPr>
            <w:tcW w:w="1300" w:type="pct"/>
            <w:noWrap w:val="0"/>
            <w:vAlign w:val="center"/>
          </w:tcPr>
          <w:p w14:paraId="5592DD72">
            <w:pPr>
              <w:jc w:val="center"/>
              <w:rPr>
                <w:rFonts w:hint="eastAsia"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eastAsia="宋体" w:cs="宋体"/>
                <w:color w:val="000000" w:themeColor="text1"/>
                <w:kern w:val="0"/>
                <w:szCs w:val="21"/>
                <w:lang w:val="en-US" w:eastAsia="zh-CN"/>
                <w14:textFill>
                  <w14:solidFill>
                    <w14:schemeClr w14:val="tx1"/>
                  </w14:solidFill>
                </w14:textFill>
              </w:rPr>
              <w:t>办公室</w:t>
            </w:r>
          </w:p>
        </w:tc>
        <w:tc>
          <w:tcPr>
            <w:tcW w:w="532" w:type="pct"/>
            <w:noWrap w:val="0"/>
            <w:vAlign w:val="center"/>
          </w:tcPr>
          <w:p w14:paraId="327518FC">
            <w:pPr>
              <w:jc w:val="center"/>
              <w:rPr>
                <w:rFonts w:hint="eastAsia" w:ascii="宋体" w:hAnsi="宋体" w:eastAsia="宋体" w:cs="宋体"/>
                <w:b/>
                <w:color w:val="000000" w:themeColor="text1"/>
                <w:lang w:val="en-US" w:eastAsia="zh-CN"/>
                <w14:textFill>
                  <w14:solidFill>
                    <w14:schemeClr w14:val="tx1"/>
                  </w14:solidFill>
                </w14:textFill>
              </w:rPr>
            </w:pPr>
            <w:r>
              <w:rPr>
                <w:rFonts w:hint="eastAsia" w:ascii="宋体" w:hAnsi="宋体" w:eastAsia="宋体" w:cs="宋体"/>
                <w:b/>
                <w:color w:val="000000" w:themeColor="text1"/>
                <w:lang w:val="en-US" w:eastAsia="zh-CN"/>
                <w14:textFill>
                  <w14:solidFill>
                    <w14:schemeClr w14:val="tx1"/>
                  </w14:solidFill>
                </w14:textFill>
              </w:rPr>
              <w:t>10</w:t>
            </w:r>
          </w:p>
        </w:tc>
        <w:tc>
          <w:tcPr>
            <w:tcW w:w="531" w:type="pct"/>
            <w:shd w:val="clear" w:color="auto" w:fill="auto"/>
            <w:noWrap w:val="0"/>
            <w:vAlign w:val="center"/>
          </w:tcPr>
          <w:p w14:paraId="32C90AFF">
            <w:pPr>
              <w:jc w:val="center"/>
              <w:rPr>
                <w:rFonts w:hint="eastAsia" w:ascii="宋体" w:hAnsi="宋体" w:eastAsia="宋体" w:cs="宋体"/>
                <w:b/>
                <w:color w:val="000000" w:themeColor="text1"/>
                <w:sz w:val="24"/>
                <w:lang w:val="en-US" w:eastAsia="zh-CN" w:bidi="ar-SA"/>
                <w14:textFill>
                  <w14:solidFill>
                    <w14:schemeClr w14:val="tx1"/>
                  </w14:solidFill>
                </w14:textFill>
              </w:rPr>
            </w:pPr>
            <w:r>
              <w:rPr>
                <w:rFonts w:hint="eastAsia" w:ascii="宋体" w:hAnsi="宋体" w:eastAsia="宋体" w:cs="宋体"/>
                <w:b/>
                <w:color w:val="000000" w:themeColor="text1"/>
                <w:sz w:val="24"/>
                <w:lang w:val="en-US" w:eastAsia="zh-CN" w:bidi="ar-SA"/>
                <w14:textFill>
                  <w14:solidFill>
                    <w14:schemeClr w14:val="tx1"/>
                  </w14:solidFill>
                </w14:textFill>
              </w:rPr>
              <w:t>15</w:t>
            </w:r>
          </w:p>
        </w:tc>
        <w:tc>
          <w:tcPr>
            <w:tcW w:w="464" w:type="pct"/>
            <w:shd w:val="clear" w:color="auto" w:fill="auto"/>
            <w:noWrap w:val="0"/>
            <w:vAlign w:val="top"/>
          </w:tcPr>
          <w:p w14:paraId="5AD6C3E7">
            <w:pPr>
              <w:jc w:val="center"/>
              <w:rPr>
                <w:rFonts w:hint="eastAsia" w:ascii="宋体" w:hAnsi="宋体" w:eastAsia="宋体" w:cs="宋体"/>
                <w:color w:val="000000" w:themeColor="text1"/>
                <w:sz w:val="24"/>
                <w:lang w:val="en-US" w:eastAsia="zh-CN" w:bidi="ar-SA"/>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符合</w:t>
            </w:r>
          </w:p>
        </w:tc>
        <w:tc>
          <w:tcPr>
            <w:tcW w:w="1350" w:type="pct"/>
            <w:shd w:val="clear" w:color="auto" w:fill="auto"/>
            <w:noWrap w:val="0"/>
            <w:vAlign w:val="top"/>
          </w:tcPr>
          <w:p w14:paraId="4F877A8F">
            <w:pPr>
              <w:jc w:val="center"/>
              <w:rPr>
                <w:rFonts w:hint="eastAsia" w:ascii="宋体" w:hAnsi="宋体" w:eastAsia="宋体" w:cs="宋体"/>
                <w:color w:val="000000" w:themeColor="text1"/>
                <w:sz w:val="24"/>
                <w:lang w:val="en-US" w:eastAsia="zh-CN" w:bidi="ar-SA"/>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3.4.1</w:t>
            </w:r>
          </w:p>
        </w:tc>
      </w:tr>
      <w:tr w14:paraId="45005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pct"/>
            <w:vMerge w:val="continue"/>
            <w:noWrap w:val="0"/>
            <w:vAlign w:val="center"/>
          </w:tcPr>
          <w:p w14:paraId="2D15D2E3">
            <w:pPr>
              <w:jc w:val="center"/>
              <w:rPr>
                <w:rFonts w:hint="eastAsia" w:ascii="宋体" w:hAnsi="宋体" w:eastAsia="宋体" w:cs="宋体"/>
                <w:color w:val="000000" w:themeColor="text1"/>
                <w:kern w:val="0"/>
                <w:szCs w:val="21"/>
                <w14:textFill>
                  <w14:solidFill>
                    <w14:schemeClr w14:val="tx1"/>
                  </w14:solidFill>
                </w14:textFill>
              </w:rPr>
            </w:pPr>
          </w:p>
        </w:tc>
        <w:tc>
          <w:tcPr>
            <w:tcW w:w="1300" w:type="pct"/>
            <w:noWrap w:val="0"/>
            <w:vAlign w:val="center"/>
          </w:tcPr>
          <w:p w14:paraId="7B48677B">
            <w:pPr>
              <w:jc w:val="center"/>
              <w:rPr>
                <w:rFonts w:hint="eastAsia"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eastAsia="宋体" w:cs="宋体"/>
                <w:color w:val="000000" w:themeColor="text1"/>
                <w:kern w:val="0"/>
                <w:szCs w:val="21"/>
                <w:lang w:val="en-US" w:eastAsia="zh-CN"/>
                <w14:textFill>
                  <w14:solidFill>
                    <w14:schemeClr w14:val="tx1"/>
                  </w14:solidFill>
                </w14:textFill>
              </w:rPr>
              <w:t>仓库</w:t>
            </w:r>
          </w:p>
        </w:tc>
        <w:tc>
          <w:tcPr>
            <w:tcW w:w="532" w:type="pct"/>
            <w:noWrap w:val="0"/>
            <w:vAlign w:val="center"/>
          </w:tcPr>
          <w:p w14:paraId="4B22DCCF">
            <w:pPr>
              <w:jc w:val="center"/>
              <w:rPr>
                <w:rFonts w:hint="eastAsia" w:ascii="宋体" w:hAnsi="宋体" w:eastAsia="宋体" w:cs="宋体"/>
                <w:b/>
                <w:color w:val="000000" w:themeColor="text1"/>
                <w:lang w:val="en-US" w:eastAsia="zh-CN"/>
                <w14:textFill>
                  <w14:solidFill>
                    <w14:schemeClr w14:val="tx1"/>
                  </w14:solidFill>
                </w14:textFill>
              </w:rPr>
            </w:pPr>
            <w:r>
              <w:rPr>
                <w:rFonts w:hint="eastAsia" w:ascii="宋体" w:hAnsi="宋体" w:eastAsia="宋体" w:cs="宋体"/>
                <w:b/>
                <w:color w:val="000000" w:themeColor="text1"/>
                <w:lang w:val="en-US" w:eastAsia="zh-CN"/>
                <w14:textFill>
                  <w14:solidFill>
                    <w14:schemeClr w14:val="tx1"/>
                  </w14:solidFill>
                </w14:textFill>
              </w:rPr>
              <w:t>10</w:t>
            </w:r>
          </w:p>
        </w:tc>
        <w:tc>
          <w:tcPr>
            <w:tcW w:w="531" w:type="pct"/>
            <w:shd w:val="clear" w:color="auto" w:fill="auto"/>
            <w:noWrap w:val="0"/>
            <w:vAlign w:val="center"/>
          </w:tcPr>
          <w:p w14:paraId="3755B1F9">
            <w:pPr>
              <w:jc w:val="center"/>
              <w:rPr>
                <w:rFonts w:hint="eastAsia" w:ascii="宋体" w:hAnsi="宋体" w:eastAsia="宋体" w:cs="宋体"/>
                <w:b/>
                <w:color w:val="000000" w:themeColor="text1"/>
                <w:lang w:val="en-US" w:eastAsia="zh-CN"/>
                <w14:textFill>
                  <w14:solidFill>
                    <w14:schemeClr w14:val="tx1"/>
                  </w14:solidFill>
                </w14:textFill>
              </w:rPr>
            </w:pPr>
            <w:r>
              <w:rPr>
                <w:rFonts w:hint="eastAsia" w:ascii="宋体" w:hAnsi="宋体" w:eastAsia="宋体" w:cs="宋体"/>
                <w:b/>
                <w:color w:val="000000" w:themeColor="text1"/>
                <w:lang w:val="en-US" w:eastAsia="zh-CN"/>
                <w14:textFill>
                  <w14:solidFill>
                    <w14:schemeClr w14:val="tx1"/>
                  </w14:solidFill>
                </w14:textFill>
              </w:rPr>
              <w:t>15</w:t>
            </w:r>
          </w:p>
        </w:tc>
        <w:tc>
          <w:tcPr>
            <w:tcW w:w="464" w:type="pct"/>
            <w:shd w:val="clear" w:color="auto" w:fill="auto"/>
            <w:noWrap w:val="0"/>
            <w:vAlign w:val="top"/>
          </w:tcPr>
          <w:p w14:paraId="6C7C8E6C">
            <w:pPr>
              <w:jc w:val="center"/>
              <w:rPr>
                <w:rFonts w:hint="eastAsia" w:ascii="宋体" w:hAnsi="宋体" w:eastAsia="宋体" w:cs="宋体"/>
                <w:color w:val="000000" w:themeColor="text1"/>
                <w:sz w:val="24"/>
                <w:lang w:val="en-US" w:eastAsia="zh-CN" w:bidi="ar-SA"/>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符合</w:t>
            </w:r>
          </w:p>
        </w:tc>
        <w:tc>
          <w:tcPr>
            <w:tcW w:w="1350" w:type="pct"/>
            <w:shd w:val="clear" w:color="auto" w:fill="auto"/>
            <w:noWrap w:val="0"/>
            <w:vAlign w:val="top"/>
          </w:tcPr>
          <w:p w14:paraId="24216FFD">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3.4.1</w:t>
            </w:r>
          </w:p>
        </w:tc>
      </w:tr>
      <w:tr w14:paraId="53644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pct"/>
            <w:vMerge w:val="restart"/>
            <w:noWrap w:val="0"/>
            <w:vAlign w:val="center"/>
          </w:tcPr>
          <w:p w14:paraId="09E99F94">
            <w:pPr>
              <w:jc w:val="center"/>
              <w:rPr>
                <w:rFonts w:hint="eastAsia" w:ascii="宋体" w:hAnsi="宋体" w:eastAsia="宋体" w:cs="宋体"/>
                <w:color w:val="000000" w:themeColor="text1"/>
                <w:kern w:val="0"/>
                <w:szCs w:val="21"/>
                <w:lang w:val="en-US" w:eastAsia="zh-CN"/>
                <w14:textFill>
                  <w14:solidFill>
                    <w14:schemeClr w14:val="tx1"/>
                  </w14:solidFill>
                </w14:textFill>
              </w:rPr>
            </w:pPr>
          </w:p>
          <w:p w14:paraId="093E5269">
            <w:pPr>
              <w:jc w:val="center"/>
              <w:rPr>
                <w:rFonts w:hint="eastAsia" w:ascii="宋体" w:hAnsi="宋体" w:eastAsia="宋体" w:cs="宋体"/>
                <w:color w:val="000000" w:themeColor="text1"/>
                <w:kern w:val="0"/>
                <w:szCs w:val="21"/>
                <w:lang w:val="en-US" w:eastAsia="zh-CN"/>
                <w14:textFill>
                  <w14:solidFill>
                    <w14:schemeClr w14:val="tx1"/>
                  </w14:solidFill>
                </w14:textFill>
              </w:rPr>
            </w:pPr>
          </w:p>
          <w:p w14:paraId="4C575EF0">
            <w:pPr>
              <w:jc w:val="center"/>
              <w:rPr>
                <w:rFonts w:hint="eastAsia"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eastAsia="宋体" w:cs="宋体"/>
                <w:color w:val="000000" w:themeColor="text1"/>
                <w:kern w:val="0"/>
                <w:szCs w:val="21"/>
                <w:lang w:val="en-US" w:eastAsia="zh-CN"/>
                <w14:textFill>
                  <w14:solidFill>
                    <w14:schemeClr w14:val="tx1"/>
                  </w14:solidFill>
                </w14:textFill>
              </w:rPr>
              <w:t>办公室</w:t>
            </w:r>
          </w:p>
        </w:tc>
        <w:tc>
          <w:tcPr>
            <w:tcW w:w="1300" w:type="pct"/>
            <w:noWrap w:val="0"/>
            <w:vAlign w:val="center"/>
          </w:tcPr>
          <w:p w14:paraId="6BBC0EDF">
            <w:pPr>
              <w:jc w:val="center"/>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hAnsi="宋体" w:cs="宋体"/>
                <w:color w:val="000000" w:themeColor="text1"/>
                <w:kern w:val="0"/>
                <w:szCs w:val="21"/>
                <w:lang w:val="en-US" w:eastAsia="zh-CN"/>
                <w14:textFill>
                  <w14:solidFill>
                    <w14:schemeClr w14:val="tx1"/>
                  </w14:solidFill>
                </w14:textFill>
              </w:rPr>
              <w:t>装配区</w:t>
            </w:r>
          </w:p>
        </w:tc>
        <w:tc>
          <w:tcPr>
            <w:tcW w:w="532" w:type="pct"/>
            <w:noWrap w:val="0"/>
            <w:vAlign w:val="center"/>
          </w:tcPr>
          <w:p w14:paraId="39C92D72">
            <w:pPr>
              <w:jc w:val="center"/>
              <w:rPr>
                <w:rFonts w:hint="eastAsia" w:ascii="宋体" w:hAnsi="宋体" w:eastAsia="宋体" w:cs="宋体"/>
                <w:b/>
                <w:color w:val="000000" w:themeColor="text1"/>
                <w:lang w:val="en-US" w:eastAsia="zh-CN"/>
                <w14:textFill>
                  <w14:solidFill>
                    <w14:schemeClr w14:val="tx1"/>
                  </w14:solidFill>
                </w14:textFill>
              </w:rPr>
            </w:pPr>
            <w:r>
              <w:rPr>
                <w:rFonts w:hint="eastAsia" w:ascii="宋体" w:hAnsi="宋体" w:eastAsia="宋体" w:cs="宋体"/>
                <w:b/>
                <w:color w:val="000000" w:themeColor="text1"/>
                <w:lang w:val="en-US" w:eastAsia="zh-CN"/>
                <w14:textFill>
                  <w14:solidFill>
                    <w14:schemeClr w14:val="tx1"/>
                  </w14:solidFill>
                </w14:textFill>
              </w:rPr>
              <w:t>10</w:t>
            </w:r>
          </w:p>
        </w:tc>
        <w:tc>
          <w:tcPr>
            <w:tcW w:w="531" w:type="pct"/>
            <w:shd w:val="clear" w:color="auto" w:fill="auto"/>
            <w:noWrap w:val="0"/>
            <w:vAlign w:val="center"/>
          </w:tcPr>
          <w:p w14:paraId="51AC9C68">
            <w:pPr>
              <w:jc w:val="center"/>
              <w:rPr>
                <w:rFonts w:hint="default" w:ascii="宋体" w:hAnsi="宋体" w:eastAsia="宋体" w:cs="宋体"/>
                <w:b/>
                <w:color w:val="000000" w:themeColor="text1"/>
                <w:sz w:val="24"/>
                <w:lang w:val="en-US" w:eastAsia="zh-CN" w:bidi="ar-SA"/>
                <w14:textFill>
                  <w14:solidFill>
                    <w14:schemeClr w14:val="tx1"/>
                  </w14:solidFill>
                </w14:textFill>
              </w:rPr>
            </w:pPr>
            <w:r>
              <w:rPr>
                <w:rFonts w:hint="eastAsia" w:ascii="宋体" w:hAnsi="宋体" w:eastAsia="宋体" w:cs="宋体"/>
                <w:b/>
                <w:color w:val="000000" w:themeColor="text1"/>
                <w:lang w:val="en-US" w:eastAsia="zh-CN"/>
                <w14:textFill>
                  <w14:solidFill>
                    <w14:schemeClr w14:val="tx1"/>
                  </w14:solidFill>
                </w14:textFill>
              </w:rPr>
              <w:t>2</w:t>
            </w:r>
            <w:r>
              <w:rPr>
                <w:rFonts w:hint="eastAsia" w:hAnsi="宋体" w:cs="宋体"/>
                <w:b/>
                <w:color w:val="000000" w:themeColor="text1"/>
                <w:lang w:val="en-US" w:eastAsia="zh-CN"/>
                <w14:textFill>
                  <w14:solidFill>
                    <w14:schemeClr w14:val="tx1"/>
                  </w14:solidFill>
                </w14:textFill>
              </w:rPr>
              <w:t>3</w:t>
            </w:r>
          </w:p>
        </w:tc>
        <w:tc>
          <w:tcPr>
            <w:tcW w:w="464" w:type="pct"/>
            <w:shd w:val="clear" w:color="auto" w:fill="auto"/>
            <w:noWrap w:val="0"/>
            <w:vAlign w:val="top"/>
          </w:tcPr>
          <w:p w14:paraId="516A0C2B">
            <w:pPr>
              <w:jc w:val="center"/>
              <w:rPr>
                <w:rFonts w:hint="eastAsia" w:ascii="宋体" w:hAnsi="宋体" w:eastAsia="宋体" w:cs="宋体"/>
                <w:color w:val="000000" w:themeColor="text1"/>
                <w:sz w:val="24"/>
                <w:lang w:val="en-US" w:eastAsia="zh-CN" w:bidi="ar-SA"/>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符合</w:t>
            </w:r>
          </w:p>
        </w:tc>
        <w:tc>
          <w:tcPr>
            <w:tcW w:w="1350" w:type="pct"/>
            <w:shd w:val="clear" w:color="auto" w:fill="auto"/>
            <w:noWrap w:val="0"/>
            <w:vAlign w:val="top"/>
          </w:tcPr>
          <w:p w14:paraId="7FE6BA43">
            <w:pPr>
              <w:jc w:val="center"/>
              <w:rPr>
                <w:rFonts w:hint="eastAsia" w:ascii="宋体" w:hAnsi="宋体" w:eastAsia="宋体" w:cs="宋体"/>
                <w:color w:val="000000" w:themeColor="text1"/>
                <w:sz w:val="24"/>
                <w:lang w:val="en-US" w:eastAsia="zh-CN" w:bidi="ar-SA"/>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3.4.1</w:t>
            </w:r>
          </w:p>
        </w:tc>
      </w:tr>
      <w:tr w14:paraId="6F54D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pct"/>
            <w:vMerge w:val="continue"/>
            <w:noWrap w:val="0"/>
            <w:vAlign w:val="center"/>
          </w:tcPr>
          <w:p w14:paraId="5F397E0E">
            <w:pPr>
              <w:jc w:val="center"/>
              <w:rPr>
                <w:rFonts w:hint="eastAsia" w:ascii="宋体" w:hAnsi="宋体" w:eastAsia="宋体" w:cs="宋体"/>
                <w:color w:val="000000" w:themeColor="text1"/>
                <w:kern w:val="0"/>
                <w:szCs w:val="21"/>
                <w14:textFill>
                  <w14:solidFill>
                    <w14:schemeClr w14:val="tx1"/>
                  </w14:solidFill>
                </w14:textFill>
              </w:rPr>
            </w:pPr>
          </w:p>
        </w:tc>
        <w:tc>
          <w:tcPr>
            <w:tcW w:w="1300" w:type="pct"/>
            <w:noWrap w:val="0"/>
            <w:vAlign w:val="center"/>
          </w:tcPr>
          <w:p w14:paraId="36169AF3">
            <w:pPr>
              <w:jc w:val="center"/>
              <w:rPr>
                <w:rFonts w:hint="eastAsia"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eastAsia="宋体" w:cs="宋体"/>
                <w:color w:val="000000" w:themeColor="text1"/>
                <w:kern w:val="0"/>
                <w:szCs w:val="21"/>
                <w:lang w:val="en-US" w:eastAsia="zh-CN"/>
                <w14:textFill>
                  <w14:solidFill>
                    <w14:schemeClr w14:val="tx1"/>
                  </w14:solidFill>
                </w14:textFill>
              </w:rPr>
              <w:t>加工区</w:t>
            </w:r>
          </w:p>
        </w:tc>
        <w:tc>
          <w:tcPr>
            <w:tcW w:w="532" w:type="pct"/>
            <w:noWrap w:val="0"/>
            <w:vAlign w:val="center"/>
          </w:tcPr>
          <w:p w14:paraId="0A6E9AB8">
            <w:pPr>
              <w:jc w:val="center"/>
              <w:rPr>
                <w:rFonts w:hint="eastAsia" w:ascii="宋体" w:hAnsi="宋体" w:eastAsia="宋体" w:cs="宋体"/>
                <w:b/>
                <w:color w:val="000000" w:themeColor="text1"/>
                <w:lang w:val="en-US" w:eastAsia="zh-CN"/>
                <w14:textFill>
                  <w14:solidFill>
                    <w14:schemeClr w14:val="tx1"/>
                  </w14:solidFill>
                </w14:textFill>
              </w:rPr>
            </w:pPr>
            <w:r>
              <w:rPr>
                <w:rFonts w:hint="eastAsia" w:ascii="宋体" w:hAnsi="宋体" w:eastAsia="宋体" w:cs="宋体"/>
                <w:b/>
                <w:color w:val="000000" w:themeColor="text1"/>
                <w:lang w:val="en-US" w:eastAsia="zh-CN"/>
                <w14:textFill>
                  <w14:solidFill>
                    <w14:schemeClr w14:val="tx1"/>
                  </w14:solidFill>
                </w14:textFill>
              </w:rPr>
              <w:t>10</w:t>
            </w:r>
          </w:p>
        </w:tc>
        <w:tc>
          <w:tcPr>
            <w:tcW w:w="531" w:type="pct"/>
            <w:shd w:val="clear" w:color="auto" w:fill="auto"/>
            <w:noWrap w:val="0"/>
            <w:vAlign w:val="center"/>
          </w:tcPr>
          <w:p w14:paraId="2B87787C">
            <w:pPr>
              <w:jc w:val="center"/>
              <w:rPr>
                <w:rFonts w:hint="eastAsia" w:ascii="宋体" w:hAnsi="宋体" w:eastAsia="宋体" w:cs="宋体"/>
                <w:b/>
                <w:color w:val="000000" w:themeColor="text1"/>
                <w:sz w:val="24"/>
                <w:lang w:val="en-US" w:eastAsia="zh-CN" w:bidi="ar-SA"/>
                <w14:textFill>
                  <w14:solidFill>
                    <w14:schemeClr w14:val="tx1"/>
                  </w14:solidFill>
                </w14:textFill>
              </w:rPr>
            </w:pPr>
            <w:r>
              <w:rPr>
                <w:rFonts w:hint="eastAsia" w:ascii="宋体" w:hAnsi="宋体" w:eastAsia="宋体" w:cs="宋体"/>
                <w:b/>
                <w:color w:val="000000" w:themeColor="text1"/>
                <w:lang w:val="en-US" w:eastAsia="zh-CN"/>
                <w14:textFill>
                  <w14:solidFill>
                    <w14:schemeClr w14:val="tx1"/>
                  </w14:solidFill>
                </w14:textFill>
              </w:rPr>
              <w:t>25</w:t>
            </w:r>
          </w:p>
        </w:tc>
        <w:tc>
          <w:tcPr>
            <w:tcW w:w="464" w:type="pct"/>
            <w:shd w:val="clear" w:color="auto" w:fill="auto"/>
            <w:noWrap w:val="0"/>
            <w:vAlign w:val="top"/>
          </w:tcPr>
          <w:p w14:paraId="59892D39">
            <w:pPr>
              <w:jc w:val="center"/>
              <w:rPr>
                <w:rFonts w:hint="eastAsia" w:ascii="宋体" w:hAnsi="宋体" w:eastAsia="宋体" w:cs="宋体"/>
                <w:color w:val="000000" w:themeColor="text1"/>
                <w:sz w:val="24"/>
                <w:lang w:val="en-US" w:eastAsia="zh-CN" w:bidi="ar-SA"/>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符合</w:t>
            </w:r>
          </w:p>
        </w:tc>
        <w:tc>
          <w:tcPr>
            <w:tcW w:w="1350" w:type="pct"/>
            <w:shd w:val="clear" w:color="auto" w:fill="auto"/>
            <w:noWrap w:val="0"/>
            <w:vAlign w:val="top"/>
          </w:tcPr>
          <w:p w14:paraId="06F7125C">
            <w:pPr>
              <w:jc w:val="center"/>
              <w:rPr>
                <w:rFonts w:hint="eastAsia" w:ascii="宋体" w:hAnsi="宋体" w:eastAsia="宋体" w:cs="宋体"/>
                <w:color w:val="000000" w:themeColor="text1"/>
                <w:sz w:val="24"/>
                <w:lang w:val="en-US" w:eastAsia="zh-CN" w:bidi="ar-SA"/>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3.4.1</w:t>
            </w:r>
          </w:p>
        </w:tc>
      </w:tr>
      <w:tr w14:paraId="63307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pct"/>
            <w:vMerge w:val="continue"/>
            <w:noWrap w:val="0"/>
            <w:vAlign w:val="center"/>
          </w:tcPr>
          <w:p w14:paraId="0F9D037E">
            <w:pPr>
              <w:jc w:val="center"/>
              <w:rPr>
                <w:rFonts w:hint="eastAsia" w:ascii="宋体" w:hAnsi="宋体" w:eastAsia="宋体" w:cs="宋体"/>
                <w:color w:val="000000" w:themeColor="text1"/>
                <w:kern w:val="0"/>
                <w:szCs w:val="21"/>
                <w14:textFill>
                  <w14:solidFill>
                    <w14:schemeClr w14:val="tx1"/>
                  </w14:solidFill>
                </w14:textFill>
              </w:rPr>
            </w:pPr>
          </w:p>
        </w:tc>
        <w:tc>
          <w:tcPr>
            <w:tcW w:w="1300" w:type="pct"/>
            <w:noWrap w:val="0"/>
            <w:vAlign w:val="center"/>
          </w:tcPr>
          <w:p w14:paraId="34B9E865">
            <w:pPr>
              <w:jc w:val="center"/>
              <w:rPr>
                <w:rFonts w:hint="eastAsia" w:ascii="宋体" w:hAnsi="宋体" w:eastAsia="宋体" w:cs="宋体"/>
                <w:color w:val="000000" w:themeColor="text1"/>
                <w:kern w:val="0"/>
                <w:szCs w:val="21"/>
                <w:lang w:val="en-US" w:eastAsia="zh-CN"/>
                <w14:textFill>
                  <w14:solidFill>
                    <w14:schemeClr w14:val="tx1"/>
                  </w14:solidFill>
                </w14:textFill>
              </w:rPr>
            </w:pPr>
            <w:r>
              <w:rPr>
                <w:rFonts w:hint="eastAsia" w:hAnsi="宋体" w:cs="宋体"/>
                <w:color w:val="000000" w:themeColor="text1"/>
                <w:kern w:val="0"/>
                <w:szCs w:val="21"/>
                <w:lang w:val="en-US" w:eastAsia="zh-CN"/>
                <w14:textFill>
                  <w14:solidFill>
                    <w14:schemeClr w14:val="tx1"/>
                  </w14:solidFill>
                </w14:textFill>
              </w:rPr>
              <w:t>成品</w:t>
            </w:r>
            <w:r>
              <w:rPr>
                <w:rFonts w:hint="eastAsia" w:ascii="宋体" w:hAnsi="宋体" w:eastAsia="宋体" w:cs="宋体"/>
                <w:color w:val="000000" w:themeColor="text1"/>
                <w:kern w:val="0"/>
                <w:szCs w:val="21"/>
                <w:lang w:val="en-US" w:eastAsia="zh-CN"/>
                <w14:textFill>
                  <w14:solidFill>
                    <w14:schemeClr w14:val="tx1"/>
                  </w14:solidFill>
                </w14:textFill>
              </w:rPr>
              <w:t>区</w:t>
            </w:r>
          </w:p>
        </w:tc>
        <w:tc>
          <w:tcPr>
            <w:tcW w:w="532" w:type="pct"/>
            <w:noWrap w:val="0"/>
            <w:vAlign w:val="center"/>
          </w:tcPr>
          <w:p w14:paraId="61F19D72">
            <w:pPr>
              <w:jc w:val="center"/>
              <w:rPr>
                <w:rFonts w:hint="eastAsia" w:ascii="宋体" w:hAnsi="宋体" w:eastAsia="宋体" w:cs="宋体"/>
                <w:b/>
                <w:color w:val="000000" w:themeColor="text1"/>
                <w:lang w:val="en-US" w:eastAsia="zh-CN"/>
                <w14:textFill>
                  <w14:solidFill>
                    <w14:schemeClr w14:val="tx1"/>
                  </w14:solidFill>
                </w14:textFill>
              </w:rPr>
            </w:pPr>
            <w:r>
              <w:rPr>
                <w:rFonts w:hint="eastAsia" w:ascii="宋体" w:hAnsi="宋体" w:eastAsia="宋体" w:cs="宋体"/>
                <w:b/>
                <w:color w:val="000000" w:themeColor="text1"/>
                <w:lang w:val="en-US" w:eastAsia="zh-CN"/>
                <w14:textFill>
                  <w14:solidFill>
                    <w14:schemeClr w14:val="tx1"/>
                  </w14:solidFill>
                </w14:textFill>
              </w:rPr>
              <w:t>10</w:t>
            </w:r>
          </w:p>
        </w:tc>
        <w:tc>
          <w:tcPr>
            <w:tcW w:w="531" w:type="pct"/>
            <w:shd w:val="clear" w:color="auto" w:fill="auto"/>
            <w:noWrap w:val="0"/>
            <w:vAlign w:val="center"/>
          </w:tcPr>
          <w:p w14:paraId="0C94B56F">
            <w:pPr>
              <w:jc w:val="center"/>
              <w:rPr>
                <w:rFonts w:hint="eastAsia" w:ascii="宋体" w:hAnsi="宋体" w:eastAsia="宋体" w:cs="宋体"/>
                <w:b/>
                <w:color w:val="000000" w:themeColor="text1"/>
                <w:sz w:val="24"/>
                <w:lang w:val="en-US" w:eastAsia="zh-CN" w:bidi="ar-SA"/>
                <w14:textFill>
                  <w14:solidFill>
                    <w14:schemeClr w14:val="tx1"/>
                  </w14:solidFill>
                </w14:textFill>
              </w:rPr>
            </w:pPr>
            <w:r>
              <w:rPr>
                <w:rFonts w:hint="eastAsia" w:ascii="宋体" w:hAnsi="宋体" w:eastAsia="宋体" w:cs="宋体"/>
                <w:b/>
                <w:color w:val="000000" w:themeColor="text1"/>
                <w:sz w:val="24"/>
                <w:lang w:val="en-US" w:eastAsia="zh-CN" w:bidi="ar-SA"/>
                <w14:textFill>
                  <w14:solidFill>
                    <w14:schemeClr w14:val="tx1"/>
                  </w14:solidFill>
                </w14:textFill>
              </w:rPr>
              <w:t>15</w:t>
            </w:r>
          </w:p>
        </w:tc>
        <w:tc>
          <w:tcPr>
            <w:tcW w:w="464" w:type="pct"/>
            <w:shd w:val="clear" w:color="auto" w:fill="auto"/>
            <w:noWrap w:val="0"/>
            <w:vAlign w:val="top"/>
          </w:tcPr>
          <w:p w14:paraId="2C5BE528">
            <w:pPr>
              <w:jc w:val="center"/>
              <w:rPr>
                <w:rFonts w:hint="eastAsia" w:ascii="宋体" w:hAnsi="宋体" w:eastAsia="宋体" w:cs="宋体"/>
                <w:color w:val="000000" w:themeColor="text1"/>
                <w:sz w:val="24"/>
                <w:lang w:val="en-US" w:eastAsia="zh-CN" w:bidi="ar-SA"/>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符合</w:t>
            </w:r>
          </w:p>
        </w:tc>
        <w:tc>
          <w:tcPr>
            <w:tcW w:w="1350" w:type="pct"/>
            <w:shd w:val="clear" w:color="auto" w:fill="auto"/>
            <w:noWrap w:val="0"/>
            <w:vAlign w:val="top"/>
          </w:tcPr>
          <w:p w14:paraId="7B9E6DA1">
            <w:pPr>
              <w:jc w:val="center"/>
              <w:rPr>
                <w:rFonts w:hint="eastAsia" w:ascii="宋体" w:hAnsi="宋体" w:eastAsia="宋体" w:cs="宋体"/>
                <w:color w:val="000000" w:themeColor="text1"/>
                <w:sz w:val="24"/>
                <w:lang w:val="en-US" w:eastAsia="zh-CN" w:bidi="ar-SA"/>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3.4.1</w:t>
            </w:r>
          </w:p>
        </w:tc>
      </w:tr>
      <w:tr w14:paraId="66E18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pct"/>
            <w:vMerge w:val="continue"/>
            <w:noWrap w:val="0"/>
            <w:vAlign w:val="center"/>
          </w:tcPr>
          <w:p w14:paraId="125162ED">
            <w:pPr>
              <w:jc w:val="center"/>
              <w:rPr>
                <w:rFonts w:hint="eastAsia" w:ascii="宋体" w:hAnsi="宋体" w:eastAsia="宋体" w:cs="宋体"/>
                <w:color w:val="000000" w:themeColor="text1"/>
                <w:kern w:val="0"/>
                <w:szCs w:val="21"/>
                <w14:textFill>
                  <w14:solidFill>
                    <w14:schemeClr w14:val="tx1"/>
                  </w14:solidFill>
                </w14:textFill>
              </w:rPr>
            </w:pPr>
          </w:p>
        </w:tc>
        <w:tc>
          <w:tcPr>
            <w:tcW w:w="1300" w:type="pct"/>
            <w:noWrap w:val="0"/>
            <w:vAlign w:val="center"/>
          </w:tcPr>
          <w:p w14:paraId="4949DE77">
            <w:pPr>
              <w:jc w:val="center"/>
              <w:rPr>
                <w:rFonts w:hint="eastAsia"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eastAsia="宋体" w:cs="宋体"/>
                <w:color w:val="000000" w:themeColor="text1"/>
                <w:kern w:val="0"/>
                <w:szCs w:val="21"/>
                <w:lang w:val="en-US" w:eastAsia="zh-CN"/>
                <w14:textFill>
                  <w14:solidFill>
                    <w14:schemeClr w14:val="tx1"/>
                  </w14:solidFill>
                </w14:textFill>
              </w:rPr>
              <w:t>仓库</w:t>
            </w:r>
          </w:p>
        </w:tc>
        <w:tc>
          <w:tcPr>
            <w:tcW w:w="532" w:type="pct"/>
            <w:noWrap w:val="0"/>
            <w:vAlign w:val="center"/>
          </w:tcPr>
          <w:p w14:paraId="5946EFD3">
            <w:pPr>
              <w:jc w:val="center"/>
              <w:rPr>
                <w:rFonts w:hint="eastAsia" w:ascii="宋体" w:hAnsi="宋体" w:eastAsia="宋体" w:cs="宋体"/>
                <w:b/>
                <w:color w:val="000000" w:themeColor="text1"/>
                <w:lang w:val="en-US" w:eastAsia="zh-CN"/>
                <w14:textFill>
                  <w14:solidFill>
                    <w14:schemeClr w14:val="tx1"/>
                  </w14:solidFill>
                </w14:textFill>
              </w:rPr>
            </w:pPr>
            <w:r>
              <w:rPr>
                <w:rFonts w:hint="eastAsia" w:ascii="宋体" w:hAnsi="宋体" w:eastAsia="宋体" w:cs="宋体"/>
                <w:b/>
                <w:color w:val="000000" w:themeColor="text1"/>
                <w:lang w:val="en-US" w:eastAsia="zh-CN"/>
                <w14:textFill>
                  <w14:solidFill>
                    <w14:schemeClr w14:val="tx1"/>
                  </w14:solidFill>
                </w14:textFill>
              </w:rPr>
              <w:t>10</w:t>
            </w:r>
          </w:p>
        </w:tc>
        <w:tc>
          <w:tcPr>
            <w:tcW w:w="531" w:type="pct"/>
            <w:shd w:val="clear" w:color="auto" w:fill="auto"/>
            <w:noWrap w:val="0"/>
            <w:vAlign w:val="center"/>
          </w:tcPr>
          <w:p w14:paraId="11BA9088">
            <w:pPr>
              <w:jc w:val="center"/>
              <w:rPr>
                <w:rFonts w:hint="eastAsia" w:ascii="宋体" w:hAnsi="宋体" w:eastAsia="宋体" w:cs="宋体"/>
                <w:b/>
                <w:color w:val="000000" w:themeColor="text1"/>
                <w:lang w:val="en-US" w:eastAsia="zh-CN"/>
                <w14:textFill>
                  <w14:solidFill>
                    <w14:schemeClr w14:val="tx1"/>
                  </w14:solidFill>
                </w14:textFill>
              </w:rPr>
            </w:pPr>
            <w:r>
              <w:rPr>
                <w:rFonts w:hint="eastAsia" w:ascii="宋体" w:hAnsi="宋体" w:eastAsia="宋体" w:cs="宋体"/>
                <w:b/>
                <w:color w:val="000000" w:themeColor="text1"/>
                <w:lang w:val="en-US" w:eastAsia="zh-CN"/>
                <w14:textFill>
                  <w14:solidFill>
                    <w14:schemeClr w14:val="tx1"/>
                  </w14:solidFill>
                </w14:textFill>
              </w:rPr>
              <w:t>11</w:t>
            </w:r>
          </w:p>
        </w:tc>
        <w:tc>
          <w:tcPr>
            <w:tcW w:w="464" w:type="pct"/>
            <w:shd w:val="clear" w:color="auto" w:fill="auto"/>
            <w:noWrap w:val="0"/>
            <w:vAlign w:val="top"/>
          </w:tcPr>
          <w:p w14:paraId="4E4860A3">
            <w:pPr>
              <w:jc w:val="center"/>
              <w:rPr>
                <w:rFonts w:hint="eastAsia" w:ascii="宋体" w:hAnsi="宋体" w:eastAsia="宋体" w:cs="宋体"/>
                <w:color w:val="000000" w:themeColor="text1"/>
                <w:sz w:val="24"/>
                <w:lang w:val="en-US" w:eastAsia="zh-CN" w:bidi="ar-SA"/>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符合</w:t>
            </w:r>
          </w:p>
        </w:tc>
        <w:tc>
          <w:tcPr>
            <w:tcW w:w="1350" w:type="pct"/>
            <w:shd w:val="clear" w:color="auto" w:fill="auto"/>
            <w:noWrap w:val="0"/>
            <w:vAlign w:val="top"/>
          </w:tcPr>
          <w:p w14:paraId="188B3970">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3.4.1</w:t>
            </w:r>
          </w:p>
        </w:tc>
      </w:tr>
      <w:tr w14:paraId="22A78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pct"/>
            <w:vMerge w:val="restart"/>
            <w:noWrap w:val="0"/>
            <w:vAlign w:val="center"/>
          </w:tcPr>
          <w:p w14:paraId="29F934DD">
            <w:pPr>
              <w:jc w:val="center"/>
              <w:rPr>
                <w:rFonts w:hint="eastAsia"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eastAsia="宋体" w:cs="宋体"/>
                <w:color w:val="000000" w:themeColor="text1"/>
                <w:kern w:val="0"/>
                <w:szCs w:val="21"/>
                <w:lang w:val="en-US" w:eastAsia="zh-CN"/>
                <w14:textFill>
                  <w14:solidFill>
                    <w14:schemeClr w14:val="tx1"/>
                  </w14:solidFill>
                </w14:textFill>
              </w:rPr>
              <w:t>仓库</w:t>
            </w:r>
          </w:p>
        </w:tc>
        <w:tc>
          <w:tcPr>
            <w:tcW w:w="1300" w:type="pct"/>
            <w:noWrap w:val="0"/>
            <w:vAlign w:val="center"/>
          </w:tcPr>
          <w:p w14:paraId="5AF71721">
            <w:pPr>
              <w:jc w:val="center"/>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hAnsi="宋体" w:cs="宋体"/>
                <w:color w:val="000000" w:themeColor="text1"/>
                <w:kern w:val="0"/>
                <w:szCs w:val="21"/>
                <w:lang w:val="en-US" w:eastAsia="zh-CN"/>
                <w14:textFill>
                  <w14:solidFill>
                    <w14:schemeClr w14:val="tx1"/>
                  </w14:solidFill>
                </w14:textFill>
              </w:rPr>
              <w:t>装配区</w:t>
            </w:r>
          </w:p>
        </w:tc>
        <w:tc>
          <w:tcPr>
            <w:tcW w:w="532" w:type="pct"/>
            <w:noWrap w:val="0"/>
            <w:vAlign w:val="center"/>
          </w:tcPr>
          <w:p w14:paraId="22093827">
            <w:pPr>
              <w:jc w:val="center"/>
              <w:rPr>
                <w:rFonts w:hint="eastAsia" w:ascii="宋体" w:hAnsi="宋体" w:eastAsia="宋体" w:cs="宋体"/>
                <w:b/>
                <w:color w:val="000000" w:themeColor="text1"/>
                <w:lang w:val="en-US" w:eastAsia="zh-CN"/>
                <w14:textFill>
                  <w14:solidFill>
                    <w14:schemeClr w14:val="tx1"/>
                  </w14:solidFill>
                </w14:textFill>
              </w:rPr>
            </w:pPr>
            <w:r>
              <w:rPr>
                <w:rFonts w:hint="eastAsia" w:ascii="宋体" w:hAnsi="宋体" w:eastAsia="宋体" w:cs="宋体"/>
                <w:b/>
                <w:color w:val="000000" w:themeColor="text1"/>
                <w:lang w:val="en-US" w:eastAsia="zh-CN"/>
                <w14:textFill>
                  <w14:solidFill>
                    <w14:schemeClr w14:val="tx1"/>
                  </w14:solidFill>
                </w14:textFill>
              </w:rPr>
              <w:t>10</w:t>
            </w:r>
          </w:p>
        </w:tc>
        <w:tc>
          <w:tcPr>
            <w:tcW w:w="531" w:type="pct"/>
            <w:shd w:val="clear" w:color="auto" w:fill="auto"/>
            <w:noWrap w:val="0"/>
            <w:vAlign w:val="center"/>
          </w:tcPr>
          <w:p w14:paraId="01F978F0">
            <w:pPr>
              <w:jc w:val="center"/>
              <w:rPr>
                <w:rFonts w:hint="eastAsia" w:ascii="宋体" w:hAnsi="宋体" w:eastAsia="宋体" w:cs="宋体"/>
                <w:b/>
                <w:color w:val="000000" w:themeColor="text1"/>
                <w:lang w:val="en-US" w:eastAsia="zh-CN"/>
                <w14:textFill>
                  <w14:solidFill>
                    <w14:schemeClr w14:val="tx1"/>
                  </w14:solidFill>
                </w14:textFill>
              </w:rPr>
            </w:pPr>
            <w:r>
              <w:rPr>
                <w:rFonts w:hint="eastAsia" w:ascii="宋体" w:hAnsi="宋体" w:eastAsia="宋体" w:cs="宋体"/>
                <w:b/>
                <w:color w:val="000000" w:themeColor="text1"/>
                <w:lang w:val="en-US" w:eastAsia="zh-CN"/>
                <w14:textFill>
                  <w14:solidFill>
                    <w14:schemeClr w14:val="tx1"/>
                  </w14:solidFill>
                </w14:textFill>
              </w:rPr>
              <w:t>11</w:t>
            </w:r>
          </w:p>
        </w:tc>
        <w:tc>
          <w:tcPr>
            <w:tcW w:w="464" w:type="pct"/>
            <w:shd w:val="clear" w:color="auto" w:fill="auto"/>
            <w:noWrap w:val="0"/>
            <w:vAlign w:val="top"/>
          </w:tcPr>
          <w:p w14:paraId="18E349BF">
            <w:pPr>
              <w:jc w:val="center"/>
              <w:rPr>
                <w:rFonts w:hint="eastAsia" w:ascii="宋体" w:hAnsi="宋体" w:eastAsia="宋体" w:cs="宋体"/>
                <w:color w:val="000000" w:themeColor="text1"/>
                <w:sz w:val="24"/>
                <w:lang w:val="en-US" w:eastAsia="zh-CN" w:bidi="ar-SA"/>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符合</w:t>
            </w:r>
          </w:p>
        </w:tc>
        <w:tc>
          <w:tcPr>
            <w:tcW w:w="1350" w:type="pct"/>
            <w:shd w:val="clear" w:color="auto" w:fill="auto"/>
            <w:noWrap w:val="0"/>
            <w:vAlign w:val="top"/>
          </w:tcPr>
          <w:p w14:paraId="216F7A13">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3.4.1</w:t>
            </w:r>
          </w:p>
        </w:tc>
      </w:tr>
      <w:tr w14:paraId="2CE2F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pct"/>
            <w:vMerge w:val="continue"/>
            <w:noWrap w:val="0"/>
            <w:vAlign w:val="center"/>
          </w:tcPr>
          <w:p w14:paraId="0C82E8EC">
            <w:pPr>
              <w:jc w:val="center"/>
              <w:rPr>
                <w:rFonts w:hint="eastAsia" w:ascii="宋体" w:hAnsi="宋体" w:eastAsia="宋体" w:cs="宋体"/>
                <w:color w:val="000000" w:themeColor="text1"/>
                <w:kern w:val="0"/>
                <w:szCs w:val="21"/>
                <w:lang w:val="en-US" w:eastAsia="zh-CN"/>
                <w14:textFill>
                  <w14:solidFill>
                    <w14:schemeClr w14:val="tx1"/>
                  </w14:solidFill>
                </w14:textFill>
              </w:rPr>
            </w:pPr>
          </w:p>
        </w:tc>
        <w:tc>
          <w:tcPr>
            <w:tcW w:w="1300" w:type="pct"/>
            <w:noWrap w:val="0"/>
            <w:vAlign w:val="center"/>
          </w:tcPr>
          <w:p w14:paraId="2AE5DC2B">
            <w:pPr>
              <w:jc w:val="center"/>
              <w:rPr>
                <w:rFonts w:hint="eastAsia"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eastAsia="宋体" w:cs="宋体"/>
                <w:color w:val="000000" w:themeColor="text1"/>
                <w:kern w:val="0"/>
                <w:szCs w:val="21"/>
                <w:lang w:val="en-US" w:eastAsia="zh-CN"/>
                <w14:textFill>
                  <w14:solidFill>
                    <w14:schemeClr w14:val="tx1"/>
                  </w14:solidFill>
                </w14:textFill>
              </w:rPr>
              <w:t>加工区</w:t>
            </w:r>
          </w:p>
        </w:tc>
        <w:tc>
          <w:tcPr>
            <w:tcW w:w="532" w:type="pct"/>
            <w:noWrap w:val="0"/>
            <w:vAlign w:val="center"/>
          </w:tcPr>
          <w:p w14:paraId="532C91C0">
            <w:pPr>
              <w:jc w:val="center"/>
              <w:rPr>
                <w:rFonts w:hint="eastAsia" w:ascii="宋体" w:hAnsi="宋体" w:eastAsia="宋体" w:cs="宋体"/>
                <w:b/>
                <w:color w:val="000000" w:themeColor="text1"/>
                <w:lang w:val="en-US" w:eastAsia="zh-CN"/>
                <w14:textFill>
                  <w14:solidFill>
                    <w14:schemeClr w14:val="tx1"/>
                  </w14:solidFill>
                </w14:textFill>
              </w:rPr>
            </w:pPr>
            <w:r>
              <w:rPr>
                <w:rFonts w:hint="eastAsia" w:ascii="宋体" w:hAnsi="宋体" w:eastAsia="宋体" w:cs="宋体"/>
                <w:b/>
                <w:color w:val="000000" w:themeColor="text1"/>
                <w:lang w:val="en-US" w:eastAsia="zh-CN"/>
                <w14:textFill>
                  <w14:solidFill>
                    <w14:schemeClr w14:val="tx1"/>
                  </w14:solidFill>
                </w14:textFill>
              </w:rPr>
              <w:t>10</w:t>
            </w:r>
          </w:p>
        </w:tc>
        <w:tc>
          <w:tcPr>
            <w:tcW w:w="531" w:type="pct"/>
            <w:shd w:val="clear" w:color="auto" w:fill="auto"/>
            <w:noWrap w:val="0"/>
            <w:vAlign w:val="center"/>
          </w:tcPr>
          <w:p w14:paraId="7474AED6">
            <w:pPr>
              <w:jc w:val="center"/>
              <w:rPr>
                <w:rFonts w:hint="eastAsia" w:ascii="宋体" w:hAnsi="宋体" w:eastAsia="宋体" w:cs="宋体"/>
                <w:b/>
                <w:color w:val="000000" w:themeColor="text1"/>
                <w:lang w:val="en-US" w:eastAsia="zh-CN"/>
                <w14:textFill>
                  <w14:solidFill>
                    <w14:schemeClr w14:val="tx1"/>
                  </w14:solidFill>
                </w14:textFill>
              </w:rPr>
            </w:pPr>
            <w:r>
              <w:rPr>
                <w:rFonts w:hint="eastAsia" w:ascii="宋体" w:hAnsi="宋体" w:eastAsia="宋体" w:cs="宋体"/>
                <w:b/>
                <w:color w:val="000000" w:themeColor="text1"/>
                <w:lang w:val="en-US" w:eastAsia="zh-CN"/>
                <w14:textFill>
                  <w14:solidFill>
                    <w14:schemeClr w14:val="tx1"/>
                  </w14:solidFill>
                </w14:textFill>
              </w:rPr>
              <w:t>20</w:t>
            </w:r>
          </w:p>
        </w:tc>
        <w:tc>
          <w:tcPr>
            <w:tcW w:w="464" w:type="pct"/>
            <w:shd w:val="clear" w:color="auto" w:fill="auto"/>
            <w:noWrap w:val="0"/>
            <w:vAlign w:val="top"/>
          </w:tcPr>
          <w:p w14:paraId="466A7A54">
            <w:pPr>
              <w:jc w:val="center"/>
              <w:rPr>
                <w:rFonts w:hint="eastAsia" w:ascii="宋体" w:hAnsi="宋体" w:eastAsia="宋体" w:cs="宋体"/>
                <w:color w:val="000000" w:themeColor="text1"/>
                <w:sz w:val="24"/>
                <w:lang w:val="en-US" w:eastAsia="zh-CN" w:bidi="ar-SA"/>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符合</w:t>
            </w:r>
          </w:p>
        </w:tc>
        <w:tc>
          <w:tcPr>
            <w:tcW w:w="1350" w:type="pct"/>
            <w:shd w:val="clear" w:color="auto" w:fill="auto"/>
            <w:noWrap w:val="0"/>
            <w:vAlign w:val="top"/>
          </w:tcPr>
          <w:p w14:paraId="632F4113">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3.4.1</w:t>
            </w:r>
          </w:p>
        </w:tc>
      </w:tr>
      <w:tr w14:paraId="00535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pct"/>
            <w:vMerge w:val="continue"/>
            <w:noWrap w:val="0"/>
            <w:vAlign w:val="center"/>
          </w:tcPr>
          <w:p w14:paraId="5337305E">
            <w:pPr>
              <w:jc w:val="center"/>
              <w:rPr>
                <w:rFonts w:hint="eastAsia" w:ascii="宋体" w:hAnsi="宋体" w:eastAsia="宋体" w:cs="宋体"/>
                <w:color w:val="000000" w:themeColor="text1"/>
                <w:kern w:val="0"/>
                <w:szCs w:val="21"/>
                <w:lang w:val="en-US" w:eastAsia="zh-CN"/>
                <w14:textFill>
                  <w14:solidFill>
                    <w14:schemeClr w14:val="tx1"/>
                  </w14:solidFill>
                </w14:textFill>
              </w:rPr>
            </w:pPr>
          </w:p>
        </w:tc>
        <w:tc>
          <w:tcPr>
            <w:tcW w:w="1300" w:type="pct"/>
            <w:noWrap w:val="0"/>
            <w:vAlign w:val="center"/>
          </w:tcPr>
          <w:p w14:paraId="498122D9">
            <w:pPr>
              <w:jc w:val="center"/>
              <w:rPr>
                <w:rFonts w:hint="eastAsia" w:ascii="宋体" w:hAnsi="宋体" w:eastAsia="宋体" w:cs="宋体"/>
                <w:color w:val="000000" w:themeColor="text1"/>
                <w:kern w:val="0"/>
                <w:szCs w:val="21"/>
                <w:lang w:val="en-US" w:eastAsia="zh-CN"/>
                <w14:textFill>
                  <w14:solidFill>
                    <w14:schemeClr w14:val="tx1"/>
                  </w14:solidFill>
                </w14:textFill>
              </w:rPr>
            </w:pPr>
            <w:r>
              <w:rPr>
                <w:rFonts w:hint="eastAsia" w:hAnsi="宋体" w:cs="宋体"/>
                <w:color w:val="000000" w:themeColor="text1"/>
                <w:kern w:val="0"/>
                <w:szCs w:val="21"/>
                <w:lang w:val="en-US" w:eastAsia="zh-CN"/>
                <w14:textFill>
                  <w14:solidFill>
                    <w14:schemeClr w14:val="tx1"/>
                  </w14:solidFill>
                </w14:textFill>
              </w:rPr>
              <w:t>成品</w:t>
            </w:r>
            <w:r>
              <w:rPr>
                <w:rFonts w:hint="eastAsia" w:ascii="宋体" w:hAnsi="宋体" w:eastAsia="宋体" w:cs="宋体"/>
                <w:color w:val="000000" w:themeColor="text1"/>
                <w:kern w:val="0"/>
                <w:szCs w:val="21"/>
                <w:lang w:val="en-US" w:eastAsia="zh-CN"/>
                <w14:textFill>
                  <w14:solidFill>
                    <w14:schemeClr w14:val="tx1"/>
                  </w14:solidFill>
                </w14:textFill>
              </w:rPr>
              <w:t>区</w:t>
            </w:r>
          </w:p>
        </w:tc>
        <w:tc>
          <w:tcPr>
            <w:tcW w:w="532" w:type="pct"/>
            <w:noWrap w:val="0"/>
            <w:vAlign w:val="center"/>
          </w:tcPr>
          <w:p w14:paraId="05AE1655">
            <w:pPr>
              <w:jc w:val="center"/>
              <w:rPr>
                <w:rFonts w:hint="eastAsia" w:ascii="宋体" w:hAnsi="宋体" w:eastAsia="宋体" w:cs="宋体"/>
                <w:b/>
                <w:color w:val="000000" w:themeColor="text1"/>
                <w:lang w:val="en-US" w:eastAsia="zh-CN"/>
                <w14:textFill>
                  <w14:solidFill>
                    <w14:schemeClr w14:val="tx1"/>
                  </w14:solidFill>
                </w14:textFill>
              </w:rPr>
            </w:pPr>
            <w:r>
              <w:rPr>
                <w:rFonts w:hint="eastAsia" w:ascii="宋体" w:hAnsi="宋体" w:eastAsia="宋体" w:cs="宋体"/>
                <w:b/>
                <w:color w:val="000000" w:themeColor="text1"/>
                <w:lang w:val="en-US" w:eastAsia="zh-CN"/>
                <w14:textFill>
                  <w14:solidFill>
                    <w14:schemeClr w14:val="tx1"/>
                  </w14:solidFill>
                </w14:textFill>
              </w:rPr>
              <w:t>10</w:t>
            </w:r>
          </w:p>
        </w:tc>
        <w:tc>
          <w:tcPr>
            <w:tcW w:w="531" w:type="pct"/>
            <w:shd w:val="clear" w:color="auto" w:fill="auto"/>
            <w:noWrap w:val="0"/>
            <w:vAlign w:val="center"/>
          </w:tcPr>
          <w:p w14:paraId="580234CE">
            <w:pPr>
              <w:jc w:val="center"/>
              <w:rPr>
                <w:rFonts w:hint="eastAsia" w:ascii="宋体" w:hAnsi="宋体" w:eastAsia="宋体" w:cs="宋体"/>
                <w:b/>
                <w:color w:val="000000" w:themeColor="text1"/>
                <w:lang w:val="en-US" w:eastAsia="zh-CN"/>
                <w14:textFill>
                  <w14:solidFill>
                    <w14:schemeClr w14:val="tx1"/>
                  </w14:solidFill>
                </w14:textFill>
              </w:rPr>
            </w:pPr>
            <w:r>
              <w:rPr>
                <w:rFonts w:hint="eastAsia" w:ascii="宋体" w:hAnsi="宋体" w:eastAsia="宋体" w:cs="宋体"/>
                <w:b/>
                <w:color w:val="000000" w:themeColor="text1"/>
                <w:lang w:val="en-US" w:eastAsia="zh-CN"/>
                <w14:textFill>
                  <w14:solidFill>
                    <w14:schemeClr w14:val="tx1"/>
                  </w14:solidFill>
                </w14:textFill>
              </w:rPr>
              <w:t>15</w:t>
            </w:r>
          </w:p>
        </w:tc>
        <w:tc>
          <w:tcPr>
            <w:tcW w:w="464" w:type="pct"/>
            <w:shd w:val="clear" w:color="auto" w:fill="auto"/>
            <w:noWrap w:val="0"/>
            <w:vAlign w:val="top"/>
          </w:tcPr>
          <w:p w14:paraId="5B6CC90D">
            <w:pPr>
              <w:jc w:val="center"/>
              <w:rPr>
                <w:rFonts w:hint="eastAsia" w:ascii="宋体" w:hAnsi="宋体" w:eastAsia="宋体" w:cs="宋体"/>
                <w:color w:val="000000" w:themeColor="text1"/>
                <w:sz w:val="24"/>
                <w:lang w:val="en-US" w:eastAsia="zh-CN" w:bidi="ar-SA"/>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符合</w:t>
            </w:r>
          </w:p>
        </w:tc>
        <w:tc>
          <w:tcPr>
            <w:tcW w:w="1350" w:type="pct"/>
            <w:shd w:val="clear" w:color="auto" w:fill="auto"/>
            <w:noWrap w:val="0"/>
            <w:vAlign w:val="top"/>
          </w:tcPr>
          <w:p w14:paraId="1695DDB0">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3.4.1</w:t>
            </w:r>
          </w:p>
        </w:tc>
      </w:tr>
      <w:tr w14:paraId="768E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1" w:type="pct"/>
            <w:vMerge w:val="continue"/>
            <w:noWrap w:val="0"/>
            <w:vAlign w:val="center"/>
          </w:tcPr>
          <w:p w14:paraId="64C8B452">
            <w:pPr>
              <w:jc w:val="center"/>
              <w:rPr>
                <w:rFonts w:hint="eastAsia" w:ascii="宋体" w:hAnsi="宋体" w:eastAsia="宋体" w:cs="宋体"/>
                <w:color w:val="000000" w:themeColor="text1"/>
                <w:kern w:val="0"/>
                <w:szCs w:val="21"/>
                <w:lang w:val="en-US" w:eastAsia="zh-CN"/>
                <w14:textFill>
                  <w14:solidFill>
                    <w14:schemeClr w14:val="tx1"/>
                  </w14:solidFill>
                </w14:textFill>
              </w:rPr>
            </w:pPr>
          </w:p>
        </w:tc>
        <w:tc>
          <w:tcPr>
            <w:tcW w:w="1300" w:type="pct"/>
            <w:noWrap w:val="0"/>
            <w:vAlign w:val="center"/>
          </w:tcPr>
          <w:p w14:paraId="414E42C3">
            <w:pPr>
              <w:jc w:val="center"/>
              <w:rPr>
                <w:rFonts w:hint="eastAsia"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eastAsia="宋体" w:cs="宋体"/>
                <w:color w:val="000000" w:themeColor="text1"/>
                <w:kern w:val="0"/>
                <w:szCs w:val="21"/>
                <w:lang w:val="en-US" w:eastAsia="zh-CN"/>
                <w14:textFill>
                  <w14:solidFill>
                    <w14:schemeClr w14:val="tx1"/>
                  </w14:solidFill>
                </w14:textFill>
              </w:rPr>
              <w:t>办公室</w:t>
            </w:r>
          </w:p>
        </w:tc>
        <w:tc>
          <w:tcPr>
            <w:tcW w:w="532" w:type="pct"/>
            <w:noWrap w:val="0"/>
            <w:vAlign w:val="center"/>
          </w:tcPr>
          <w:p w14:paraId="623163AA">
            <w:pPr>
              <w:jc w:val="center"/>
              <w:rPr>
                <w:rFonts w:hint="eastAsia" w:ascii="宋体" w:hAnsi="宋体" w:eastAsia="宋体" w:cs="宋体"/>
                <w:b/>
                <w:color w:val="000000" w:themeColor="text1"/>
                <w:lang w:val="en-US" w:eastAsia="zh-CN"/>
                <w14:textFill>
                  <w14:solidFill>
                    <w14:schemeClr w14:val="tx1"/>
                  </w14:solidFill>
                </w14:textFill>
              </w:rPr>
            </w:pPr>
            <w:r>
              <w:rPr>
                <w:rFonts w:hint="eastAsia" w:ascii="宋体" w:hAnsi="宋体" w:eastAsia="宋体" w:cs="宋体"/>
                <w:b/>
                <w:color w:val="000000" w:themeColor="text1"/>
                <w:lang w:val="en-US" w:eastAsia="zh-CN"/>
                <w14:textFill>
                  <w14:solidFill>
                    <w14:schemeClr w14:val="tx1"/>
                  </w14:solidFill>
                </w14:textFill>
              </w:rPr>
              <w:t>10</w:t>
            </w:r>
          </w:p>
        </w:tc>
        <w:tc>
          <w:tcPr>
            <w:tcW w:w="531" w:type="pct"/>
            <w:shd w:val="clear" w:color="auto" w:fill="auto"/>
            <w:noWrap w:val="0"/>
            <w:vAlign w:val="center"/>
          </w:tcPr>
          <w:p w14:paraId="0909D577">
            <w:pPr>
              <w:jc w:val="center"/>
              <w:rPr>
                <w:rFonts w:hint="eastAsia" w:ascii="宋体" w:hAnsi="宋体" w:eastAsia="宋体" w:cs="宋体"/>
                <w:b/>
                <w:color w:val="000000" w:themeColor="text1"/>
                <w:lang w:val="en-US" w:eastAsia="zh-CN"/>
                <w14:textFill>
                  <w14:solidFill>
                    <w14:schemeClr w14:val="tx1"/>
                  </w14:solidFill>
                </w14:textFill>
              </w:rPr>
            </w:pPr>
            <w:r>
              <w:rPr>
                <w:rFonts w:hint="eastAsia" w:ascii="宋体" w:hAnsi="宋体" w:eastAsia="宋体" w:cs="宋体"/>
                <w:b/>
                <w:color w:val="000000" w:themeColor="text1"/>
                <w:lang w:val="en-US" w:eastAsia="zh-CN"/>
                <w14:textFill>
                  <w14:solidFill>
                    <w14:schemeClr w14:val="tx1"/>
                  </w14:solidFill>
                </w14:textFill>
              </w:rPr>
              <w:t>11</w:t>
            </w:r>
          </w:p>
        </w:tc>
        <w:tc>
          <w:tcPr>
            <w:tcW w:w="464" w:type="pct"/>
            <w:shd w:val="clear" w:color="auto" w:fill="auto"/>
            <w:noWrap w:val="0"/>
            <w:vAlign w:val="top"/>
          </w:tcPr>
          <w:p w14:paraId="68BFDFFD">
            <w:pPr>
              <w:jc w:val="center"/>
              <w:rPr>
                <w:rFonts w:hint="eastAsia" w:ascii="宋体" w:hAnsi="宋体" w:eastAsia="宋体" w:cs="宋体"/>
                <w:color w:val="000000" w:themeColor="text1"/>
                <w:sz w:val="24"/>
                <w:lang w:val="en-US" w:eastAsia="zh-CN" w:bidi="ar-SA"/>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符合</w:t>
            </w:r>
          </w:p>
        </w:tc>
        <w:tc>
          <w:tcPr>
            <w:tcW w:w="1350" w:type="pct"/>
            <w:shd w:val="clear" w:color="auto" w:fill="auto"/>
            <w:noWrap w:val="0"/>
            <w:vAlign w:val="top"/>
          </w:tcPr>
          <w:p w14:paraId="5BBDB6A5">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3.4.1</w:t>
            </w:r>
          </w:p>
        </w:tc>
      </w:tr>
    </w:tbl>
    <w:p w14:paraId="1F064BA9">
      <w:pPr>
        <w:bidi w:val="0"/>
        <w:rPr>
          <w:rFonts w:hint="eastAsia" w:ascii="宋体" w:hAnsi="宋体" w:eastAsia="宋体" w:cs="宋体"/>
          <w:lang w:eastAsia="zh-CN"/>
        </w:rPr>
      </w:pPr>
    </w:p>
    <w:p w14:paraId="6EE9616D">
      <w:pPr>
        <w:pStyle w:val="22"/>
        <w:ind w:left="0" w:leftChars="0" w:firstLine="0" w:firstLineChars="0"/>
        <w:jc w:val="both"/>
        <w:rPr>
          <w:rFonts w:hint="eastAsia" w:ascii="宋体" w:hAnsi="宋体" w:eastAsia="宋体" w:cs="宋体"/>
          <w:b/>
          <w:bCs/>
          <w:color w:val="auto"/>
          <w:sz w:val="24"/>
          <w:szCs w:val="24"/>
          <w:lang w:val="en-US" w:eastAsia="zh-CN"/>
        </w:rPr>
      </w:pPr>
    </w:p>
    <w:p w14:paraId="6F714F15">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147" w:name="_Toc19100"/>
      <w:bookmarkStart w:id="148" w:name="_Toc22895"/>
      <w:bookmarkStart w:id="149" w:name="_Toc20682"/>
      <w:bookmarkStart w:id="150" w:name="_Toc9459"/>
      <w:bookmarkStart w:id="151" w:name="_Toc18984"/>
      <w:r>
        <w:rPr>
          <w:rFonts w:hint="eastAsia" w:ascii="宋体" w:hAnsi="宋体" w:eastAsia="宋体" w:cs="宋体"/>
          <w:snapToGrid w:val="0"/>
          <w:color w:val="000000" w:themeColor="text1"/>
          <w:kern w:val="0"/>
          <w:sz w:val="28"/>
          <w:szCs w:val="28"/>
          <w14:textFill>
            <w14:solidFill>
              <w14:schemeClr w14:val="tx1"/>
            </w14:solidFill>
          </w14:textFill>
        </w:rPr>
        <w:t>2.3.</w:t>
      </w:r>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 xml:space="preserve">3 </w:t>
      </w:r>
      <w:r>
        <w:rPr>
          <w:rFonts w:hint="eastAsia" w:ascii="宋体" w:hAnsi="宋体" w:eastAsia="宋体" w:cs="宋体"/>
          <w:snapToGrid w:val="0"/>
          <w:color w:val="000000" w:themeColor="text1"/>
          <w:kern w:val="0"/>
          <w:sz w:val="28"/>
          <w:szCs w:val="28"/>
          <w14:textFill>
            <w14:solidFill>
              <w14:schemeClr w14:val="tx1"/>
            </w14:solidFill>
          </w14:textFill>
        </w:rPr>
        <w:t>厂内</w:t>
      </w:r>
      <w:bookmarkEnd w:id="147"/>
      <w:r>
        <w:rPr>
          <w:rFonts w:hint="eastAsia" w:ascii="宋体" w:hAnsi="宋体" w:eastAsia="宋体" w:cs="宋体"/>
          <w:snapToGrid w:val="0"/>
          <w:color w:val="000000" w:themeColor="text1"/>
          <w:kern w:val="0"/>
          <w:sz w:val="28"/>
          <w:szCs w:val="28"/>
          <w14:textFill>
            <w14:solidFill>
              <w14:schemeClr w14:val="tx1"/>
            </w14:solidFill>
          </w14:textFill>
        </w:rPr>
        <w:t>运输</w:t>
      </w:r>
      <w:bookmarkEnd w:id="148"/>
      <w:bookmarkEnd w:id="149"/>
      <w:bookmarkEnd w:id="150"/>
      <w:bookmarkEnd w:id="151"/>
    </w:p>
    <w:p w14:paraId="2212BB20">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项目主要为生产、销售中大型机床，厂房区域内的现有道路实现了整个厂区的贯通，厂内道路道宽约4米，为混凝土路面。成品运输使用行车吊装，后汽车运输出厂。</w:t>
      </w:r>
    </w:p>
    <w:p w14:paraId="71501FE6">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14:textFill>
            <w14:solidFill>
              <w14:schemeClr w14:val="tx1"/>
            </w14:solidFill>
          </w14:textFill>
        </w:rPr>
      </w:pPr>
      <w:bookmarkStart w:id="152" w:name="_Toc27078"/>
      <w:bookmarkStart w:id="153" w:name="_Toc12134"/>
      <w:bookmarkStart w:id="154" w:name="_Toc30220"/>
      <w:bookmarkStart w:id="155" w:name="_Toc16920"/>
      <w:bookmarkStart w:id="156" w:name="_Toc4024"/>
      <w:bookmarkStart w:id="157" w:name="_Toc3421"/>
      <w:r>
        <w:rPr>
          <w:rFonts w:hint="eastAsia" w:ascii="宋体" w:hAnsi="宋体" w:eastAsia="宋体" w:cs="宋体"/>
          <w:snapToGrid w:val="0"/>
          <w:color w:val="000000" w:themeColor="text1"/>
          <w:kern w:val="0"/>
          <w:sz w:val="28"/>
          <w:szCs w:val="28"/>
          <w14:textFill>
            <w14:solidFill>
              <w14:schemeClr w14:val="tx1"/>
            </w14:solidFill>
          </w14:textFill>
        </w:rPr>
        <w:t>2.</w:t>
      </w:r>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3</w:t>
      </w:r>
      <w:r>
        <w:rPr>
          <w:rFonts w:hint="eastAsia" w:ascii="宋体" w:hAnsi="宋体" w:eastAsia="宋体" w:cs="宋体"/>
          <w:snapToGrid w:val="0"/>
          <w:color w:val="000000" w:themeColor="text1"/>
          <w:kern w:val="0"/>
          <w:sz w:val="28"/>
          <w:szCs w:val="28"/>
          <w14:textFill>
            <w14:solidFill>
              <w14:schemeClr w14:val="tx1"/>
            </w14:solidFill>
          </w14:textFill>
        </w:rPr>
        <w:t>.</w:t>
      </w:r>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4</w:t>
      </w:r>
      <w:r>
        <w:rPr>
          <w:rFonts w:hint="eastAsia" w:ascii="宋体" w:hAnsi="宋体" w:eastAsia="宋体" w:cs="宋体"/>
          <w:snapToGrid w:val="0"/>
          <w:color w:val="000000" w:themeColor="text1"/>
          <w:kern w:val="0"/>
          <w:sz w:val="28"/>
          <w:szCs w:val="28"/>
          <w14:textFill>
            <w14:solidFill>
              <w14:schemeClr w14:val="tx1"/>
            </w14:solidFill>
          </w14:textFill>
        </w:rPr>
        <w:t>厂</w:t>
      </w:r>
      <w:bookmarkEnd w:id="152"/>
      <w:r>
        <w:rPr>
          <w:rFonts w:hint="eastAsia" w:ascii="宋体" w:hAnsi="宋体" w:eastAsia="宋体" w:cs="宋体"/>
          <w:snapToGrid w:val="0"/>
          <w:color w:val="000000" w:themeColor="text1"/>
          <w:kern w:val="0"/>
          <w:sz w:val="28"/>
          <w:szCs w:val="28"/>
          <w14:textFill>
            <w14:solidFill>
              <w14:schemeClr w14:val="tx1"/>
            </w14:solidFill>
          </w14:textFill>
        </w:rPr>
        <w:t>外运输</w:t>
      </w:r>
      <w:bookmarkEnd w:id="153"/>
      <w:bookmarkEnd w:id="154"/>
      <w:bookmarkEnd w:id="155"/>
      <w:bookmarkEnd w:id="156"/>
    </w:p>
    <w:p w14:paraId="0F0BB202">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厂外运输主要是原材料的运输和产成品的运输，以社会运输力量为主。</w:t>
      </w:r>
      <w:bookmarkEnd w:id="157"/>
    </w:p>
    <w:p w14:paraId="6BF28C48">
      <w:pPr>
        <w:pStyle w:val="3"/>
        <w:keepNext/>
        <w:keepLines/>
        <w:pageBreakBefore w:val="0"/>
        <w:widowControl w:val="0"/>
        <w:kinsoku/>
        <w:wordWrap/>
        <w:overflowPunct/>
        <w:topLinePunct w:val="0"/>
        <w:autoSpaceDE/>
        <w:autoSpaceDN/>
        <w:bidi w:val="0"/>
        <w:adjustRightInd/>
        <w:snapToGrid w:val="0"/>
        <w:spacing w:before="0" w:after="0" w:line="520" w:lineRule="exact"/>
        <w:jc w:val="both"/>
        <w:textAlignment w:val="auto"/>
        <w:rPr>
          <w:rFonts w:hint="eastAsia" w:ascii="宋体" w:hAnsi="宋体" w:eastAsia="宋体" w:cs="宋体"/>
          <w:color w:val="000000" w:themeColor="text1"/>
          <w:kern w:val="0"/>
          <w14:textFill>
            <w14:solidFill>
              <w14:schemeClr w14:val="tx1"/>
            </w14:solidFill>
          </w14:textFill>
        </w:rPr>
      </w:pPr>
      <w:bookmarkStart w:id="158" w:name="_Toc8969"/>
      <w:bookmarkStart w:id="159" w:name="_Toc5774"/>
      <w:bookmarkStart w:id="160" w:name="_Toc9809"/>
      <w:r>
        <w:rPr>
          <w:rFonts w:hint="eastAsia" w:ascii="宋体" w:hAnsi="宋体" w:eastAsia="宋体" w:cs="宋体"/>
          <w:color w:val="000000" w:themeColor="text1"/>
          <w:kern w:val="0"/>
          <w14:textFill>
            <w14:solidFill>
              <w14:schemeClr w14:val="tx1"/>
            </w14:solidFill>
          </w14:textFill>
        </w:rPr>
        <w:t>2.4</w:t>
      </w:r>
      <w:r>
        <w:rPr>
          <w:rFonts w:hint="eastAsia" w:ascii="宋体" w:hAnsi="宋体" w:eastAsia="宋体" w:cs="宋体"/>
          <w:color w:val="000000" w:themeColor="text1"/>
          <w:kern w:val="0"/>
          <w:lang w:val="en-US" w:eastAsia="zh-CN"/>
          <w14:textFill>
            <w14:solidFill>
              <w14:schemeClr w14:val="tx1"/>
            </w14:solidFill>
          </w14:textFill>
        </w:rPr>
        <w:t xml:space="preserve"> </w:t>
      </w:r>
      <w:r>
        <w:rPr>
          <w:rFonts w:hint="eastAsia" w:ascii="宋体" w:hAnsi="宋体" w:eastAsia="宋体" w:cs="宋体"/>
          <w:color w:val="000000" w:themeColor="text1"/>
          <w:kern w:val="0"/>
          <w14:textFill>
            <w14:solidFill>
              <w14:schemeClr w14:val="tx1"/>
            </w14:solidFill>
          </w14:textFill>
        </w:rPr>
        <w:t>生产工艺</w:t>
      </w:r>
      <w:bookmarkEnd w:id="158"/>
      <w:bookmarkEnd w:id="159"/>
      <w:bookmarkEnd w:id="160"/>
    </w:p>
    <w:p w14:paraId="3A1C7566">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14:textFill>
            <w14:solidFill>
              <w14:schemeClr w14:val="tx1"/>
            </w14:solidFill>
          </w14:textFill>
        </w:rPr>
      </w:pPr>
      <w:bookmarkStart w:id="161" w:name="_Toc27916"/>
      <w:bookmarkStart w:id="162" w:name="_Toc18735"/>
      <w:bookmarkStart w:id="163" w:name="_Toc4646"/>
      <w:bookmarkStart w:id="164" w:name="_Toc17612"/>
      <w:r>
        <w:rPr>
          <w:rFonts w:hint="eastAsia" w:ascii="宋体" w:hAnsi="宋体" w:eastAsia="宋体" w:cs="宋体"/>
          <w:snapToGrid w:val="0"/>
          <w:color w:val="000000" w:themeColor="text1"/>
          <w:kern w:val="0"/>
          <w:sz w:val="28"/>
          <w:szCs w:val="28"/>
          <w14:textFill>
            <w14:solidFill>
              <w14:schemeClr w14:val="tx1"/>
            </w14:solidFill>
          </w14:textFill>
        </w:rPr>
        <w:t>2.4.1</w:t>
      </w:r>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 xml:space="preserve"> </w:t>
      </w:r>
      <w:r>
        <w:rPr>
          <w:rFonts w:hint="eastAsia" w:ascii="宋体" w:hAnsi="宋体" w:eastAsia="宋体" w:cs="宋体"/>
          <w:snapToGrid w:val="0"/>
          <w:color w:val="000000" w:themeColor="text1"/>
          <w:kern w:val="0"/>
          <w:sz w:val="28"/>
          <w:szCs w:val="28"/>
          <w14:textFill>
            <w14:solidFill>
              <w14:schemeClr w14:val="tx1"/>
            </w14:solidFill>
          </w14:textFill>
        </w:rPr>
        <w:t>产品</w:t>
      </w:r>
      <w:bookmarkEnd w:id="161"/>
      <w:bookmarkEnd w:id="162"/>
      <w:bookmarkEnd w:id="163"/>
      <w:bookmarkEnd w:id="164"/>
    </w:p>
    <w:p w14:paraId="688AD2B4">
      <w:pPr>
        <w:pStyle w:val="40"/>
        <w:keepNext w:val="0"/>
        <w:keepLines w:val="0"/>
        <w:pageBreakBefore w:val="0"/>
        <w:widowControl w:val="0"/>
        <w:kinsoku/>
        <w:wordWrap/>
        <w:overflowPunct/>
        <w:topLinePunct w:val="0"/>
        <w:autoSpaceDE/>
        <w:autoSpaceDN/>
        <w:bidi w:val="0"/>
        <w:adjustRightInd/>
        <w:snapToGrid/>
        <w:spacing w:after="0" w:line="520" w:lineRule="exact"/>
        <w:ind w:firstLine="560" w:firstLineChars="200"/>
        <w:jc w:val="both"/>
        <w:textAlignment w:val="baseline"/>
        <w:rPr>
          <w:rFonts w:hint="eastAsia" w:ascii="宋体" w:hAnsi="宋体" w:eastAsia="宋体" w:cs="宋体"/>
          <w:b/>
          <w:bCs/>
          <w:color w:val="auto"/>
          <w:sz w:val="24"/>
          <w:szCs w:val="24"/>
          <w:lang w:val="en-US" w:eastAsia="zh-CN"/>
        </w:rPr>
      </w:pPr>
      <w:r>
        <w:rPr>
          <w:rFonts w:hint="eastAsia" w:ascii="宋体" w:hAnsi="宋体" w:eastAsia="宋体" w:cs="宋体"/>
          <w:color w:val="000000" w:themeColor="text1"/>
          <w:sz w:val="28"/>
          <w:szCs w:val="28"/>
          <w14:textFill>
            <w14:solidFill>
              <w14:schemeClr w14:val="tx1"/>
            </w14:solidFill>
          </w14:textFill>
        </w:rPr>
        <w:t>产品：</w:t>
      </w:r>
      <w:r>
        <w:rPr>
          <w:rFonts w:hint="eastAsia" w:ascii="宋体" w:hAnsi="宋体" w:eastAsia="宋体" w:cs="宋体"/>
          <w:color w:val="000000" w:themeColor="text1"/>
          <w:sz w:val="28"/>
          <w:szCs w:val="28"/>
          <w:lang w:val="en-US" w:eastAsia="zh-CN"/>
          <w14:textFill>
            <w14:solidFill>
              <w14:schemeClr w14:val="tx1"/>
            </w14:solidFill>
          </w14:textFill>
        </w:rPr>
        <w:t>数控机床的组装、</w:t>
      </w:r>
      <w:r>
        <w:rPr>
          <w:rFonts w:hint="eastAsia" w:ascii="宋体" w:hAnsi="宋体" w:cs="宋体"/>
          <w:color w:val="000000" w:themeColor="text1"/>
          <w:sz w:val="28"/>
          <w:szCs w:val="28"/>
          <w:lang w:val="en-US" w:eastAsia="zh-CN"/>
          <w14:textFill>
            <w14:solidFill>
              <w14:schemeClr w14:val="tx1"/>
            </w14:solidFill>
          </w14:textFill>
        </w:rPr>
        <w:t>加工、</w:t>
      </w:r>
      <w:r>
        <w:rPr>
          <w:rFonts w:hint="eastAsia" w:ascii="宋体" w:hAnsi="宋体" w:eastAsia="宋体" w:cs="宋体"/>
          <w:color w:val="000000" w:themeColor="text1"/>
          <w:sz w:val="28"/>
          <w:szCs w:val="28"/>
          <w:lang w:val="en-US" w:eastAsia="zh-CN"/>
          <w14:textFill>
            <w14:solidFill>
              <w14:schemeClr w14:val="tx1"/>
            </w14:solidFill>
          </w14:textFill>
        </w:rPr>
        <w:t>销售。</w:t>
      </w:r>
    </w:p>
    <w:p w14:paraId="56F1D5C7">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b/>
          <w:bCs/>
          <w:color w:val="auto"/>
          <w:sz w:val="24"/>
          <w:szCs w:val="24"/>
        </w:rPr>
      </w:pPr>
      <w:bookmarkStart w:id="165" w:name="_Toc313453465"/>
      <w:bookmarkStart w:id="166" w:name="_Toc335926151"/>
      <w:bookmarkStart w:id="167" w:name="_Toc14895"/>
      <w:bookmarkStart w:id="168" w:name="_Toc32361"/>
      <w:bookmarkStart w:id="169" w:name="_Toc7617"/>
      <w:bookmarkStart w:id="170" w:name="_Toc24061"/>
      <w:bookmarkStart w:id="171" w:name="_Toc18488"/>
      <w:r>
        <w:rPr>
          <w:rFonts w:hint="eastAsia" w:ascii="宋体" w:hAnsi="宋体" w:eastAsia="宋体" w:cs="宋体"/>
          <w:snapToGrid w:val="0"/>
          <w:color w:val="000000" w:themeColor="text1"/>
          <w:kern w:val="0"/>
          <w:sz w:val="28"/>
          <w:szCs w:val="28"/>
          <w14:textFill>
            <w14:solidFill>
              <w14:schemeClr w14:val="tx1"/>
            </w14:solidFill>
          </w14:textFill>
        </w:rPr>
        <w:t>2.4.</w:t>
      </w:r>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 xml:space="preserve">2 </w:t>
      </w:r>
      <w:r>
        <w:rPr>
          <w:rFonts w:hint="eastAsia" w:ascii="宋体" w:hAnsi="宋体" w:eastAsia="宋体" w:cs="宋体"/>
          <w:snapToGrid w:val="0"/>
          <w:color w:val="000000" w:themeColor="text1"/>
          <w:kern w:val="0"/>
          <w:sz w:val="28"/>
          <w:szCs w:val="28"/>
          <w14:textFill>
            <w14:solidFill>
              <w14:schemeClr w14:val="tx1"/>
            </w14:solidFill>
          </w14:textFill>
        </w:rPr>
        <w:t>生产工艺</w:t>
      </w:r>
      <w:bookmarkEnd w:id="165"/>
      <w:r>
        <w:rPr>
          <w:rFonts w:hint="eastAsia" w:ascii="宋体" w:hAnsi="宋体" w:eastAsia="宋体" w:cs="宋体"/>
          <w:snapToGrid w:val="0"/>
          <w:color w:val="000000" w:themeColor="text1"/>
          <w:kern w:val="0"/>
          <w:sz w:val="28"/>
          <w:szCs w:val="28"/>
          <w14:textFill>
            <w14:solidFill>
              <w14:schemeClr w14:val="tx1"/>
            </w14:solidFill>
          </w14:textFill>
        </w:rPr>
        <w:t>简述</w:t>
      </w:r>
      <w:bookmarkEnd w:id="166"/>
      <w:bookmarkEnd w:id="167"/>
      <w:bookmarkEnd w:id="168"/>
      <w:bookmarkEnd w:id="169"/>
      <w:bookmarkEnd w:id="170"/>
      <w:bookmarkEnd w:id="171"/>
    </w:p>
    <w:p w14:paraId="1FCA6EE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机床生产是一个复杂而精细的过程，涉及多个环节和工序。本项目生产工艺采用国际上发达国家机床制造工艺技术，进行加工、装配、检测等工序组合而成的专业化生产线，具体生产工艺流程简介如下：</w:t>
      </w:r>
    </w:p>
    <w:p w14:paraId="313D0406">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（1）原材料采购、验收</w:t>
      </w:r>
    </w:p>
    <w:p w14:paraId="02D07607">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项目所需原材料为机体及功能部件。机体、功能部件均为对外采购，将外购的原材料送检验员验收，主要测量工件的外观尺寸是否符合要求，验收其数量、尺寸、材质等信息。</w:t>
      </w:r>
    </w:p>
    <w:p w14:paraId="4927E2CF">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生产部门根据生产计划和技术要求，确定所需原材料的种类、规格和数量。采购部门收到需求后，会进一步核实并转化为具体的采购计划。随后选择合适的供应商，签订采购合同，明确原材料的数量、质量标准和到货日期等。保证生产计划如期进行。材料到货后，由仓库进行数量核对和质量检验，然后进行材料入库。</w:t>
      </w:r>
    </w:p>
    <w:p w14:paraId="18D23FE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lang w:val="en-US" w:eastAsia="zh-CN"/>
          <w14:textFill>
            <w14:solidFill>
              <w14:schemeClr w14:val="tx1"/>
            </w14:solidFill>
          </w14:textFill>
        </w:rPr>
      </w:pPr>
      <w:r>
        <w:rPr>
          <w:rFonts w:hint="eastAsia" w:hAnsi="宋体" w:cs="宋体"/>
          <w:color w:val="000000" w:themeColor="text1"/>
          <w:sz w:val="28"/>
          <w:lang w:val="en-US" w:eastAsia="zh-CN"/>
          <w14:textFill>
            <w14:solidFill>
              <w14:schemeClr w14:val="tx1"/>
            </w14:solidFill>
          </w14:textFill>
        </w:rPr>
        <w:t>（2）</w:t>
      </w:r>
      <w:r>
        <w:rPr>
          <w:rFonts w:hint="eastAsia" w:ascii="宋体" w:hAnsi="宋体" w:eastAsia="宋体" w:cs="宋体"/>
          <w:color w:val="000000" w:themeColor="text1"/>
          <w:sz w:val="28"/>
          <w:lang w:val="en-US" w:eastAsia="zh-CN"/>
          <w14:textFill>
            <w14:solidFill>
              <w14:schemeClr w14:val="tx1"/>
            </w14:solidFill>
          </w14:textFill>
        </w:rPr>
        <w:t>粗加工</w:t>
      </w:r>
    </w:p>
    <w:p w14:paraId="71E367F8">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车工根据生产计划，领取毛坯部件，使用车床对部件进行粗加工。工件固定在车床设备上，通过切削工具对工件进行初步的切削、塑形的过程。这一过程旨在快速去除多余材料，为后续的半精加工和精加工打下基础。粗加工主要关注的是材料的去除效率和工件的初步形状，而不过分追求表面的光洁度或精度。</w:t>
      </w:r>
    </w:p>
    <w:p w14:paraId="21094F4D">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（3）精加工</w:t>
      </w:r>
    </w:p>
    <w:p w14:paraId="4DB0D00A">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通过车床粗加工的工件，进入精加工过程。精加工主要是使用磨床，分三个阶段对工件进行处理。粗磨阶段主要是去除工件表面的大部分余量，使工件接近最终形状和尺寸。在这个阶段，磨削力较大，砂轮磨损较快，因此需要注意砂轮的选用和修整。半精磨阶段则是在粗磨的基础上，进一步平滑工件表面，去除剩余的少量余量。这个阶段需要更加精细的控制，以保证工件表面的质量和精度。精磨阶段则是最终的加工阶段，通过高精度的磨削和修整，使工件表面达到极高的光洁度和精度要求。在这个阶段，需要严格控制磨削参数和砂轮的状态，以确保加工质量和稳定性。最后利用铣床，对工件的平面、沟槽、齿轮等复杂形状部件进行加工处理，使工件尺寸精度达到阶段要求。</w:t>
      </w:r>
    </w:p>
    <w:p w14:paraId="74869A49">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（4）配铲</w:t>
      </w:r>
    </w:p>
    <w:p w14:paraId="2C7AE46C">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经过精加工的工件运至装配区，为了提高提高机床精度、增强刚性、延长使用寿命和提高操作舒适性。在装配区对导轨表面的磨损以及不平整表面进行铲刮，以恢复导轨的平整度，从而提高机床的加工精度和尺寸精度。此外，铲刮还能提升导轨的刚性和稳定性，减少机床振动和变形，从而确保高精度的加工过程。在延长使用寿命方面，铲刮可以去除导轨表面的磨损层，减少导轨的损耗，从而延长机床的使用寿命并降低维修和更换成本。最后，铲刮能减小机床运行时的噪音和震动，提高操作人员的舒适性和工作环境。‌</w:t>
      </w:r>
    </w:p>
    <w:p w14:paraId="485C10DB">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铲刮的具体工艺过程包括粗刮、细刮、精刮和刮花四个阶段。粗刮主要用于去除工件表面的深加工痕迹，细刮则是进一步改善表面不平现象，精刮则是在细刮的基础上增加接触点，确保工件符合精度要求。刮花则是为了美观和储存润滑油。‌</w:t>
      </w:r>
    </w:p>
    <w:p w14:paraId="58038278">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铲刮技术虽然不能完全被机器替代，但其优越性在于能够显著提高接触精度和几何精度，形成储油坑减少摩擦，增加机床的稳定性和耐用性。这种工艺在精密机床和检具中尤为重要，能够消除应力、减少噪音并提高润滑效果。</w:t>
      </w:r>
    </w:p>
    <w:p w14:paraId="78478B77">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lang w:val="en-US" w:eastAsia="zh-CN"/>
          <w14:textFill>
            <w14:solidFill>
              <w14:schemeClr w14:val="tx1"/>
            </w14:solidFill>
          </w14:textFill>
        </w:rPr>
      </w:pPr>
      <w:r>
        <w:rPr>
          <w:rFonts w:hint="eastAsia" w:hAnsi="宋体" w:cs="宋体"/>
          <w:color w:val="000000" w:themeColor="text1"/>
          <w:sz w:val="28"/>
          <w:lang w:val="en-US" w:eastAsia="zh-CN"/>
          <w14:textFill>
            <w14:solidFill>
              <w14:schemeClr w14:val="tx1"/>
            </w14:solidFill>
          </w14:textFill>
        </w:rPr>
        <w:t>（5）</w:t>
      </w:r>
      <w:r>
        <w:rPr>
          <w:rFonts w:hint="eastAsia" w:ascii="宋体" w:hAnsi="宋体" w:eastAsia="宋体" w:cs="宋体"/>
          <w:color w:val="000000" w:themeColor="text1"/>
          <w:sz w:val="28"/>
          <w:lang w:val="en-US" w:eastAsia="zh-CN"/>
          <w14:textFill>
            <w14:solidFill>
              <w14:schemeClr w14:val="tx1"/>
            </w14:solidFill>
          </w14:textFill>
        </w:rPr>
        <w:t>装配</w:t>
      </w:r>
    </w:p>
    <w:p w14:paraId="53CE1126">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根据规定的技术要求，将零件或部件进行配合和连接，使之成为半成品或成品。机器的装配是机器制造过程中最后一个环节，它包括装配、调整、检验和试验等工作。装配过程使零件、套件、组件和部件间获得一定的相互位置关系，所以装配过程也是一种工艺过程。‌</w:t>
      </w:r>
    </w:p>
    <w:p w14:paraId="7BFED4C9">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lang w:val="en-US" w:eastAsia="zh-CN"/>
          <w14:textFill>
            <w14:solidFill>
              <w14:schemeClr w14:val="tx1"/>
            </w14:solidFill>
          </w14:textFill>
        </w:rPr>
      </w:pPr>
      <w:r>
        <w:rPr>
          <w:rFonts w:hint="eastAsia" w:hAnsi="宋体" w:cs="宋体"/>
          <w:color w:val="000000" w:themeColor="text1"/>
          <w:sz w:val="28"/>
          <w:lang w:val="en-US" w:eastAsia="zh-CN"/>
          <w14:textFill>
            <w14:solidFill>
              <w14:schemeClr w14:val="tx1"/>
            </w14:solidFill>
          </w14:textFill>
        </w:rPr>
        <w:t>（6）</w:t>
      </w:r>
      <w:r>
        <w:rPr>
          <w:rFonts w:hint="eastAsia" w:ascii="宋体" w:hAnsi="宋体" w:eastAsia="宋体" w:cs="宋体"/>
          <w:color w:val="000000" w:themeColor="text1"/>
          <w:sz w:val="28"/>
          <w:lang w:val="en-US" w:eastAsia="zh-CN"/>
          <w14:textFill>
            <w14:solidFill>
              <w14:schemeClr w14:val="tx1"/>
            </w14:solidFill>
          </w14:textFill>
        </w:rPr>
        <w:t>机床检验测试</w:t>
      </w:r>
    </w:p>
    <w:p w14:paraId="5A20A01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在机床装配完成后，进行全面的机床检验测试。这包括对机床的加工精度、重复定位精度、动态响应性能等进行严格的测试和评估。同时，还需要检查机床的安全防护装置是否完好有效，以确保机床在使用过程中的人机安全。</w:t>
      </w:r>
    </w:p>
    <w:p w14:paraId="0A650E49">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（7）交付发货</w:t>
      </w:r>
    </w:p>
    <w:p w14:paraId="61E1B533">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当机床经过全面检验测试并确认无误后，即可进行交付发货。在发货前，需做好包装保护工作以防止运输过程中的损坏，并向用户提供详细的操作手册和维护指南以便用户正确使用和维护机床。</w:t>
      </w:r>
    </w:p>
    <w:p w14:paraId="761B3420">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发货前准备发货文件（发货清单）、进行产品发货包装和安排运输等工作；产品发出后需进行运输跟踪，直至产品到达客户手中，进而进行交货确认和文件签收返回。最后是售后服务与支持，产品交付后收集客户的反馈。如果客户在使用过程中遇到任何问题，将会协调技术团队提供必要的支持和解决方案，便于客户拥有更好的产品体验。</w:t>
      </w:r>
    </w:p>
    <w:p w14:paraId="2AF14596">
      <w:pPr>
        <w:spacing w:line="600" w:lineRule="exact"/>
        <w:ind w:firstLine="560" w:firstLineChars="200"/>
        <w:rPr>
          <w:rFonts w:hint="eastAsia" w:hAnsi="宋体" w:eastAsia="宋体" w:cs="宋体"/>
          <w:sz w:val="28"/>
          <w:szCs w:val="28"/>
          <w:lang w:eastAsia="zh-CN"/>
        </w:rPr>
      </w:pPr>
      <w:r>
        <w:rPr>
          <w:rFonts w:hint="eastAsia" w:hAnsi="宋体" w:cs="宋体"/>
          <w:sz w:val="28"/>
          <w:szCs w:val="28"/>
        </w:rPr>
        <w:t>工艺流程图如下：</w:t>
      </w:r>
    </w:p>
    <w:p w14:paraId="2CA763F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8"/>
          <w:szCs w:val="28"/>
          <w:highlight w:val="yellow"/>
          <w:lang w:val="en-US" w:eastAsia="zh-CN"/>
        </w:rPr>
      </w:pPr>
      <w:r>
        <w:rPr>
          <w:rFonts w:hint="default"/>
          <w:lang w:val="en-US" w:eastAsia="zh-CN"/>
        </w:rPr>
        <w:pict>
          <v:shape id="_x0000_s1031" o:spid="_x0000_s1031" o:spt="75" type="#_x0000_t75" style="position:absolute;left:0pt;margin-left:131.9pt;margin-top:17.6pt;height:237.2pt;width:151pt;z-index:251660288;mso-width-relative:page;mso-height-relative:page;" o:ole="t" filled="f" o:preferrelative="t" stroked="f" coordsize="21600,21600">
            <v:path/>
            <v:fill on="f" focussize="0,0"/>
            <v:stroke on="f"/>
            <v:imagedata r:id="rId23" cropbottom="12401f" o:title=""/>
            <o:lock v:ext="edit" aspectratio="f"/>
          </v:shape>
          <o:OLEObject Type="Embed" ProgID="Visio.Drawing.11" ShapeID="_x0000_s1031" DrawAspect="Content" ObjectID="_1468075726" r:id="rId22">
            <o:LockedField>false</o:LockedField>
          </o:OLEObject>
        </w:pict>
      </w:r>
    </w:p>
    <w:p w14:paraId="52280B48">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sz w:val="28"/>
          <w:szCs w:val="28"/>
          <w:highlight w:val="yellow"/>
          <w:lang w:val="en-US" w:eastAsia="zh-CN"/>
        </w:rPr>
      </w:pPr>
    </w:p>
    <w:p w14:paraId="3443EAB9">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sz w:val="28"/>
          <w:szCs w:val="28"/>
          <w:highlight w:val="yellow"/>
          <w:lang w:val="en-US" w:eastAsia="zh-CN"/>
        </w:rPr>
      </w:pPr>
    </w:p>
    <w:p w14:paraId="639B7893">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sz w:val="28"/>
          <w:szCs w:val="28"/>
          <w:highlight w:val="yellow"/>
          <w:lang w:val="en-US" w:eastAsia="zh-CN"/>
        </w:rPr>
      </w:pPr>
    </w:p>
    <w:p w14:paraId="108161ED">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sz w:val="28"/>
          <w:szCs w:val="28"/>
          <w:highlight w:val="yellow"/>
          <w:lang w:val="en-US" w:eastAsia="zh-CN"/>
        </w:rPr>
      </w:pPr>
    </w:p>
    <w:p w14:paraId="30609370">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sz w:val="28"/>
          <w:szCs w:val="28"/>
          <w:highlight w:val="yellow"/>
          <w:lang w:val="en-US" w:eastAsia="zh-CN"/>
        </w:rPr>
      </w:pPr>
    </w:p>
    <w:p w14:paraId="74D05673">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sz w:val="28"/>
          <w:szCs w:val="28"/>
          <w:highlight w:val="yellow"/>
          <w:lang w:val="en-US" w:eastAsia="zh-CN"/>
        </w:rPr>
      </w:pPr>
    </w:p>
    <w:p w14:paraId="287E1BC3">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sz w:val="28"/>
          <w:szCs w:val="28"/>
          <w:highlight w:val="yellow"/>
          <w:lang w:val="en-US" w:eastAsia="zh-CN"/>
        </w:rPr>
      </w:pPr>
    </w:p>
    <w:p w14:paraId="3E5B3BC8">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sz w:val="28"/>
          <w:szCs w:val="28"/>
          <w:highlight w:val="yellow"/>
          <w:lang w:val="en-US" w:eastAsia="zh-CN"/>
        </w:rPr>
      </w:pPr>
    </w:p>
    <w:p w14:paraId="62C12DEE">
      <w:pPr>
        <w:bidi w:val="0"/>
        <w:rPr>
          <w:rFonts w:hint="eastAsia"/>
          <w:lang w:val="en-US" w:eastAsia="zh-CN"/>
        </w:rPr>
      </w:pPr>
    </w:p>
    <w:p w14:paraId="51F59F02">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b/>
          <w:bCs/>
          <w:sz w:val="28"/>
          <w:szCs w:val="28"/>
          <w:lang w:val="en-US" w:eastAsia="zh-CN"/>
        </w:rPr>
      </w:pPr>
      <w:bookmarkStart w:id="172" w:name="_Toc32396"/>
      <w:bookmarkStart w:id="173" w:name="_Toc20552"/>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2.4.3主要设备设施</w:t>
      </w:r>
      <w:bookmarkEnd w:id="172"/>
      <w:bookmarkEnd w:id="173"/>
    </w:p>
    <w:p w14:paraId="1A235667">
      <w:pPr>
        <w:spacing w:line="520" w:lineRule="exact"/>
        <w:jc w:val="center"/>
        <w:rPr>
          <w:b/>
          <w:sz w:val="24"/>
        </w:rPr>
      </w:pPr>
      <w:r>
        <w:rPr>
          <w:b/>
          <w:sz w:val="24"/>
        </w:rPr>
        <w:t>主要生产设备一览表</w:t>
      </w:r>
    </w:p>
    <w:tbl>
      <w:tblPr>
        <w:tblStyle w:val="24"/>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3081"/>
        <w:gridCol w:w="2714"/>
        <w:gridCol w:w="1701"/>
      </w:tblGrid>
      <w:tr w14:paraId="3BBC0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713" w:type="dxa"/>
            <w:vAlign w:val="center"/>
          </w:tcPr>
          <w:p w14:paraId="4A91237D">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序号</w:t>
            </w:r>
          </w:p>
        </w:tc>
        <w:tc>
          <w:tcPr>
            <w:tcW w:w="3081" w:type="dxa"/>
            <w:vAlign w:val="center"/>
          </w:tcPr>
          <w:p w14:paraId="3D0B43B5">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设备名称</w:t>
            </w:r>
          </w:p>
        </w:tc>
        <w:tc>
          <w:tcPr>
            <w:tcW w:w="2714" w:type="dxa"/>
            <w:vAlign w:val="center"/>
          </w:tcPr>
          <w:p w14:paraId="743153AA">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型号</w:t>
            </w:r>
          </w:p>
        </w:tc>
        <w:tc>
          <w:tcPr>
            <w:tcW w:w="1701" w:type="dxa"/>
            <w:vAlign w:val="center"/>
          </w:tcPr>
          <w:p w14:paraId="23638397">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rPr>
              <w:t>数量</w:t>
            </w:r>
          </w:p>
        </w:tc>
      </w:tr>
      <w:tr w14:paraId="2F060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713" w:type="dxa"/>
            <w:vAlign w:val="center"/>
          </w:tcPr>
          <w:p w14:paraId="3DFE7A83">
            <w:pPr>
              <w:widowControl/>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c>
          <w:tcPr>
            <w:tcW w:w="3081" w:type="dxa"/>
            <w:shd w:val="clear" w:color="auto" w:fill="auto"/>
            <w:vAlign w:val="center"/>
          </w:tcPr>
          <w:p w14:paraId="7B414B73">
            <w:pPr>
              <w:rPr>
                <w:rFonts w:hint="eastAsia" w:asciiTheme="minorHAnsi" w:hAnsiTheme="minorHAnsi" w:eastAsiaTheme="minorEastAsia" w:cstheme="minorBidi"/>
                <w:kern w:val="2"/>
                <w:sz w:val="21"/>
                <w:szCs w:val="22"/>
                <w:lang w:val="en-US" w:eastAsia="zh-CN" w:bidi="ar-SA"/>
              </w:rPr>
            </w:pPr>
            <w:r>
              <w:rPr>
                <w:rFonts w:hint="eastAsia"/>
              </w:rPr>
              <w:t>电动葫芦桥式起重机</w:t>
            </w:r>
            <w:r>
              <w:rPr>
                <w:rFonts w:hint="eastAsia"/>
                <w:lang w:eastAsia="zh-CN"/>
              </w:rPr>
              <w:t>（</w:t>
            </w:r>
            <w:r>
              <w:rPr>
                <w:rFonts w:hint="eastAsia"/>
                <w:lang w:val="en-US" w:eastAsia="zh-CN"/>
              </w:rPr>
              <w:t>1#</w:t>
            </w:r>
            <w:r>
              <w:rPr>
                <w:rFonts w:hint="eastAsia"/>
                <w:lang w:eastAsia="zh-CN"/>
              </w:rPr>
              <w:t>）</w:t>
            </w:r>
          </w:p>
        </w:tc>
        <w:tc>
          <w:tcPr>
            <w:tcW w:w="2714" w:type="dxa"/>
            <w:shd w:val="clear" w:color="auto" w:fill="auto"/>
            <w:vAlign w:val="center"/>
          </w:tcPr>
          <w:p w14:paraId="5A0072A9">
            <w:pPr>
              <w:rPr>
                <w:rFonts w:hint="eastAsia" w:ascii="宋体" w:hAnsi="宋体" w:eastAsia="宋体" w:cs="宋体"/>
                <w:kern w:val="2"/>
                <w:sz w:val="24"/>
                <w:szCs w:val="24"/>
                <w:lang w:val="en-US" w:eastAsia="zh-CN" w:bidi="ar-SA"/>
              </w:rPr>
            </w:pPr>
            <w:r>
              <w:rPr>
                <w:rFonts w:hint="eastAsia"/>
              </w:rPr>
              <w:t>KSSL10/3.2T-22.5MA5</w:t>
            </w:r>
          </w:p>
        </w:tc>
        <w:tc>
          <w:tcPr>
            <w:tcW w:w="1701" w:type="dxa"/>
            <w:vAlign w:val="center"/>
          </w:tcPr>
          <w:p w14:paraId="5E3B9668">
            <w:pPr>
              <w:widowControl/>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1台</w:t>
            </w:r>
          </w:p>
        </w:tc>
      </w:tr>
      <w:tr w14:paraId="009E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713" w:type="dxa"/>
            <w:vAlign w:val="center"/>
          </w:tcPr>
          <w:p w14:paraId="60777C4E">
            <w:pPr>
              <w:widowControl/>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2</w:t>
            </w:r>
          </w:p>
        </w:tc>
        <w:tc>
          <w:tcPr>
            <w:tcW w:w="3081" w:type="dxa"/>
            <w:shd w:val="clear" w:color="auto" w:fill="auto"/>
            <w:vAlign w:val="center"/>
          </w:tcPr>
          <w:p w14:paraId="37318500">
            <w:pPr>
              <w:rPr>
                <w:rFonts w:hint="eastAsia" w:asciiTheme="minorHAnsi" w:hAnsiTheme="minorHAnsi" w:eastAsiaTheme="minorEastAsia" w:cstheme="minorBidi"/>
                <w:kern w:val="2"/>
                <w:sz w:val="21"/>
                <w:szCs w:val="22"/>
                <w:lang w:val="en-US" w:eastAsia="zh-CN" w:bidi="ar-SA"/>
              </w:rPr>
            </w:pPr>
            <w:r>
              <w:rPr>
                <w:rFonts w:hint="eastAsia"/>
              </w:rPr>
              <w:t>电动葫芦桥式起重机</w:t>
            </w:r>
            <w:r>
              <w:rPr>
                <w:rFonts w:hint="eastAsia"/>
                <w:lang w:eastAsia="zh-CN"/>
              </w:rPr>
              <w:t>（</w:t>
            </w:r>
            <w:r>
              <w:rPr>
                <w:rFonts w:hint="eastAsia"/>
                <w:lang w:val="en-US" w:eastAsia="zh-CN"/>
              </w:rPr>
              <w:t>2#</w:t>
            </w:r>
            <w:r>
              <w:rPr>
                <w:rFonts w:hint="eastAsia"/>
                <w:lang w:eastAsia="zh-CN"/>
              </w:rPr>
              <w:t>）</w:t>
            </w:r>
          </w:p>
        </w:tc>
        <w:tc>
          <w:tcPr>
            <w:tcW w:w="2714" w:type="dxa"/>
            <w:shd w:val="clear" w:color="auto" w:fill="auto"/>
            <w:vAlign w:val="center"/>
          </w:tcPr>
          <w:p w14:paraId="11B3388E">
            <w:pPr>
              <w:rPr>
                <w:rFonts w:hint="eastAsia" w:ascii="宋体" w:hAnsi="宋体" w:eastAsia="宋体" w:cs="宋体"/>
                <w:kern w:val="2"/>
                <w:sz w:val="24"/>
                <w:szCs w:val="24"/>
                <w:lang w:val="en-US" w:eastAsia="zh-CN" w:bidi="ar-SA"/>
              </w:rPr>
            </w:pPr>
            <w:r>
              <w:rPr>
                <w:rFonts w:hint="eastAsia"/>
              </w:rPr>
              <w:t>KSSL16/3.2T-22.5mA5</w:t>
            </w:r>
          </w:p>
        </w:tc>
        <w:tc>
          <w:tcPr>
            <w:tcW w:w="1701" w:type="dxa"/>
            <w:vAlign w:val="center"/>
          </w:tcPr>
          <w:p w14:paraId="238D590F">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lang w:val="en-US" w:eastAsia="zh-CN"/>
              </w:rPr>
              <w:t>1台</w:t>
            </w:r>
          </w:p>
        </w:tc>
      </w:tr>
      <w:tr w14:paraId="0BC3A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713" w:type="dxa"/>
            <w:vAlign w:val="center"/>
          </w:tcPr>
          <w:p w14:paraId="369E46C1">
            <w:pPr>
              <w:widowControl/>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c>
          <w:tcPr>
            <w:tcW w:w="3081" w:type="dxa"/>
            <w:shd w:val="clear" w:color="auto" w:fill="auto"/>
            <w:vAlign w:val="center"/>
          </w:tcPr>
          <w:p w14:paraId="5FB97168">
            <w:pPr>
              <w:rPr>
                <w:rFonts w:hint="eastAsia" w:asciiTheme="minorHAnsi" w:hAnsiTheme="minorHAnsi" w:eastAsiaTheme="minorEastAsia" w:cstheme="minorBidi"/>
                <w:kern w:val="2"/>
                <w:sz w:val="21"/>
                <w:szCs w:val="22"/>
                <w:lang w:val="en-US" w:eastAsia="zh-CN" w:bidi="ar-SA"/>
              </w:rPr>
            </w:pPr>
            <w:r>
              <w:rPr>
                <w:rFonts w:hint="eastAsia"/>
              </w:rPr>
              <w:t>电动葫芦桥式起重机</w:t>
            </w:r>
            <w:r>
              <w:rPr>
                <w:rFonts w:hint="eastAsia"/>
                <w:lang w:eastAsia="zh-CN"/>
              </w:rPr>
              <w:t>（</w:t>
            </w:r>
            <w:r>
              <w:rPr>
                <w:rFonts w:hint="eastAsia"/>
                <w:lang w:val="en-US" w:eastAsia="zh-CN"/>
              </w:rPr>
              <w:t>3#</w:t>
            </w:r>
            <w:r>
              <w:rPr>
                <w:rFonts w:hint="eastAsia"/>
                <w:lang w:eastAsia="zh-CN"/>
              </w:rPr>
              <w:t>）</w:t>
            </w:r>
          </w:p>
        </w:tc>
        <w:tc>
          <w:tcPr>
            <w:tcW w:w="2714" w:type="dxa"/>
            <w:shd w:val="clear" w:color="auto" w:fill="auto"/>
            <w:vAlign w:val="center"/>
          </w:tcPr>
          <w:p w14:paraId="21303918">
            <w:pPr>
              <w:rPr>
                <w:rFonts w:hint="eastAsia" w:ascii="宋体" w:hAnsi="宋体" w:eastAsia="宋体" w:cs="宋体"/>
                <w:kern w:val="2"/>
                <w:sz w:val="24"/>
                <w:szCs w:val="24"/>
                <w:lang w:val="en-US" w:eastAsia="zh-CN" w:bidi="ar-SA"/>
              </w:rPr>
            </w:pPr>
            <w:r>
              <w:rPr>
                <w:rFonts w:hint="eastAsia"/>
              </w:rPr>
              <w:t>KSSL16/3.2T-22.5mA5</w:t>
            </w:r>
          </w:p>
        </w:tc>
        <w:tc>
          <w:tcPr>
            <w:tcW w:w="1701" w:type="dxa"/>
            <w:vAlign w:val="center"/>
          </w:tcPr>
          <w:p w14:paraId="520B04CA">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lang w:val="en-US" w:eastAsia="zh-CN"/>
              </w:rPr>
              <w:t>1台</w:t>
            </w:r>
          </w:p>
        </w:tc>
      </w:tr>
      <w:tr w14:paraId="2ABFA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713" w:type="dxa"/>
            <w:vAlign w:val="center"/>
          </w:tcPr>
          <w:p w14:paraId="6BDC41E2">
            <w:pPr>
              <w:widowControl/>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c>
          <w:tcPr>
            <w:tcW w:w="3081" w:type="dxa"/>
            <w:shd w:val="clear" w:color="auto" w:fill="auto"/>
            <w:vAlign w:val="center"/>
          </w:tcPr>
          <w:p w14:paraId="72CECFA4">
            <w:pPr>
              <w:rPr>
                <w:rFonts w:hint="eastAsia" w:asciiTheme="minorHAnsi" w:hAnsiTheme="minorHAnsi" w:eastAsiaTheme="minorEastAsia" w:cstheme="minorBidi"/>
                <w:kern w:val="2"/>
                <w:sz w:val="21"/>
                <w:szCs w:val="22"/>
                <w:lang w:val="en-US" w:eastAsia="zh-CN" w:bidi="ar-SA"/>
              </w:rPr>
            </w:pPr>
            <w:r>
              <w:rPr>
                <w:rFonts w:hint="eastAsia"/>
              </w:rPr>
              <w:t>电动葫芦门式起重机</w:t>
            </w:r>
            <w:r>
              <w:rPr>
                <w:rFonts w:hint="eastAsia"/>
                <w:lang w:eastAsia="zh-CN"/>
              </w:rPr>
              <w:t>（</w:t>
            </w:r>
            <w:r>
              <w:rPr>
                <w:rFonts w:hint="eastAsia"/>
                <w:lang w:val="en-US" w:eastAsia="zh-CN"/>
              </w:rPr>
              <w:t>4#</w:t>
            </w:r>
            <w:r>
              <w:rPr>
                <w:rFonts w:hint="eastAsia"/>
                <w:lang w:eastAsia="zh-CN"/>
              </w:rPr>
              <w:t>）</w:t>
            </w:r>
          </w:p>
        </w:tc>
        <w:tc>
          <w:tcPr>
            <w:tcW w:w="2714" w:type="dxa"/>
            <w:shd w:val="clear" w:color="auto" w:fill="auto"/>
            <w:vAlign w:val="center"/>
          </w:tcPr>
          <w:p w14:paraId="3633C83B">
            <w:pPr>
              <w:rPr>
                <w:rFonts w:hint="eastAsia" w:ascii="宋体" w:hAnsi="宋体" w:eastAsia="宋体" w:cs="宋体"/>
                <w:kern w:val="2"/>
                <w:sz w:val="24"/>
                <w:szCs w:val="24"/>
                <w:lang w:val="en-US" w:eastAsia="zh-CN" w:bidi="ar-SA"/>
              </w:rPr>
            </w:pPr>
            <w:r>
              <w:rPr>
                <w:rFonts w:hint="eastAsia"/>
              </w:rPr>
              <w:t>HMH2.5T</w:t>
            </w:r>
          </w:p>
        </w:tc>
        <w:tc>
          <w:tcPr>
            <w:tcW w:w="1701" w:type="dxa"/>
            <w:vAlign w:val="center"/>
          </w:tcPr>
          <w:p w14:paraId="7B9553E0">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lang w:val="en-US" w:eastAsia="zh-CN"/>
              </w:rPr>
              <w:t>1台</w:t>
            </w:r>
          </w:p>
        </w:tc>
      </w:tr>
      <w:tr w14:paraId="2EBB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713" w:type="dxa"/>
            <w:vAlign w:val="center"/>
          </w:tcPr>
          <w:p w14:paraId="166C8ADC">
            <w:pPr>
              <w:widowControl/>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c>
          <w:tcPr>
            <w:tcW w:w="3081" w:type="dxa"/>
            <w:shd w:val="clear" w:color="auto" w:fill="auto"/>
            <w:vAlign w:val="center"/>
          </w:tcPr>
          <w:p w14:paraId="5D17DB1C">
            <w:pPr>
              <w:rPr>
                <w:rFonts w:hint="eastAsia" w:ascii="宋体" w:hAnsi="宋体" w:eastAsia="宋体" w:cs="宋体"/>
                <w:kern w:val="2"/>
                <w:sz w:val="24"/>
                <w:szCs w:val="24"/>
                <w:lang w:val="en-US" w:eastAsia="zh-CN" w:bidi="ar-SA"/>
              </w:rPr>
            </w:pPr>
            <w:r>
              <w:rPr>
                <w:rFonts w:hint="eastAsia"/>
              </w:rPr>
              <w:t>电动葫芦门式起重机</w:t>
            </w:r>
            <w:r>
              <w:rPr>
                <w:rFonts w:hint="eastAsia"/>
                <w:lang w:eastAsia="zh-CN"/>
              </w:rPr>
              <w:t>（</w:t>
            </w:r>
            <w:r>
              <w:rPr>
                <w:rFonts w:hint="eastAsia"/>
                <w:lang w:val="en-US" w:eastAsia="zh-CN"/>
              </w:rPr>
              <w:t>5#</w:t>
            </w:r>
            <w:r>
              <w:rPr>
                <w:rFonts w:hint="eastAsia"/>
                <w:lang w:eastAsia="zh-CN"/>
              </w:rPr>
              <w:t>）</w:t>
            </w:r>
          </w:p>
        </w:tc>
        <w:tc>
          <w:tcPr>
            <w:tcW w:w="2714" w:type="dxa"/>
            <w:shd w:val="clear" w:color="auto" w:fill="auto"/>
            <w:vAlign w:val="center"/>
          </w:tcPr>
          <w:p w14:paraId="773D9C0F">
            <w:pPr>
              <w:rPr>
                <w:rFonts w:hint="eastAsia" w:ascii="宋体" w:hAnsi="宋体" w:eastAsia="宋体" w:cs="宋体"/>
                <w:kern w:val="2"/>
                <w:sz w:val="24"/>
                <w:szCs w:val="24"/>
                <w:lang w:val="en-US" w:eastAsia="zh-CN" w:bidi="ar-SA"/>
              </w:rPr>
            </w:pPr>
            <w:r>
              <w:rPr>
                <w:rFonts w:hint="eastAsia"/>
              </w:rPr>
              <w:t>BMH2.5T</w:t>
            </w:r>
          </w:p>
        </w:tc>
        <w:tc>
          <w:tcPr>
            <w:tcW w:w="1701" w:type="dxa"/>
            <w:vAlign w:val="center"/>
          </w:tcPr>
          <w:p w14:paraId="1198D1F4">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lang w:val="en-US" w:eastAsia="zh-CN"/>
              </w:rPr>
              <w:t>1台</w:t>
            </w:r>
          </w:p>
        </w:tc>
      </w:tr>
      <w:tr w14:paraId="3C2F4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713" w:type="dxa"/>
            <w:vAlign w:val="center"/>
          </w:tcPr>
          <w:p w14:paraId="6120FD7F">
            <w:pPr>
              <w:widowControl/>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6</w:t>
            </w:r>
          </w:p>
        </w:tc>
        <w:tc>
          <w:tcPr>
            <w:tcW w:w="3081" w:type="dxa"/>
            <w:shd w:val="clear" w:color="auto" w:fill="auto"/>
            <w:vAlign w:val="center"/>
          </w:tcPr>
          <w:p w14:paraId="0D63A62C">
            <w:pPr>
              <w:rPr>
                <w:rFonts w:hint="eastAsia" w:asciiTheme="minorHAnsi" w:hAnsiTheme="minorHAnsi" w:eastAsiaTheme="minorEastAsia" w:cstheme="minorBidi"/>
                <w:kern w:val="0"/>
                <w:sz w:val="21"/>
                <w:szCs w:val="22"/>
                <w:lang w:val="en-US" w:eastAsia="zh-CN" w:bidi="ar-SA"/>
              </w:rPr>
            </w:pPr>
            <w:r>
              <w:rPr>
                <w:rFonts w:hint="eastAsia"/>
              </w:rPr>
              <w:t>电动葫芦门式起重机</w:t>
            </w:r>
            <w:r>
              <w:rPr>
                <w:rFonts w:hint="eastAsia"/>
                <w:lang w:eastAsia="zh-CN"/>
              </w:rPr>
              <w:t>（</w:t>
            </w:r>
            <w:r>
              <w:rPr>
                <w:rFonts w:hint="eastAsia"/>
                <w:lang w:val="en-US" w:eastAsia="zh-CN"/>
              </w:rPr>
              <w:t>6#</w:t>
            </w:r>
            <w:r>
              <w:rPr>
                <w:rFonts w:hint="eastAsia"/>
                <w:lang w:eastAsia="zh-CN"/>
              </w:rPr>
              <w:t>）</w:t>
            </w:r>
          </w:p>
        </w:tc>
        <w:tc>
          <w:tcPr>
            <w:tcW w:w="2714" w:type="dxa"/>
            <w:shd w:val="clear" w:color="auto" w:fill="auto"/>
            <w:vAlign w:val="center"/>
          </w:tcPr>
          <w:p w14:paraId="13DC537A">
            <w:pPr>
              <w:rPr>
                <w:rFonts w:hint="eastAsia" w:ascii="宋体" w:hAnsi="宋体" w:eastAsia="宋体" w:cs="宋体"/>
                <w:kern w:val="2"/>
                <w:sz w:val="24"/>
                <w:szCs w:val="24"/>
                <w:lang w:val="en-US" w:eastAsia="zh-CN" w:bidi="ar-SA"/>
              </w:rPr>
            </w:pPr>
            <w:r>
              <w:rPr>
                <w:rFonts w:hint="eastAsia"/>
              </w:rPr>
              <w:t>BMH2.5T</w:t>
            </w:r>
          </w:p>
        </w:tc>
        <w:tc>
          <w:tcPr>
            <w:tcW w:w="1701" w:type="dxa"/>
            <w:vAlign w:val="center"/>
          </w:tcPr>
          <w:p w14:paraId="067B1DB4">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lang w:val="en-US" w:eastAsia="zh-CN"/>
              </w:rPr>
              <w:t>1台</w:t>
            </w:r>
          </w:p>
        </w:tc>
      </w:tr>
      <w:tr w14:paraId="0E048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713" w:type="dxa"/>
            <w:vAlign w:val="center"/>
          </w:tcPr>
          <w:p w14:paraId="3B4FCD6F">
            <w:pPr>
              <w:widowControl/>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c>
          <w:tcPr>
            <w:tcW w:w="3081" w:type="dxa"/>
            <w:shd w:val="clear" w:color="auto" w:fill="auto"/>
            <w:vAlign w:val="center"/>
          </w:tcPr>
          <w:p w14:paraId="488BDF6D">
            <w:pPr>
              <w:rPr>
                <w:rFonts w:hint="eastAsia" w:asciiTheme="minorHAnsi" w:hAnsiTheme="minorHAnsi" w:eastAsiaTheme="minorEastAsia" w:cstheme="minorBidi"/>
                <w:kern w:val="0"/>
                <w:sz w:val="21"/>
                <w:szCs w:val="22"/>
                <w:lang w:val="en-US" w:eastAsia="zh-CN" w:bidi="ar-SA"/>
              </w:rPr>
            </w:pPr>
            <w:r>
              <w:rPr>
                <w:rFonts w:hint="eastAsia"/>
              </w:rPr>
              <w:t>电动葫芦桥式起重机</w:t>
            </w:r>
            <w:r>
              <w:rPr>
                <w:rFonts w:hint="eastAsia"/>
                <w:lang w:eastAsia="zh-CN"/>
              </w:rPr>
              <w:t>（</w:t>
            </w:r>
            <w:r>
              <w:rPr>
                <w:rFonts w:hint="eastAsia"/>
                <w:lang w:val="en-US" w:eastAsia="zh-CN"/>
              </w:rPr>
              <w:t>7#</w:t>
            </w:r>
            <w:r>
              <w:rPr>
                <w:rFonts w:hint="eastAsia"/>
                <w:lang w:eastAsia="zh-CN"/>
              </w:rPr>
              <w:t>）</w:t>
            </w:r>
          </w:p>
        </w:tc>
        <w:tc>
          <w:tcPr>
            <w:tcW w:w="2714" w:type="dxa"/>
            <w:shd w:val="clear" w:color="auto" w:fill="auto"/>
            <w:vAlign w:val="center"/>
          </w:tcPr>
          <w:p w14:paraId="41BF7A1F">
            <w:pPr>
              <w:rPr>
                <w:rFonts w:hint="eastAsia" w:ascii="宋体" w:hAnsi="宋体" w:eastAsia="宋体" w:cs="宋体"/>
                <w:kern w:val="2"/>
                <w:sz w:val="24"/>
                <w:szCs w:val="24"/>
                <w:lang w:val="en-US" w:eastAsia="zh-CN" w:bidi="ar-SA"/>
              </w:rPr>
            </w:pPr>
            <w:r>
              <w:rPr>
                <w:rFonts w:hint="eastAsia"/>
              </w:rPr>
              <w:t>KSSL16/3.2T-22.5mA5</w:t>
            </w:r>
          </w:p>
        </w:tc>
        <w:tc>
          <w:tcPr>
            <w:tcW w:w="1701" w:type="dxa"/>
            <w:vAlign w:val="center"/>
          </w:tcPr>
          <w:p w14:paraId="69BCE0AF">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lang w:val="en-US" w:eastAsia="zh-CN"/>
              </w:rPr>
              <w:t>1台</w:t>
            </w:r>
          </w:p>
        </w:tc>
      </w:tr>
      <w:tr w14:paraId="1B668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713" w:type="dxa"/>
            <w:vAlign w:val="center"/>
          </w:tcPr>
          <w:p w14:paraId="33DF69C6">
            <w:pPr>
              <w:widowControl/>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c>
          <w:tcPr>
            <w:tcW w:w="3081" w:type="dxa"/>
            <w:shd w:val="clear" w:color="auto" w:fill="auto"/>
            <w:vAlign w:val="center"/>
          </w:tcPr>
          <w:p w14:paraId="74F32C91">
            <w:pPr>
              <w:rPr>
                <w:rFonts w:hint="eastAsia" w:asciiTheme="minorHAnsi" w:hAnsiTheme="minorHAnsi" w:eastAsiaTheme="minorEastAsia" w:cstheme="minorBidi"/>
                <w:kern w:val="0"/>
                <w:sz w:val="21"/>
                <w:szCs w:val="22"/>
                <w:lang w:val="en-US" w:eastAsia="zh-CN" w:bidi="ar-SA"/>
              </w:rPr>
            </w:pPr>
            <w:r>
              <w:rPr>
                <w:rFonts w:hint="eastAsia"/>
              </w:rPr>
              <w:t>电动葫芦桥式起重机</w:t>
            </w:r>
            <w:r>
              <w:rPr>
                <w:rFonts w:hint="eastAsia"/>
                <w:lang w:eastAsia="zh-CN"/>
              </w:rPr>
              <w:t>（</w:t>
            </w:r>
            <w:r>
              <w:rPr>
                <w:rFonts w:hint="eastAsia"/>
                <w:lang w:val="en-US" w:eastAsia="zh-CN"/>
              </w:rPr>
              <w:t>8#</w:t>
            </w:r>
            <w:r>
              <w:rPr>
                <w:rFonts w:hint="eastAsia"/>
                <w:lang w:eastAsia="zh-CN"/>
              </w:rPr>
              <w:t>）</w:t>
            </w:r>
          </w:p>
        </w:tc>
        <w:tc>
          <w:tcPr>
            <w:tcW w:w="2714" w:type="dxa"/>
            <w:shd w:val="clear" w:color="auto" w:fill="auto"/>
            <w:vAlign w:val="center"/>
          </w:tcPr>
          <w:p w14:paraId="4B6E778E">
            <w:pPr>
              <w:rPr>
                <w:rFonts w:hint="eastAsia" w:ascii="宋体" w:hAnsi="宋体" w:eastAsia="宋体" w:cs="宋体"/>
                <w:kern w:val="2"/>
                <w:sz w:val="24"/>
                <w:szCs w:val="24"/>
                <w:lang w:val="en-US" w:eastAsia="zh-CN" w:bidi="ar-SA"/>
              </w:rPr>
            </w:pPr>
            <w:r>
              <w:rPr>
                <w:rFonts w:hint="eastAsia"/>
              </w:rPr>
              <w:t>KSSL10/3.2T-22.5MA5</w:t>
            </w:r>
          </w:p>
        </w:tc>
        <w:tc>
          <w:tcPr>
            <w:tcW w:w="1701" w:type="dxa"/>
            <w:vAlign w:val="center"/>
          </w:tcPr>
          <w:p w14:paraId="67ED7320">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lang w:val="en-US" w:eastAsia="zh-CN"/>
              </w:rPr>
              <w:t>1台</w:t>
            </w:r>
          </w:p>
        </w:tc>
      </w:tr>
      <w:tr w14:paraId="0416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713" w:type="dxa"/>
            <w:vAlign w:val="center"/>
          </w:tcPr>
          <w:p w14:paraId="4F2EA21E">
            <w:pPr>
              <w:widowControl/>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9</w:t>
            </w:r>
          </w:p>
        </w:tc>
        <w:tc>
          <w:tcPr>
            <w:tcW w:w="3081" w:type="dxa"/>
            <w:vAlign w:val="center"/>
          </w:tcPr>
          <w:p w14:paraId="4B0E49AA">
            <w:pPr>
              <w:rPr>
                <w:rFonts w:hint="eastAsia"/>
                <w:lang w:val="en-US" w:eastAsia="zh-CN"/>
              </w:rPr>
            </w:pPr>
            <w:r>
              <w:rPr>
                <w:rFonts w:hint="eastAsia"/>
                <w:lang w:val="en-US" w:eastAsia="zh-CN"/>
              </w:rPr>
              <w:t>车床</w:t>
            </w:r>
          </w:p>
        </w:tc>
        <w:tc>
          <w:tcPr>
            <w:tcW w:w="2714" w:type="dxa"/>
            <w:vAlign w:val="center"/>
          </w:tcPr>
          <w:p w14:paraId="7E2CE6C1">
            <w:pPr>
              <w:rPr>
                <w:rFonts w:hint="eastAsia"/>
              </w:rPr>
            </w:pPr>
            <w:r>
              <w:rPr>
                <w:rFonts w:hint="eastAsia"/>
              </w:rPr>
              <w:t>CY-A6150B</w:t>
            </w:r>
          </w:p>
        </w:tc>
        <w:tc>
          <w:tcPr>
            <w:tcW w:w="1701" w:type="dxa"/>
            <w:vAlign w:val="center"/>
          </w:tcPr>
          <w:p w14:paraId="1B9D7ED0">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lang w:val="en-US" w:eastAsia="zh-CN"/>
              </w:rPr>
              <w:t>1台</w:t>
            </w:r>
          </w:p>
        </w:tc>
      </w:tr>
      <w:tr w14:paraId="1F84F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713" w:type="dxa"/>
            <w:vAlign w:val="center"/>
          </w:tcPr>
          <w:p w14:paraId="71F59403">
            <w:pPr>
              <w:widowControl/>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10</w:t>
            </w:r>
          </w:p>
        </w:tc>
        <w:tc>
          <w:tcPr>
            <w:tcW w:w="3081" w:type="dxa"/>
            <w:vAlign w:val="center"/>
          </w:tcPr>
          <w:p w14:paraId="753C2DC6">
            <w:pPr>
              <w:rPr>
                <w:rFonts w:hint="eastAsia"/>
                <w:lang w:val="en-US" w:eastAsia="zh-CN"/>
              </w:rPr>
            </w:pPr>
            <w:r>
              <w:rPr>
                <w:rFonts w:hint="eastAsia"/>
                <w:lang w:val="en-US" w:eastAsia="zh-CN"/>
              </w:rPr>
              <w:t>磨床</w:t>
            </w:r>
          </w:p>
        </w:tc>
        <w:tc>
          <w:tcPr>
            <w:tcW w:w="2714" w:type="dxa"/>
            <w:vAlign w:val="center"/>
          </w:tcPr>
          <w:p w14:paraId="20B4FA58">
            <w:pPr>
              <w:rPr>
                <w:rFonts w:hint="eastAsia"/>
              </w:rPr>
            </w:pPr>
            <w:r>
              <w:rPr>
                <w:rFonts w:hint="eastAsia"/>
              </w:rPr>
              <w:t>GDW20/30</w:t>
            </w:r>
          </w:p>
        </w:tc>
        <w:tc>
          <w:tcPr>
            <w:tcW w:w="1701" w:type="dxa"/>
            <w:vAlign w:val="center"/>
          </w:tcPr>
          <w:p w14:paraId="59F4CDB8">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lang w:val="en-US" w:eastAsia="zh-CN"/>
              </w:rPr>
              <w:t>1台</w:t>
            </w:r>
          </w:p>
        </w:tc>
      </w:tr>
      <w:tr w14:paraId="5BB4E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713" w:type="dxa"/>
            <w:vAlign w:val="center"/>
          </w:tcPr>
          <w:p w14:paraId="5A2F3893">
            <w:pPr>
              <w:widowControl/>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11</w:t>
            </w:r>
          </w:p>
        </w:tc>
        <w:tc>
          <w:tcPr>
            <w:tcW w:w="3081" w:type="dxa"/>
            <w:vAlign w:val="center"/>
          </w:tcPr>
          <w:p w14:paraId="609A453A">
            <w:pPr>
              <w:rPr>
                <w:rFonts w:hint="eastAsia"/>
                <w:lang w:val="en-US" w:eastAsia="zh-CN"/>
              </w:rPr>
            </w:pPr>
            <w:r>
              <w:rPr>
                <w:rFonts w:hint="eastAsia"/>
                <w:lang w:val="en-US" w:eastAsia="zh-CN"/>
              </w:rPr>
              <w:t>磨床</w:t>
            </w:r>
          </w:p>
        </w:tc>
        <w:tc>
          <w:tcPr>
            <w:tcW w:w="2714" w:type="dxa"/>
            <w:vAlign w:val="center"/>
          </w:tcPr>
          <w:p w14:paraId="195EBC81">
            <w:pPr>
              <w:rPr>
                <w:rFonts w:hint="eastAsia"/>
              </w:rPr>
            </w:pPr>
            <w:r>
              <w:rPr>
                <w:rFonts w:hint="eastAsia"/>
              </w:rPr>
              <w:t>YM-KD4016</w:t>
            </w:r>
          </w:p>
        </w:tc>
        <w:tc>
          <w:tcPr>
            <w:tcW w:w="1701" w:type="dxa"/>
            <w:vAlign w:val="center"/>
          </w:tcPr>
          <w:p w14:paraId="6272730F">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lang w:val="en-US" w:eastAsia="zh-CN"/>
              </w:rPr>
              <w:t>1台</w:t>
            </w:r>
          </w:p>
        </w:tc>
      </w:tr>
      <w:tr w14:paraId="7FD62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713" w:type="dxa"/>
            <w:vAlign w:val="center"/>
          </w:tcPr>
          <w:p w14:paraId="65DBACDE">
            <w:pPr>
              <w:widowControl/>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12</w:t>
            </w:r>
          </w:p>
        </w:tc>
        <w:tc>
          <w:tcPr>
            <w:tcW w:w="3081" w:type="dxa"/>
            <w:vAlign w:val="center"/>
          </w:tcPr>
          <w:p w14:paraId="3783A3A1">
            <w:pPr>
              <w:rPr>
                <w:rFonts w:hint="eastAsia"/>
                <w:lang w:val="en-US" w:eastAsia="zh-CN"/>
              </w:rPr>
            </w:pPr>
            <w:r>
              <w:rPr>
                <w:rFonts w:hint="eastAsia"/>
                <w:lang w:val="en-US" w:eastAsia="zh-CN"/>
              </w:rPr>
              <w:t>磨床</w:t>
            </w:r>
          </w:p>
        </w:tc>
        <w:tc>
          <w:tcPr>
            <w:tcW w:w="2714" w:type="dxa"/>
            <w:vAlign w:val="center"/>
          </w:tcPr>
          <w:p w14:paraId="50292F4E">
            <w:pPr>
              <w:rPr>
                <w:rFonts w:hint="default"/>
                <w:lang w:val="en-US" w:eastAsia="zh-CN"/>
              </w:rPr>
            </w:pPr>
            <w:r>
              <w:rPr>
                <w:rFonts w:hint="eastAsia"/>
                <w:lang w:val="en-US" w:eastAsia="zh-CN"/>
              </w:rPr>
              <w:t>垫片磨床</w:t>
            </w:r>
          </w:p>
        </w:tc>
        <w:tc>
          <w:tcPr>
            <w:tcW w:w="1701" w:type="dxa"/>
            <w:vAlign w:val="center"/>
          </w:tcPr>
          <w:p w14:paraId="570898AE">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lang w:val="en-US" w:eastAsia="zh-CN"/>
              </w:rPr>
              <w:t>1台</w:t>
            </w:r>
          </w:p>
        </w:tc>
      </w:tr>
      <w:tr w14:paraId="7188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713" w:type="dxa"/>
            <w:vAlign w:val="center"/>
          </w:tcPr>
          <w:p w14:paraId="54BE3733">
            <w:pPr>
              <w:widowControl/>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13</w:t>
            </w:r>
          </w:p>
        </w:tc>
        <w:tc>
          <w:tcPr>
            <w:tcW w:w="3081" w:type="dxa"/>
            <w:vAlign w:val="center"/>
          </w:tcPr>
          <w:p w14:paraId="20587027">
            <w:pPr>
              <w:rPr>
                <w:rFonts w:hint="eastAsia"/>
                <w:lang w:val="en-US" w:eastAsia="zh-CN"/>
              </w:rPr>
            </w:pPr>
            <w:r>
              <w:rPr>
                <w:rFonts w:hint="eastAsia"/>
                <w:lang w:val="en-US" w:eastAsia="zh-CN"/>
              </w:rPr>
              <w:t>铣床</w:t>
            </w:r>
          </w:p>
        </w:tc>
        <w:tc>
          <w:tcPr>
            <w:tcW w:w="2714" w:type="dxa"/>
            <w:vAlign w:val="center"/>
          </w:tcPr>
          <w:p w14:paraId="7BD34CB9">
            <w:pPr>
              <w:rPr>
                <w:rFonts w:hint="default"/>
                <w:lang w:val="en-US" w:eastAsia="zh-CN"/>
              </w:rPr>
            </w:pPr>
            <w:r>
              <w:rPr>
                <w:rFonts w:hint="eastAsia"/>
              </w:rPr>
              <w:t>1580硬轨立</w:t>
            </w:r>
            <w:r>
              <w:rPr>
                <w:rFonts w:hint="eastAsia"/>
                <w:lang w:val="en-US" w:eastAsia="zh-CN"/>
              </w:rPr>
              <w:t>加铣床</w:t>
            </w:r>
          </w:p>
        </w:tc>
        <w:tc>
          <w:tcPr>
            <w:tcW w:w="1701" w:type="dxa"/>
            <w:vAlign w:val="center"/>
          </w:tcPr>
          <w:p w14:paraId="74335D20">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lang w:val="en-US" w:eastAsia="zh-CN"/>
              </w:rPr>
              <w:t>1台</w:t>
            </w:r>
          </w:p>
        </w:tc>
      </w:tr>
      <w:tr w14:paraId="60612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713" w:type="dxa"/>
            <w:vAlign w:val="center"/>
          </w:tcPr>
          <w:p w14:paraId="0ABDEC3B">
            <w:pPr>
              <w:widowControl/>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14</w:t>
            </w:r>
          </w:p>
        </w:tc>
        <w:tc>
          <w:tcPr>
            <w:tcW w:w="3081" w:type="dxa"/>
            <w:vAlign w:val="center"/>
          </w:tcPr>
          <w:p w14:paraId="331C3EAB">
            <w:pPr>
              <w:rPr>
                <w:rFonts w:hint="default"/>
                <w:lang w:val="en-US" w:eastAsia="zh-CN"/>
              </w:rPr>
            </w:pPr>
            <w:r>
              <w:rPr>
                <w:rFonts w:hint="eastAsia"/>
                <w:lang w:val="en-US" w:eastAsia="zh-CN"/>
              </w:rPr>
              <w:t>铣床</w:t>
            </w:r>
          </w:p>
        </w:tc>
        <w:tc>
          <w:tcPr>
            <w:tcW w:w="2714" w:type="dxa"/>
            <w:vAlign w:val="center"/>
          </w:tcPr>
          <w:p w14:paraId="5D9CF88A">
            <w:pPr>
              <w:rPr>
                <w:rFonts w:hint="eastAsia"/>
              </w:rPr>
            </w:pPr>
            <w:r>
              <w:rPr>
                <w:rFonts w:hint="eastAsia"/>
              </w:rPr>
              <w:t>7030龙门铣床</w:t>
            </w:r>
          </w:p>
        </w:tc>
        <w:tc>
          <w:tcPr>
            <w:tcW w:w="1701" w:type="dxa"/>
            <w:vAlign w:val="center"/>
          </w:tcPr>
          <w:p w14:paraId="69F7BED7">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lang w:val="en-US" w:eastAsia="zh-CN"/>
              </w:rPr>
              <w:t>1台</w:t>
            </w:r>
          </w:p>
        </w:tc>
      </w:tr>
      <w:tr w14:paraId="69E1E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713" w:type="dxa"/>
            <w:vAlign w:val="center"/>
          </w:tcPr>
          <w:p w14:paraId="7A21DB05">
            <w:pPr>
              <w:widowControl/>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15</w:t>
            </w:r>
          </w:p>
        </w:tc>
        <w:tc>
          <w:tcPr>
            <w:tcW w:w="3081" w:type="dxa"/>
            <w:vAlign w:val="center"/>
          </w:tcPr>
          <w:p w14:paraId="7FDC4B45">
            <w:pPr>
              <w:rPr>
                <w:rFonts w:hint="default"/>
                <w:lang w:val="en-US" w:eastAsia="zh-CN"/>
              </w:rPr>
            </w:pPr>
            <w:r>
              <w:rPr>
                <w:rFonts w:hint="eastAsia"/>
                <w:lang w:val="en-US" w:eastAsia="zh-CN"/>
              </w:rPr>
              <w:t>铣床</w:t>
            </w:r>
          </w:p>
        </w:tc>
        <w:tc>
          <w:tcPr>
            <w:tcW w:w="2714" w:type="dxa"/>
            <w:vAlign w:val="center"/>
          </w:tcPr>
          <w:p w14:paraId="4140A1F5">
            <w:pPr>
              <w:rPr>
                <w:rFonts w:hint="eastAsia"/>
              </w:rPr>
            </w:pPr>
            <w:r>
              <w:rPr>
                <w:rFonts w:hint="eastAsia"/>
              </w:rPr>
              <w:t>卧加铣床1米×1米</w:t>
            </w:r>
          </w:p>
        </w:tc>
        <w:tc>
          <w:tcPr>
            <w:tcW w:w="1701" w:type="dxa"/>
            <w:vAlign w:val="center"/>
          </w:tcPr>
          <w:p w14:paraId="679212A3">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lang w:val="en-US" w:eastAsia="zh-CN"/>
              </w:rPr>
              <w:t>1台</w:t>
            </w:r>
          </w:p>
        </w:tc>
      </w:tr>
      <w:tr w14:paraId="15AC5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713" w:type="dxa"/>
            <w:vAlign w:val="center"/>
          </w:tcPr>
          <w:p w14:paraId="4427208C">
            <w:pPr>
              <w:widowControl/>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16</w:t>
            </w:r>
          </w:p>
        </w:tc>
        <w:tc>
          <w:tcPr>
            <w:tcW w:w="3081" w:type="dxa"/>
            <w:vAlign w:val="center"/>
          </w:tcPr>
          <w:p w14:paraId="2C186471">
            <w:pPr>
              <w:rPr>
                <w:rFonts w:hint="default"/>
                <w:lang w:val="en-US" w:eastAsia="zh-CN"/>
              </w:rPr>
            </w:pPr>
            <w:r>
              <w:rPr>
                <w:rFonts w:hint="eastAsia"/>
                <w:lang w:val="en-US" w:eastAsia="zh-CN"/>
              </w:rPr>
              <w:t>铣床</w:t>
            </w:r>
          </w:p>
        </w:tc>
        <w:tc>
          <w:tcPr>
            <w:tcW w:w="2714" w:type="dxa"/>
            <w:vAlign w:val="center"/>
          </w:tcPr>
          <w:p w14:paraId="3ED204C3">
            <w:pPr>
              <w:rPr>
                <w:rFonts w:hint="eastAsia"/>
              </w:rPr>
            </w:pPr>
            <w:r>
              <w:rPr>
                <w:rFonts w:hint="eastAsia"/>
              </w:rPr>
              <w:t>炮塔铣</w:t>
            </w:r>
          </w:p>
        </w:tc>
        <w:tc>
          <w:tcPr>
            <w:tcW w:w="1701" w:type="dxa"/>
            <w:vAlign w:val="center"/>
          </w:tcPr>
          <w:p w14:paraId="1A0D9225">
            <w:pPr>
              <w:widowControl/>
              <w:jc w:val="center"/>
              <w:rPr>
                <w:rFonts w:hint="eastAsia" w:ascii="仿宋_GB2312" w:hAnsi="宋体" w:eastAsia="仿宋_GB2312" w:cs="宋体"/>
                <w:kern w:val="0"/>
                <w:sz w:val="24"/>
              </w:rPr>
            </w:pPr>
            <w:r>
              <w:rPr>
                <w:rFonts w:hint="eastAsia" w:ascii="仿宋_GB2312" w:hAnsi="宋体" w:eastAsia="仿宋_GB2312" w:cs="宋体"/>
                <w:kern w:val="0"/>
                <w:sz w:val="24"/>
                <w:lang w:val="en-US" w:eastAsia="zh-CN"/>
              </w:rPr>
              <w:t>1台</w:t>
            </w:r>
          </w:p>
        </w:tc>
      </w:tr>
    </w:tbl>
    <w:p w14:paraId="76F65891">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起重机已按特种设备监管相关要求进行登记，见附件11；并进行了定期检验，起重机于202</w:t>
      </w:r>
      <w:r>
        <w:rPr>
          <w:rFonts w:hint="eastAsia" w:hAnsi="宋体" w:cs="宋体"/>
          <w:color w:val="000000" w:themeColor="text1"/>
          <w:sz w:val="28"/>
          <w:lang w:val="en-US" w:eastAsia="zh-CN"/>
          <w14:textFill>
            <w14:solidFill>
              <w14:schemeClr w14:val="tx1"/>
            </w14:solidFill>
          </w14:textFill>
        </w:rPr>
        <w:t>3</w:t>
      </w:r>
      <w:r>
        <w:rPr>
          <w:rFonts w:hint="eastAsia" w:ascii="宋体" w:hAnsi="宋体" w:eastAsia="宋体" w:cs="宋体"/>
          <w:color w:val="000000" w:themeColor="text1"/>
          <w:sz w:val="28"/>
          <w:lang w:val="en-US" w:eastAsia="zh-CN"/>
          <w14:textFill>
            <w14:solidFill>
              <w14:schemeClr w14:val="tx1"/>
            </w14:solidFill>
          </w14:textFill>
        </w:rPr>
        <w:t>年7月进行检验，检验有效期至202</w:t>
      </w:r>
      <w:r>
        <w:rPr>
          <w:rFonts w:hint="eastAsia" w:hAnsi="宋体" w:cs="宋体"/>
          <w:color w:val="000000" w:themeColor="text1"/>
          <w:sz w:val="28"/>
          <w:lang w:val="en-US" w:eastAsia="zh-CN"/>
          <w14:textFill>
            <w14:solidFill>
              <w14:schemeClr w14:val="tx1"/>
            </w14:solidFill>
          </w14:textFill>
        </w:rPr>
        <w:t>5</w:t>
      </w:r>
      <w:r>
        <w:rPr>
          <w:rFonts w:hint="eastAsia" w:ascii="宋体" w:hAnsi="宋体" w:eastAsia="宋体" w:cs="宋体"/>
          <w:color w:val="000000" w:themeColor="text1"/>
          <w:sz w:val="28"/>
          <w:lang w:val="en-US" w:eastAsia="zh-CN"/>
          <w14:textFill>
            <w14:solidFill>
              <w14:schemeClr w14:val="tx1"/>
            </w14:solidFill>
          </w14:textFill>
        </w:rPr>
        <w:t>年7月，检验报告见附件12。</w:t>
      </w:r>
    </w:p>
    <w:p w14:paraId="77F00C31">
      <w:pPr>
        <w:pStyle w:val="3"/>
        <w:keepNext/>
        <w:keepLines/>
        <w:pageBreakBefore w:val="0"/>
        <w:widowControl w:val="0"/>
        <w:kinsoku/>
        <w:wordWrap/>
        <w:overflowPunct/>
        <w:topLinePunct w:val="0"/>
        <w:autoSpaceDE/>
        <w:autoSpaceDN/>
        <w:bidi w:val="0"/>
        <w:adjustRightInd/>
        <w:snapToGrid w:val="0"/>
        <w:spacing w:before="0" w:after="0" w:line="520" w:lineRule="exact"/>
        <w:jc w:val="both"/>
        <w:textAlignment w:val="auto"/>
        <w:rPr>
          <w:rFonts w:hint="eastAsia" w:ascii="宋体" w:hAnsi="宋体" w:eastAsia="宋体" w:cs="宋体"/>
          <w:color w:val="000000" w:themeColor="text1"/>
          <w:kern w:val="0"/>
          <w:lang w:val="en-US" w:eastAsia="zh-CN"/>
          <w14:textFill>
            <w14:solidFill>
              <w14:schemeClr w14:val="tx1"/>
            </w14:solidFill>
          </w14:textFill>
        </w:rPr>
      </w:pPr>
      <w:bookmarkStart w:id="174" w:name="_Toc26116"/>
      <w:bookmarkStart w:id="175" w:name="_Toc13390"/>
      <w:r>
        <w:rPr>
          <w:rFonts w:hint="eastAsia" w:ascii="宋体" w:hAnsi="宋体" w:eastAsia="宋体" w:cs="宋体"/>
          <w:color w:val="000000" w:themeColor="text1"/>
          <w:kern w:val="0"/>
          <w:lang w:val="en-US" w:eastAsia="zh-CN"/>
          <w14:textFill>
            <w14:solidFill>
              <w14:schemeClr w14:val="tx1"/>
            </w14:solidFill>
          </w14:textFill>
        </w:rPr>
        <w:t>2.5公用工程及辅助生产设施</w:t>
      </w:r>
      <w:bookmarkEnd w:id="174"/>
      <w:bookmarkEnd w:id="175"/>
    </w:p>
    <w:p w14:paraId="68FF14B3">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176" w:name="_Toc5126"/>
      <w:bookmarkStart w:id="177" w:name="_Toc5146"/>
      <w:bookmarkStart w:id="178" w:name="_Toc16987"/>
      <w:bookmarkStart w:id="179" w:name="_Toc14857"/>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2.5.1 给排水</w:t>
      </w:r>
      <w:bookmarkEnd w:id="176"/>
      <w:bookmarkEnd w:id="177"/>
      <w:bookmarkEnd w:id="178"/>
      <w:bookmarkEnd w:id="179"/>
    </w:p>
    <w:p w14:paraId="78E6F538">
      <w:pPr>
        <w:pStyle w:val="5"/>
        <w:keepNext w:val="0"/>
        <w:keepLines w:val="0"/>
        <w:pageBreakBefore w:val="0"/>
        <w:widowControl w:val="0"/>
        <w:kinsoku/>
        <w:wordWrap/>
        <w:overflowPunct/>
        <w:topLinePunct w:val="0"/>
        <w:autoSpaceDE/>
        <w:autoSpaceDN/>
        <w:bidi w:val="0"/>
        <w:adjustRightInd/>
        <w:snapToGrid w:val="0"/>
        <w:spacing w:line="520" w:lineRule="exact"/>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2.5.1.1 给水</w:t>
      </w:r>
    </w:p>
    <w:p w14:paraId="1B1AEA2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本项目生产、生活用水由研和街道自来水厂通过工业园区城市供水管网提供。</w:t>
      </w:r>
      <w:r>
        <w:rPr>
          <w:rFonts w:hint="eastAsia" w:ascii="宋体" w:hAnsi="宋体" w:eastAsia="宋体" w:cs="宋体"/>
          <w:color w:val="000000"/>
          <w:sz w:val="28"/>
          <w:szCs w:val="28"/>
          <w:lang w:bidi="ar"/>
        </w:rPr>
        <w:t>消防</w:t>
      </w:r>
      <w:r>
        <w:rPr>
          <w:rFonts w:hint="eastAsia" w:ascii="宋体" w:hAnsi="宋体" w:eastAsia="宋体" w:cs="宋体"/>
          <w:color w:val="000000"/>
          <w:sz w:val="28"/>
          <w:szCs w:val="28"/>
          <w:lang w:val="en-US" w:eastAsia="zh-CN" w:bidi="ar"/>
        </w:rPr>
        <w:t>用</w:t>
      </w:r>
      <w:r>
        <w:rPr>
          <w:rFonts w:hint="eastAsia" w:ascii="宋体" w:hAnsi="宋体" w:eastAsia="宋体" w:cs="宋体"/>
          <w:color w:val="000000"/>
          <w:sz w:val="28"/>
          <w:szCs w:val="28"/>
          <w:lang w:bidi="ar"/>
        </w:rPr>
        <w:t>水由园区消防水管网供给。</w:t>
      </w:r>
    </w:p>
    <w:p w14:paraId="6371CF6D">
      <w:pPr>
        <w:pStyle w:val="5"/>
        <w:keepNext w:val="0"/>
        <w:keepLines w:val="0"/>
        <w:pageBreakBefore w:val="0"/>
        <w:widowControl w:val="0"/>
        <w:kinsoku/>
        <w:wordWrap/>
        <w:overflowPunct/>
        <w:topLinePunct w:val="0"/>
        <w:autoSpaceDE/>
        <w:autoSpaceDN/>
        <w:bidi w:val="0"/>
        <w:adjustRightInd/>
        <w:snapToGrid w:val="0"/>
        <w:spacing w:line="520" w:lineRule="exact"/>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2.5.1.2 排水</w:t>
      </w:r>
    </w:p>
    <w:p w14:paraId="7ABF3790">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szCs w:val="28"/>
          <w:highlight w:val="none"/>
          <w:lang w:val="en-US" w:eastAsia="zh-CN"/>
          <w14:textFill>
            <w14:solidFill>
              <w14:schemeClr w14:val="tx1"/>
            </w14:solidFill>
          </w14:textFill>
        </w:rPr>
      </w:pPr>
      <w:bookmarkStart w:id="180" w:name="_Toc934"/>
      <w:bookmarkStart w:id="181" w:name="_Toc2481"/>
      <w:r>
        <w:rPr>
          <w:rFonts w:hint="eastAsia" w:ascii="宋体" w:hAnsi="宋体" w:eastAsia="宋体" w:cs="宋体"/>
          <w:color w:val="000000" w:themeColor="text1"/>
          <w:sz w:val="28"/>
          <w:szCs w:val="28"/>
          <w:highlight w:val="none"/>
          <w:lang w:val="en-US" w:eastAsia="zh-CN"/>
          <w14:textFill>
            <w14:solidFill>
              <w14:schemeClr w14:val="tx1"/>
            </w14:solidFill>
          </w14:textFill>
        </w:rPr>
        <w:t>1.生产排水：生产无用水。</w:t>
      </w:r>
    </w:p>
    <w:p w14:paraId="0CD530AD">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2.生活污水排放：生活废水经园区污水管网统一收集处理，用于园区绿化和园区洒水降尘，不外排。</w:t>
      </w:r>
    </w:p>
    <w:p w14:paraId="75423F66">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3.雨水排放：厂区的地面及道路为已硬化的道路，厂区围墙外设置了雨水排水沟。</w:t>
      </w:r>
    </w:p>
    <w:p w14:paraId="5A016980">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182" w:name="_Toc5877"/>
      <w:bookmarkStart w:id="183" w:name="_Toc26890"/>
      <w:bookmarkStart w:id="184" w:name="_Toc24612"/>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2.5.2 供配电</w:t>
      </w:r>
      <w:bookmarkEnd w:id="180"/>
      <w:bookmarkEnd w:id="181"/>
      <w:bookmarkEnd w:id="182"/>
      <w:bookmarkEnd w:id="183"/>
      <w:bookmarkEnd w:id="184"/>
    </w:p>
    <w:p w14:paraId="69CE42A4">
      <w:pPr>
        <w:tabs>
          <w:tab w:val="left" w:pos="2700"/>
        </w:tabs>
        <w:adjustRightInd w:val="0"/>
        <w:snapToGrid w:val="0"/>
        <w:spacing w:line="500" w:lineRule="exact"/>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bookmarkStart w:id="185" w:name="_Toc21017"/>
      <w:bookmarkStart w:id="186" w:name="_Toc14522"/>
      <w:r>
        <w:rPr>
          <w:rFonts w:hint="eastAsia" w:ascii="宋体" w:hAnsi="宋体" w:eastAsia="宋体" w:cs="宋体"/>
          <w:color w:val="000000" w:themeColor="text1"/>
          <w:sz w:val="28"/>
          <w:szCs w:val="28"/>
          <w:highlight w:val="none"/>
          <w:lang w:val="en-US" w:eastAsia="zh-CN"/>
          <w14:textFill>
            <w14:solidFill>
              <w14:schemeClr w14:val="tx1"/>
            </w14:solidFill>
          </w14:textFill>
        </w:rPr>
        <w:t>该项目用电负荷为三级用电负荷，</w:t>
      </w:r>
      <w:r>
        <w:rPr>
          <w:rFonts w:hint="eastAsia" w:hAnsi="宋体" w:cs="宋体"/>
          <w:color w:val="000000" w:themeColor="text1"/>
          <w:sz w:val="28"/>
          <w:szCs w:val="28"/>
          <w:highlight w:val="none"/>
          <w:lang w:val="en-US" w:eastAsia="zh-CN"/>
          <w14:textFill>
            <w14:solidFill>
              <w14:schemeClr w14:val="tx1"/>
            </w14:solidFill>
          </w14:textFill>
        </w:rPr>
        <w:t>园</w:t>
      </w:r>
      <w:r>
        <w:rPr>
          <w:rFonts w:hint="eastAsia" w:ascii="宋体" w:hAnsi="宋体" w:eastAsia="宋体" w:cs="宋体"/>
          <w:color w:val="000000" w:themeColor="text1"/>
          <w:sz w:val="28"/>
          <w:szCs w:val="28"/>
          <w:highlight w:val="none"/>
          <w:lang w:val="en-US" w:eastAsia="zh-CN"/>
          <w14:textFill>
            <w14:solidFill>
              <w14:schemeClr w14:val="tx1"/>
            </w14:solidFill>
          </w14:textFill>
        </w:rPr>
        <w:t>区东南侧设有变压器一座，项目供电线路由玉溪市供电局 110kV 研和变电站供给，由外电10kV供电线引入厂区油浸式变压器，经过厂区变压器降压后，接入生产车间各配电柜，在通过配电柜分别接至各开关箱，通过开关箱向用电设备供电，该项目的供电方式采用放散式供电方式。</w:t>
      </w:r>
    </w:p>
    <w:p w14:paraId="10651EEA">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187" w:name="_Toc23221"/>
      <w:bookmarkStart w:id="188" w:name="_Toc30903"/>
      <w:bookmarkStart w:id="189" w:name="_Toc8666"/>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2.5.3 防雷防静电</w:t>
      </w:r>
      <w:bookmarkEnd w:id="185"/>
      <w:bookmarkEnd w:id="186"/>
      <w:bookmarkEnd w:id="187"/>
      <w:bookmarkEnd w:id="188"/>
      <w:bookmarkEnd w:id="189"/>
    </w:p>
    <w:p w14:paraId="75F69352">
      <w:pPr>
        <w:tabs>
          <w:tab w:val="left" w:pos="2700"/>
        </w:tabs>
        <w:adjustRightInd w:val="0"/>
        <w:snapToGrid w:val="0"/>
        <w:spacing w:line="500" w:lineRule="exact"/>
        <w:ind w:firstLine="560" w:firstLineChars="200"/>
        <w:rPr>
          <w:rFonts w:hint="eastAsia" w:ascii="宋体" w:hAnsi="宋体" w:eastAsia="宋体" w:cs="宋体"/>
          <w:color w:val="000000" w:themeColor="text1"/>
          <w:sz w:val="28"/>
          <w:highlight w:val="none"/>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项目范围内的建（构）筑物均已按第三类防雷建筑物建设防雷接地装置，生产车间、办公室等建（构）筑物均进行了相应的防雷接地。</w:t>
      </w:r>
      <w:r>
        <w:rPr>
          <w:rFonts w:hint="eastAsia" w:ascii="宋体" w:hAnsi="宋体" w:eastAsia="宋体" w:cs="宋体"/>
          <w:color w:val="000000" w:themeColor="text1"/>
          <w:sz w:val="28"/>
          <w:highlight w:val="none"/>
          <w14:textFill>
            <w14:solidFill>
              <w14:schemeClr w14:val="tx1"/>
            </w14:solidFill>
          </w14:textFill>
        </w:rPr>
        <w:t>于202</w:t>
      </w:r>
      <w:r>
        <w:rPr>
          <w:rFonts w:hint="eastAsia" w:ascii="宋体" w:hAnsi="宋体" w:eastAsia="宋体" w:cs="宋体"/>
          <w:color w:val="000000" w:themeColor="text1"/>
          <w:sz w:val="28"/>
          <w:highlight w:val="none"/>
          <w:lang w:val="en-US" w:eastAsia="zh-CN"/>
          <w14:textFill>
            <w14:solidFill>
              <w14:schemeClr w14:val="tx1"/>
            </w14:solidFill>
          </w14:textFill>
        </w:rPr>
        <w:t>4</w:t>
      </w:r>
      <w:r>
        <w:rPr>
          <w:rFonts w:hint="eastAsia" w:ascii="宋体" w:hAnsi="宋体" w:eastAsia="宋体" w:cs="宋体"/>
          <w:color w:val="000000" w:themeColor="text1"/>
          <w:sz w:val="28"/>
          <w:highlight w:val="none"/>
          <w14:textFill>
            <w14:solidFill>
              <w14:schemeClr w14:val="tx1"/>
            </w14:solidFill>
          </w14:textFill>
        </w:rPr>
        <w:t>年</w:t>
      </w:r>
      <w:r>
        <w:rPr>
          <w:rFonts w:hint="eastAsia" w:hAnsi="宋体" w:cs="宋体"/>
          <w:color w:val="000000" w:themeColor="text1"/>
          <w:sz w:val="28"/>
          <w:highlight w:val="none"/>
          <w:lang w:val="en-US" w:eastAsia="zh-CN"/>
          <w14:textFill>
            <w14:solidFill>
              <w14:schemeClr w14:val="tx1"/>
            </w14:solidFill>
          </w14:textFill>
        </w:rPr>
        <w:t>8</w:t>
      </w:r>
      <w:r>
        <w:rPr>
          <w:rFonts w:hint="eastAsia" w:ascii="宋体" w:hAnsi="宋体" w:eastAsia="宋体" w:cs="宋体"/>
          <w:color w:val="000000" w:themeColor="text1"/>
          <w:sz w:val="28"/>
          <w:highlight w:val="none"/>
          <w14:textFill>
            <w14:solidFill>
              <w14:schemeClr w14:val="tx1"/>
            </w14:solidFill>
          </w14:textFill>
        </w:rPr>
        <w:t>月</w:t>
      </w:r>
      <w:r>
        <w:rPr>
          <w:rFonts w:hint="eastAsia" w:hAnsi="宋体" w:cs="宋体"/>
          <w:color w:val="000000" w:themeColor="text1"/>
          <w:sz w:val="28"/>
          <w:highlight w:val="none"/>
          <w:lang w:val="en-US" w:eastAsia="zh-CN"/>
          <w14:textFill>
            <w14:solidFill>
              <w14:schemeClr w14:val="tx1"/>
            </w14:solidFill>
          </w14:textFill>
        </w:rPr>
        <w:t>7</w:t>
      </w:r>
      <w:r>
        <w:rPr>
          <w:rFonts w:hint="eastAsia" w:ascii="宋体" w:hAnsi="宋体" w:eastAsia="宋体" w:cs="宋体"/>
          <w:color w:val="000000" w:themeColor="text1"/>
          <w:sz w:val="28"/>
          <w:highlight w:val="none"/>
          <w14:textFill>
            <w14:solidFill>
              <w14:schemeClr w14:val="tx1"/>
            </w14:solidFill>
          </w14:textFill>
        </w:rPr>
        <w:t>日委托</w:t>
      </w:r>
      <w:r>
        <w:rPr>
          <w:rFonts w:hint="eastAsia" w:ascii="宋体" w:hAnsi="宋体" w:eastAsia="宋体" w:cs="宋体"/>
          <w:color w:val="000000" w:themeColor="text1"/>
          <w:sz w:val="28"/>
          <w:highlight w:val="none"/>
          <w:lang w:val="en-US" w:eastAsia="zh-CN"/>
          <w14:textFill>
            <w14:solidFill>
              <w14:schemeClr w14:val="tx1"/>
            </w14:solidFill>
          </w14:textFill>
        </w:rPr>
        <w:t>云南标普电气检测技术有限公司对</w:t>
      </w:r>
      <w:r>
        <w:rPr>
          <w:rFonts w:hint="eastAsia" w:ascii="宋体" w:hAnsi="宋体" w:eastAsia="宋体" w:cs="宋体"/>
          <w:color w:val="000000" w:themeColor="text1"/>
          <w:sz w:val="28"/>
          <w:highlight w:val="none"/>
          <w14:textFill>
            <w14:solidFill>
              <w14:schemeClr w14:val="tx1"/>
            </w14:solidFill>
          </w14:textFill>
        </w:rPr>
        <w:t>防雷装置进行检测，检测结果均为合格，报告编号：</w:t>
      </w:r>
      <w:r>
        <w:rPr>
          <w:rFonts w:hint="eastAsia" w:ascii="宋体" w:hAnsi="宋体" w:eastAsia="宋体" w:cs="宋体"/>
          <w:color w:val="000000" w:themeColor="text1"/>
          <w:sz w:val="28"/>
          <w:highlight w:val="none"/>
          <w:lang w:eastAsia="zh-CN"/>
          <w14:textFill>
            <w14:solidFill>
              <w14:schemeClr w14:val="tx1"/>
            </w14:solidFill>
          </w14:textFill>
        </w:rPr>
        <w:t>（</w:t>
      </w:r>
      <w:r>
        <w:rPr>
          <w:rFonts w:hint="eastAsia" w:ascii="宋体" w:hAnsi="宋体" w:eastAsia="宋体" w:cs="宋体"/>
          <w:color w:val="000000" w:themeColor="text1"/>
          <w:sz w:val="28"/>
          <w:highlight w:val="none"/>
          <w:lang w:val="en-US" w:eastAsia="zh-CN"/>
          <w14:textFill>
            <w14:solidFill>
              <w14:schemeClr w14:val="tx1"/>
            </w14:solidFill>
          </w14:textFill>
        </w:rPr>
        <w:t>1252022002</w:t>
      </w:r>
      <w:r>
        <w:rPr>
          <w:rFonts w:hint="eastAsia" w:ascii="宋体" w:hAnsi="宋体" w:eastAsia="宋体" w:cs="宋体"/>
          <w:color w:val="000000" w:themeColor="text1"/>
          <w:sz w:val="28"/>
          <w:highlight w:val="none"/>
          <w:lang w:eastAsia="zh-CN"/>
          <w14:textFill>
            <w14:solidFill>
              <w14:schemeClr w14:val="tx1"/>
            </w14:solidFill>
          </w14:textFill>
        </w:rPr>
        <w:t>）</w:t>
      </w:r>
      <w:r>
        <w:rPr>
          <w:rFonts w:hint="eastAsia" w:ascii="宋体" w:hAnsi="宋体" w:eastAsia="宋体" w:cs="宋体"/>
          <w:color w:val="000000" w:themeColor="text1"/>
          <w:sz w:val="28"/>
          <w:highlight w:val="none"/>
          <w:lang w:val="en-US" w:eastAsia="zh-CN"/>
          <w14:textFill>
            <w14:solidFill>
              <w14:schemeClr w14:val="tx1"/>
            </w14:solidFill>
          </w14:textFill>
        </w:rPr>
        <w:t>[2024]0</w:t>
      </w:r>
      <w:r>
        <w:rPr>
          <w:rFonts w:hint="eastAsia" w:hAnsi="宋体" w:cs="宋体"/>
          <w:color w:val="000000" w:themeColor="text1"/>
          <w:sz w:val="28"/>
          <w:highlight w:val="none"/>
          <w:lang w:val="en-US" w:eastAsia="zh-CN"/>
          <w14:textFill>
            <w14:solidFill>
              <w14:schemeClr w14:val="tx1"/>
            </w14:solidFill>
          </w14:textFill>
        </w:rPr>
        <w:t>509</w:t>
      </w:r>
      <w:r>
        <w:rPr>
          <w:rFonts w:hint="eastAsia" w:ascii="宋体" w:hAnsi="宋体" w:eastAsia="宋体" w:cs="宋体"/>
          <w:color w:val="000000" w:themeColor="text1"/>
          <w:sz w:val="28"/>
          <w:highlight w:val="none"/>
          <w:lang w:val="en-US" w:eastAsia="zh-CN"/>
          <w14:textFill>
            <w14:solidFill>
              <w14:schemeClr w14:val="tx1"/>
            </w14:solidFill>
          </w14:textFill>
        </w:rPr>
        <w:t>号</w:t>
      </w:r>
      <w:r>
        <w:rPr>
          <w:rFonts w:hint="eastAsia" w:ascii="宋体" w:hAnsi="宋体" w:eastAsia="宋体" w:cs="宋体"/>
          <w:color w:val="000000" w:themeColor="text1"/>
          <w:sz w:val="28"/>
          <w:highlight w:val="none"/>
          <w14:textFill>
            <w14:solidFill>
              <w14:schemeClr w14:val="tx1"/>
            </w14:solidFill>
          </w14:textFill>
        </w:rPr>
        <w:t>。有效期至：202</w:t>
      </w:r>
      <w:r>
        <w:rPr>
          <w:rFonts w:hint="eastAsia" w:ascii="宋体" w:hAnsi="宋体" w:eastAsia="宋体" w:cs="宋体"/>
          <w:color w:val="000000" w:themeColor="text1"/>
          <w:sz w:val="28"/>
          <w:highlight w:val="none"/>
          <w:lang w:val="en-US" w:eastAsia="zh-CN"/>
          <w14:textFill>
            <w14:solidFill>
              <w14:schemeClr w14:val="tx1"/>
            </w14:solidFill>
          </w14:textFill>
        </w:rPr>
        <w:t>5</w:t>
      </w:r>
      <w:r>
        <w:rPr>
          <w:rFonts w:hint="eastAsia" w:ascii="宋体" w:hAnsi="宋体" w:eastAsia="宋体" w:cs="宋体"/>
          <w:color w:val="000000" w:themeColor="text1"/>
          <w:sz w:val="28"/>
          <w:highlight w:val="none"/>
          <w14:textFill>
            <w14:solidFill>
              <w14:schemeClr w14:val="tx1"/>
            </w14:solidFill>
          </w14:textFill>
        </w:rPr>
        <w:t>年</w:t>
      </w:r>
      <w:r>
        <w:rPr>
          <w:rFonts w:hint="eastAsia" w:hAnsi="宋体" w:cs="宋体"/>
          <w:color w:val="000000" w:themeColor="text1"/>
          <w:sz w:val="28"/>
          <w:highlight w:val="none"/>
          <w:lang w:val="en-US" w:eastAsia="zh-CN"/>
          <w14:textFill>
            <w14:solidFill>
              <w14:schemeClr w14:val="tx1"/>
            </w14:solidFill>
          </w14:textFill>
        </w:rPr>
        <w:t>8</w:t>
      </w:r>
      <w:r>
        <w:rPr>
          <w:rFonts w:hint="eastAsia" w:ascii="宋体" w:hAnsi="宋体" w:eastAsia="宋体" w:cs="宋体"/>
          <w:color w:val="000000" w:themeColor="text1"/>
          <w:sz w:val="28"/>
          <w:highlight w:val="none"/>
          <w14:textFill>
            <w14:solidFill>
              <w14:schemeClr w14:val="tx1"/>
            </w14:solidFill>
          </w14:textFill>
        </w:rPr>
        <w:t>月</w:t>
      </w:r>
      <w:r>
        <w:rPr>
          <w:rFonts w:hint="eastAsia" w:hAnsi="宋体" w:cs="宋体"/>
          <w:color w:val="000000" w:themeColor="text1"/>
          <w:sz w:val="28"/>
          <w:highlight w:val="none"/>
          <w:lang w:val="en-US" w:eastAsia="zh-CN"/>
          <w14:textFill>
            <w14:solidFill>
              <w14:schemeClr w14:val="tx1"/>
            </w14:solidFill>
          </w14:textFill>
        </w:rPr>
        <w:t>6</w:t>
      </w:r>
      <w:r>
        <w:rPr>
          <w:rFonts w:hint="eastAsia" w:ascii="宋体" w:hAnsi="宋体" w:eastAsia="宋体" w:cs="宋体"/>
          <w:color w:val="000000" w:themeColor="text1"/>
          <w:sz w:val="28"/>
          <w:highlight w:val="none"/>
          <w14:textFill>
            <w14:solidFill>
              <w14:schemeClr w14:val="tx1"/>
            </w14:solidFill>
          </w14:textFill>
        </w:rPr>
        <w:t>日，防雷检测报告见附件</w:t>
      </w:r>
      <w:r>
        <w:rPr>
          <w:rFonts w:hint="eastAsia" w:hAnsi="宋体" w:cs="宋体"/>
          <w:color w:val="000000" w:themeColor="text1"/>
          <w:sz w:val="28"/>
          <w:highlight w:val="none"/>
          <w:lang w:val="en-US" w:eastAsia="zh-CN"/>
          <w14:textFill>
            <w14:solidFill>
              <w14:schemeClr w14:val="tx1"/>
            </w14:solidFill>
          </w14:textFill>
        </w:rPr>
        <w:t>22</w:t>
      </w:r>
      <w:r>
        <w:rPr>
          <w:rFonts w:hint="eastAsia" w:ascii="宋体" w:hAnsi="宋体" w:eastAsia="宋体" w:cs="宋体"/>
          <w:color w:val="000000" w:themeColor="text1"/>
          <w:sz w:val="28"/>
          <w:highlight w:val="none"/>
          <w14:textFill>
            <w14:solidFill>
              <w14:schemeClr w14:val="tx1"/>
            </w14:solidFill>
          </w14:textFill>
        </w:rPr>
        <w:t>。</w:t>
      </w:r>
    </w:p>
    <w:p w14:paraId="354A6C25">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190" w:name="_Toc17830"/>
      <w:bookmarkStart w:id="191" w:name="_Toc8052"/>
      <w:bookmarkStart w:id="192" w:name="_Toc26245"/>
      <w:bookmarkStart w:id="193" w:name="_Toc8765"/>
      <w:bookmarkStart w:id="194" w:name="_Toc29395"/>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2.5.4 消防</w:t>
      </w:r>
      <w:bookmarkEnd w:id="190"/>
      <w:bookmarkEnd w:id="191"/>
      <w:bookmarkEnd w:id="192"/>
      <w:bookmarkEnd w:id="193"/>
      <w:bookmarkEnd w:id="194"/>
    </w:p>
    <w:p w14:paraId="6933CFDE">
      <w:pPr>
        <w:tabs>
          <w:tab w:val="left" w:pos="2700"/>
        </w:tabs>
        <w:adjustRightInd w:val="0"/>
        <w:snapToGrid w:val="0"/>
        <w:spacing w:line="500" w:lineRule="exact"/>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公司按照《建筑设计防火规范》（GB50016-2014）中安全疏散通道设置情况的相关要求，设有</w:t>
      </w:r>
      <w:r>
        <w:rPr>
          <w:rFonts w:hint="eastAsia" w:hAnsi="宋体" w:cs="宋体"/>
          <w:color w:val="000000" w:themeColor="text1"/>
          <w:sz w:val="28"/>
          <w:szCs w:val="28"/>
          <w:highlight w:val="none"/>
          <w:lang w:val="en-US" w:eastAsia="zh-CN"/>
          <w14:textFill>
            <w14:solidFill>
              <w14:schemeClr w14:val="tx1"/>
            </w14:solidFill>
          </w14:textFill>
        </w:rPr>
        <w:t>5</w:t>
      </w:r>
      <w:r>
        <w:rPr>
          <w:rFonts w:hint="eastAsia" w:ascii="宋体" w:hAnsi="宋体" w:eastAsia="宋体" w:cs="宋体"/>
          <w:color w:val="000000" w:themeColor="text1"/>
          <w:sz w:val="28"/>
          <w:szCs w:val="28"/>
          <w:highlight w:val="none"/>
          <w:lang w:val="en-US" w:eastAsia="zh-CN"/>
          <w14:textFill>
            <w14:solidFill>
              <w14:schemeClr w14:val="tx1"/>
            </w14:solidFill>
          </w14:textFill>
        </w:rPr>
        <w:t>个安全出口。已在办公区、生产区、装配区、仓库旁等位置，设置了手提式干粉灭火器，防止建筑物及电气火灾。主要消防设置见表2-4。</w:t>
      </w:r>
    </w:p>
    <w:p w14:paraId="7F014B2D">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表2-</w:t>
      </w:r>
      <w:r>
        <w:rPr>
          <w:rFonts w:hint="eastAsia" w:ascii="宋体" w:hAnsi="宋体" w:eastAsia="宋体" w:cs="宋体"/>
          <w:b/>
          <w:bCs/>
          <w:color w:val="000000" w:themeColor="text1"/>
          <w:sz w:val="24"/>
          <w:szCs w:val="24"/>
          <w:lang w:val="en-US" w:eastAsia="zh-CN"/>
          <w14:textFill>
            <w14:solidFill>
              <w14:schemeClr w14:val="tx1"/>
            </w14:solidFill>
          </w14:textFill>
        </w:rPr>
        <w:t>4</w:t>
      </w:r>
      <w:r>
        <w:rPr>
          <w:rFonts w:hint="eastAsia" w:ascii="宋体" w:hAnsi="宋体" w:eastAsia="宋体" w:cs="宋体"/>
          <w:b/>
          <w:bCs/>
          <w:color w:val="000000" w:themeColor="text1"/>
          <w:sz w:val="24"/>
          <w:szCs w:val="24"/>
          <w14:textFill>
            <w14:solidFill>
              <w14:schemeClr w14:val="tx1"/>
            </w14:solidFill>
          </w14:textFill>
        </w:rPr>
        <w:t>主要消防设施一览表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12"/>
        <w:gridCol w:w="2171"/>
        <w:gridCol w:w="2839"/>
      </w:tblGrid>
      <w:tr w14:paraId="31DCF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512" w:type="dxa"/>
            <w:vAlign w:val="center"/>
          </w:tcPr>
          <w:p w14:paraId="3062D5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设备名称</w:t>
            </w:r>
          </w:p>
        </w:tc>
        <w:tc>
          <w:tcPr>
            <w:tcW w:w="2171" w:type="dxa"/>
            <w:vAlign w:val="center"/>
          </w:tcPr>
          <w:p w14:paraId="10B5DA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设备</w:t>
            </w:r>
            <w:r>
              <w:rPr>
                <w:rFonts w:hint="eastAsia" w:ascii="宋体" w:hAnsi="宋体" w:eastAsia="宋体" w:cs="宋体"/>
                <w:b w:val="0"/>
                <w:bCs w:val="0"/>
                <w:color w:val="000000" w:themeColor="text1"/>
                <w:sz w:val="21"/>
                <w:szCs w:val="21"/>
                <w:lang w:val="en-US" w:eastAsia="zh-CN"/>
                <w14:textFill>
                  <w14:solidFill>
                    <w14:schemeClr w14:val="tx1"/>
                  </w14:solidFill>
                </w14:textFill>
              </w:rPr>
              <w:t>规格、</w:t>
            </w:r>
            <w:r>
              <w:rPr>
                <w:rFonts w:hint="eastAsia" w:ascii="宋体" w:hAnsi="宋体" w:eastAsia="宋体" w:cs="宋体"/>
                <w:b w:val="0"/>
                <w:bCs w:val="0"/>
                <w:color w:val="000000" w:themeColor="text1"/>
                <w:sz w:val="21"/>
                <w:szCs w:val="21"/>
                <w14:textFill>
                  <w14:solidFill>
                    <w14:schemeClr w14:val="tx1"/>
                  </w14:solidFill>
                </w14:textFill>
              </w:rPr>
              <w:t>数量</w:t>
            </w:r>
          </w:p>
        </w:tc>
        <w:tc>
          <w:tcPr>
            <w:tcW w:w="2839" w:type="dxa"/>
            <w:vAlign w:val="center"/>
          </w:tcPr>
          <w:p w14:paraId="6FD73C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设置位置</w:t>
            </w:r>
          </w:p>
        </w:tc>
      </w:tr>
      <w:tr w14:paraId="674A5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512" w:type="dxa"/>
            <w:vAlign w:val="center"/>
          </w:tcPr>
          <w:p w14:paraId="1E038E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手提式干粉灭火器</w:t>
            </w:r>
          </w:p>
        </w:tc>
        <w:tc>
          <w:tcPr>
            <w:tcW w:w="2171" w:type="dxa"/>
            <w:vAlign w:val="center"/>
          </w:tcPr>
          <w:p w14:paraId="1AA1C9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ABC5型、</w:t>
            </w:r>
            <w:r>
              <w:rPr>
                <w:rFonts w:hint="eastAsia" w:hAnsi="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具</w:t>
            </w:r>
          </w:p>
        </w:tc>
        <w:tc>
          <w:tcPr>
            <w:tcW w:w="2839" w:type="dxa"/>
            <w:vAlign w:val="center"/>
          </w:tcPr>
          <w:p w14:paraId="45F9C9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办公区</w:t>
            </w:r>
          </w:p>
        </w:tc>
      </w:tr>
      <w:tr w14:paraId="4A60B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512" w:type="dxa"/>
            <w:vAlign w:val="center"/>
          </w:tcPr>
          <w:p w14:paraId="2F6612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手提式干粉灭火器</w:t>
            </w:r>
          </w:p>
        </w:tc>
        <w:tc>
          <w:tcPr>
            <w:tcW w:w="2171" w:type="dxa"/>
            <w:vAlign w:val="center"/>
          </w:tcPr>
          <w:p w14:paraId="4FB3C7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ABC5型、</w:t>
            </w:r>
            <w:r>
              <w:rPr>
                <w:rFonts w:hint="eastAsia" w:hAnsi="宋体" w:cs="宋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z w:val="21"/>
                <w:szCs w:val="21"/>
                <w14:textFill>
                  <w14:solidFill>
                    <w14:schemeClr w14:val="tx1"/>
                  </w14:solidFill>
                </w14:textFill>
              </w:rPr>
              <w:t>具</w:t>
            </w:r>
          </w:p>
        </w:tc>
        <w:tc>
          <w:tcPr>
            <w:tcW w:w="2839" w:type="dxa"/>
            <w:vAlign w:val="center"/>
          </w:tcPr>
          <w:p w14:paraId="16496A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加工</w:t>
            </w:r>
            <w:r>
              <w:rPr>
                <w:rFonts w:hint="eastAsia" w:ascii="宋体" w:hAnsi="宋体" w:eastAsia="宋体" w:cs="宋体"/>
                <w:color w:val="000000" w:themeColor="text1"/>
                <w:sz w:val="21"/>
                <w:szCs w:val="21"/>
                <w:lang w:val="en-US" w:eastAsia="zh-CN"/>
                <w14:textFill>
                  <w14:solidFill>
                    <w14:schemeClr w14:val="tx1"/>
                  </w14:solidFill>
                </w14:textFill>
              </w:rPr>
              <w:t>区</w:t>
            </w:r>
          </w:p>
        </w:tc>
      </w:tr>
      <w:tr w14:paraId="4810B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512" w:type="dxa"/>
            <w:shd w:val="clear" w:color="auto" w:fill="auto"/>
            <w:vAlign w:val="center"/>
          </w:tcPr>
          <w:p w14:paraId="7D3BF0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手提式干粉灭火器</w:t>
            </w:r>
          </w:p>
        </w:tc>
        <w:tc>
          <w:tcPr>
            <w:tcW w:w="2171" w:type="dxa"/>
            <w:shd w:val="clear" w:color="auto" w:fill="auto"/>
            <w:vAlign w:val="center"/>
          </w:tcPr>
          <w:p w14:paraId="1E2A77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ABC5型、</w:t>
            </w:r>
            <w:r>
              <w:rPr>
                <w:rFonts w:hint="eastAsia" w:hAnsi="宋体" w:cs="宋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z w:val="21"/>
                <w:szCs w:val="21"/>
                <w14:textFill>
                  <w14:solidFill>
                    <w14:schemeClr w14:val="tx1"/>
                  </w14:solidFill>
                </w14:textFill>
              </w:rPr>
              <w:t>具</w:t>
            </w:r>
          </w:p>
        </w:tc>
        <w:tc>
          <w:tcPr>
            <w:tcW w:w="2839" w:type="dxa"/>
            <w:shd w:val="clear" w:color="auto" w:fill="auto"/>
            <w:vAlign w:val="center"/>
          </w:tcPr>
          <w:p w14:paraId="300DB6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装配区</w:t>
            </w:r>
          </w:p>
        </w:tc>
      </w:tr>
      <w:tr w14:paraId="6433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512" w:type="dxa"/>
            <w:shd w:val="clear" w:color="auto" w:fill="auto"/>
            <w:vAlign w:val="center"/>
          </w:tcPr>
          <w:p w14:paraId="73D251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手提式干粉灭火器</w:t>
            </w:r>
          </w:p>
        </w:tc>
        <w:tc>
          <w:tcPr>
            <w:tcW w:w="2171" w:type="dxa"/>
            <w:shd w:val="clear" w:color="auto" w:fill="auto"/>
            <w:vAlign w:val="center"/>
          </w:tcPr>
          <w:p w14:paraId="261B29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ABC5型、</w:t>
            </w:r>
            <w:r>
              <w:rPr>
                <w:rFonts w:hint="eastAsia" w:hAnsi="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具</w:t>
            </w:r>
          </w:p>
        </w:tc>
        <w:tc>
          <w:tcPr>
            <w:tcW w:w="2839" w:type="dxa"/>
            <w:shd w:val="clear" w:color="auto" w:fill="auto"/>
            <w:vAlign w:val="center"/>
          </w:tcPr>
          <w:p w14:paraId="206DCA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仓库区</w:t>
            </w:r>
          </w:p>
        </w:tc>
      </w:tr>
      <w:tr w14:paraId="3368B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512" w:type="dxa"/>
            <w:shd w:val="clear" w:color="auto" w:fill="auto"/>
            <w:vAlign w:val="center"/>
          </w:tcPr>
          <w:p w14:paraId="6B9080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消防栓</w:t>
            </w:r>
          </w:p>
        </w:tc>
        <w:tc>
          <w:tcPr>
            <w:tcW w:w="2171" w:type="dxa"/>
            <w:shd w:val="clear" w:color="auto" w:fill="auto"/>
            <w:vAlign w:val="center"/>
          </w:tcPr>
          <w:p w14:paraId="29AD56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themeColor="text1"/>
                <w:sz w:val="21"/>
                <w:szCs w:val="21"/>
                <w:lang w:val="en-US" w:eastAsia="zh-CN" w:bidi="ar-SA"/>
                <w14:textFill>
                  <w14:solidFill>
                    <w14:schemeClr w14:val="tx1"/>
                  </w14:solidFill>
                </w14:textFill>
              </w:rPr>
            </w:pPr>
            <w:r>
              <w:rPr>
                <w:rFonts w:hint="eastAsia" w:hAnsi="宋体" w:cs="宋体"/>
                <w:color w:val="000000" w:themeColor="text1"/>
                <w:sz w:val="21"/>
                <w:szCs w:val="21"/>
                <w:lang w:val="en-US" w:eastAsia="zh-CN" w:bidi="ar-SA"/>
                <w14:textFill>
                  <w14:solidFill>
                    <w14:schemeClr w14:val="tx1"/>
                  </w14:solidFill>
                </w14:textFill>
              </w:rPr>
              <w:t>6</w:t>
            </w:r>
            <w:r>
              <w:rPr>
                <w:rFonts w:hint="eastAsia" w:ascii="宋体" w:hAnsi="宋体" w:eastAsia="宋体" w:cs="宋体"/>
                <w:color w:val="000000" w:themeColor="text1"/>
                <w:sz w:val="21"/>
                <w:szCs w:val="21"/>
                <w:lang w:val="en-US" w:eastAsia="zh-CN" w:bidi="ar-SA"/>
                <w14:textFill>
                  <w14:solidFill>
                    <w14:schemeClr w14:val="tx1"/>
                  </w14:solidFill>
                </w14:textFill>
              </w:rPr>
              <w:t>套</w:t>
            </w:r>
          </w:p>
        </w:tc>
        <w:tc>
          <w:tcPr>
            <w:tcW w:w="2839" w:type="dxa"/>
            <w:shd w:val="clear" w:color="auto" w:fill="auto"/>
            <w:vAlign w:val="center"/>
          </w:tcPr>
          <w:p w14:paraId="35C50D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生产区</w:t>
            </w:r>
          </w:p>
        </w:tc>
      </w:tr>
    </w:tbl>
    <w:p w14:paraId="2E4E0666">
      <w:pPr>
        <w:pStyle w:val="10"/>
        <w:rPr>
          <w:rFonts w:hint="eastAsia" w:ascii="宋体" w:hAnsi="宋体" w:eastAsia="宋体" w:cs="宋体"/>
          <w:color w:val="000000" w:themeColor="text1"/>
          <w:lang w:val="en-US" w:eastAsia="zh-CN"/>
          <w14:textFill>
            <w14:solidFill>
              <w14:schemeClr w14:val="tx1"/>
            </w14:solidFill>
          </w14:textFill>
        </w:rPr>
      </w:pPr>
    </w:p>
    <w:p w14:paraId="596C370C">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195" w:name="_Toc19708"/>
      <w:bookmarkStart w:id="196" w:name="_Toc25637"/>
      <w:bookmarkStart w:id="197" w:name="_Toc26374"/>
      <w:bookmarkStart w:id="198" w:name="_Toc11646"/>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2.5.5供气情况</w:t>
      </w:r>
      <w:bookmarkEnd w:id="195"/>
      <w:bookmarkEnd w:id="196"/>
      <w:bookmarkEnd w:id="197"/>
    </w:p>
    <w:bookmarkEnd w:id="198"/>
    <w:p w14:paraId="70F7ADBE">
      <w:pPr>
        <w:pStyle w:val="23"/>
        <w:spacing w:line="500" w:lineRule="exact"/>
        <w:ind w:left="0" w:lef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bookmarkStart w:id="199" w:name="_Toc306"/>
      <w:bookmarkStart w:id="200" w:name="_Toc1008"/>
      <w:r>
        <w:rPr>
          <w:rFonts w:hint="eastAsia" w:ascii="宋体" w:hAnsi="宋体" w:eastAsia="宋体" w:cs="宋体"/>
          <w:sz w:val="28"/>
          <w:szCs w:val="28"/>
        </w:rPr>
        <w:t>本项目</w:t>
      </w:r>
      <w:r>
        <w:rPr>
          <w:rFonts w:hint="eastAsia" w:eastAsia="宋体" w:cs="宋体"/>
          <w:sz w:val="28"/>
          <w:szCs w:val="28"/>
          <w:lang w:val="en-US" w:eastAsia="zh-CN"/>
        </w:rPr>
        <w:t>生产区</w:t>
      </w:r>
      <w:r>
        <w:rPr>
          <w:rFonts w:hint="eastAsia" w:ascii="宋体" w:hAnsi="宋体" w:eastAsia="宋体" w:cs="宋体"/>
          <w:sz w:val="28"/>
          <w:szCs w:val="28"/>
        </w:rPr>
        <w:t>设置</w:t>
      </w:r>
      <w:r>
        <w:rPr>
          <w:rFonts w:hint="eastAsia" w:ascii="宋体" w:hAnsi="宋体" w:eastAsia="宋体" w:cs="宋体"/>
          <w:sz w:val="28"/>
          <w:szCs w:val="28"/>
          <w:lang w:val="en-US" w:eastAsia="zh-CN"/>
        </w:rPr>
        <w:t>1</w:t>
      </w:r>
      <w:r>
        <w:rPr>
          <w:rFonts w:hint="eastAsia" w:ascii="宋体" w:hAnsi="宋体" w:eastAsia="宋体" w:cs="宋体"/>
          <w:sz w:val="28"/>
          <w:szCs w:val="28"/>
        </w:rPr>
        <w:t>台空压机，配置1台空气储气罐</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设计压力1.05Mpa、容积0.3m³，</w:t>
      </w:r>
      <w:r>
        <w:rPr>
          <w:rFonts w:hint="eastAsia" w:ascii="宋体" w:hAnsi="宋体" w:eastAsia="宋体" w:cs="宋体"/>
          <w:sz w:val="28"/>
          <w:szCs w:val="28"/>
        </w:rPr>
        <w:t>通过管道送至车间装置和工艺使用点，供气系统能满足压缩空气供气量的要求</w:t>
      </w:r>
      <w:r>
        <w:rPr>
          <w:rFonts w:hint="eastAsia" w:ascii="宋体" w:hAnsi="宋体" w:eastAsia="宋体" w:cs="宋体"/>
          <w:sz w:val="28"/>
          <w:szCs w:val="28"/>
          <w:lang w:eastAsia="zh-CN"/>
        </w:rPr>
        <w:t>。</w:t>
      </w:r>
      <w:r>
        <w:rPr>
          <w:rFonts w:hint="eastAsia" w:ascii="宋体" w:hAnsi="宋体" w:eastAsia="宋体" w:cs="宋体"/>
          <w:color w:val="000000" w:themeColor="text1"/>
          <w:sz w:val="28"/>
          <w:szCs w:val="28"/>
          <w:lang w:val="en-US" w:eastAsia="zh-CN"/>
          <w14:textFill>
            <w14:solidFill>
              <w14:schemeClr w14:val="tx1"/>
            </w14:solidFill>
          </w14:textFill>
        </w:rPr>
        <w:t>空压机品牌：上海</w:t>
      </w:r>
      <w:r>
        <w:rPr>
          <w:rFonts w:hint="eastAsia" w:cs="宋体"/>
          <w:color w:val="000000" w:themeColor="text1"/>
          <w:sz w:val="28"/>
          <w:szCs w:val="28"/>
          <w:lang w:val="en-US" w:eastAsia="zh-CN"/>
          <w14:textFill>
            <w14:solidFill>
              <w14:schemeClr w14:val="tx1"/>
            </w14:solidFill>
          </w14:textFill>
        </w:rPr>
        <w:t>捷豹</w:t>
      </w:r>
      <w:r>
        <w:rPr>
          <w:rFonts w:hint="eastAsia" w:ascii="宋体" w:hAnsi="宋体" w:eastAsia="宋体" w:cs="宋体"/>
          <w:color w:val="000000" w:themeColor="text1"/>
          <w:sz w:val="28"/>
          <w:szCs w:val="28"/>
          <w:lang w:val="en-US" w:eastAsia="zh-CN"/>
          <w14:textFill>
            <w14:solidFill>
              <w14:schemeClr w14:val="tx1"/>
            </w14:solidFill>
          </w14:textFill>
        </w:rPr>
        <w:t>空压机，</w:t>
      </w:r>
      <w:r>
        <w:rPr>
          <w:rFonts w:hint="eastAsia" w:cs="宋体"/>
          <w:color w:val="000000" w:themeColor="text1"/>
          <w:sz w:val="28"/>
          <w:szCs w:val="28"/>
          <w:lang w:val="en-US" w:eastAsia="zh-CN"/>
          <w14:textFill>
            <w14:solidFill>
              <w14:schemeClr w14:val="tx1"/>
            </w14:solidFill>
          </w14:textFill>
        </w:rPr>
        <w:t>设计</w:t>
      </w:r>
      <w:r>
        <w:rPr>
          <w:rFonts w:hint="eastAsia" w:ascii="宋体" w:hAnsi="宋体" w:eastAsia="宋体" w:cs="宋体"/>
          <w:color w:val="000000" w:themeColor="text1"/>
          <w:sz w:val="28"/>
          <w:szCs w:val="28"/>
          <w:lang w:val="en-US" w:eastAsia="zh-CN"/>
          <w14:textFill>
            <w14:solidFill>
              <w14:schemeClr w14:val="tx1"/>
            </w14:solidFill>
          </w14:textFill>
        </w:rPr>
        <w:t>压力1.05MPa，储气罐容积0.</w:t>
      </w:r>
      <w:r>
        <w:rPr>
          <w:rFonts w:hint="eastAsia"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val="en-US" w:eastAsia="zh-CN"/>
          <w14:textFill>
            <w14:solidFill>
              <w14:schemeClr w14:val="tx1"/>
            </w14:solidFill>
          </w14:textFill>
        </w:rPr>
        <w:t>m³。</w:t>
      </w:r>
    </w:p>
    <w:p w14:paraId="6D8E8277">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201" w:name="_Toc21640"/>
      <w:bookmarkStart w:id="202" w:name="_Toc22852"/>
      <w:bookmarkStart w:id="203" w:name="_Toc6343"/>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2.5.6通风除尘</w:t>
      </w:r>
      <w:bookmarkEnd w:id="201"/>
      <w:bookmarkEnd w:id="202"/>
      <w:bookmarkEnd w:id="203"/>
    </w:p>
    <w:p w14:paraId="4646B2E0">
      <w:pPr>
        <w:pStyle w:val="23"/>
        <w:spacing w:line="500" w:lineRule="exact"/>
        <w:ind w:left="0" w:leftChars="0" w:firstLine="560" w:firstLineChars="200"/>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sz w:val="28"/>
          <w:szCs w:val="28"/>
          <w:lang w:val="en-US" w:eastAsia="zh-CN"/>
        </w:rPr>
        <w:t>本项目</w:t>
      </w:r>
      <w:r>
        <w:rPr>
          <w:rFonts w:hint="eastAsia" w:eastAsia="宋体" w:cs="宋体"/>
          <w:sz w:val="28"/>
          <w:szCs w:val="28"/>
          <w:lang w:val="en-US" w:eastAsia="zh-CN"/>
        </w:rPr>
        <w:t>主要为机床</w:t>
      </w:r>
      <w:r>
        <w:rPr>
          <w:rFonts w:hint="eastAsia" w:cs="宋体"/>
          <w:sz w:val="28"/>
          <w:szCs w:val="28"/>
          <w:lang w:val="en-US" w:eastAsia="zh-CN"/>
        </w:rPr>
        <w:t>加工</w:t>
      </w:r>
      <w:r>
        <w:rPr>
          <w:rFonts w:hint="eastAsia" w:eastAsia="宋体" w:cs="宋体"/>
          <w:sz w:val="28"/>
          <w:szCs w:val="28"/>
          <w:lang w:val="en-US" w:eastAsia="zh-CN"/>
        </w:rPr>
        <w:t>组装销售，机加工</w:t>
      </w:r>
      <w:r>
        <w:rPr>
          <w:rFonts w:hint="eastAsia" w:cs="宋体"/>
          <w:sz w:val="28"/>
          <w:szCs w:val="28"/>
          <w:lang w:val="en-US" w:eastAsia="zh-CN"/>
        </w:rPr>
        <w:t>工艺无打磨抛光</w:t>
      </w:r>
      <w:r>
        <w:rPr>
          <w:rFonts w:hint="eastAsia" w:eastAsia="宋体" w:cs="宋体"/>
          <w:sz w:val="28"/>
          <w:szCs w:val="28"/>
          <w:lang w:val="en-US" w:eastAsia="zh-CN"/>
        </w:rPr>
        <w:t>等产生粉尘工艺，通风为自然通风方式。</w:t>
      </w:r>
    </w:p>
    <w:p w14:paraId="4FD2AD81">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204" w:name="_Toc19563"/>
      <w:bookmarkStart w:id="205" w:name="_Toc19818"/>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2.5.7其他</w:t>
      </w:r>
      <w:bookmarkEnd w:id="199"/>
      <w:bookmarkEnd w:id="200"/>
      <w:bookmarkEnd w:id="204"/>
      <w:bookmarkEnd w:id="205"/>
    </w:p>
    <w:p w14:paraId="386358E8">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1</w:t>
      </w:r>
      <w:r>
        <w:rPr>
          <w:rFonts w:hint="eastAsia" w:ascii="宋体" w:hAnsi="宋体" w:eastAsia="宋体" w:cs="宋体"/>
          <w:b/>
          <w:bCs/>
          <w:color w:val="000000" w:themeColor="text1"/>
          <w:sz w:val="28"/>
          <w:szCs w:val="28"/>
          <w14:textFill>
            <w14:solidFill>
              <w14:schemeClr w14:val="tx1"/>
            </w14:solidFill>
          </w14:textFill>
        </w:rPr>
        <w:t>.</w:t>
      </w:r>
      <w:r>
        <w:rPr>
          <w:rFonts w:hint="eastAsia" w:ascii="宋体" w:hAnsi="宋体" w:eastAsia="宋体" w:cs="宋体"/>
          <w:b/>
          <w:bCs/>
          <w:color w:val="000000" w:themeColor="text1"/>
          <w:sz w:val="28"/>
          <w:szCs w:val="28"/>
          <w:lang w:val="en-US" w:eastAsia="zh-CN"/>
          <w14:textFill>
            <w14:solidFill>
              <w14:schemeClr w14:val="tx1"/>
            </w14:solidFill>
          </w14:textFill>
        </w:rPr>
        <w:t>危险物质</w:t>
      </w:r>
      <w:r>
        <w:rPr>
          <w:rFonts w:hint="eastAsia" w:ascii="宋体" w:hAnsi="宋体" w:eastAsia="宋体" w:cs="宋体"/>
          <w:b/>
          <w:bCs/>
          <w:color w:val="000000" w:themeColor="text1"/>
          <w:sz w:val="28"/>
          <w:szCs w:val="28"/>
          <w14:textFill>
            <w14:solidFill>
              <w14:schemeClr w14:val="tx1"/>
            </w14:solidFill>
          </w14:textFill>
        </w:rPr>
        <w:t>储存</w:t>
      </w:r>
    </w:p>
    <w:p w14:paraId="154D81B9">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通过对本项目生产工艺、原料、辅助材料、产品进行分析后，本项目生产过程中未产生危险物质。</w:t>
      </w:r>
    </w:p>
    <w:p w14:paraId="78909581">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2</w:t>
      </w:r>
      <w:r>
        <w:rPr>
          <w:rFonts w:hint="eastAsia" w:ascii="宋体" w:hAnsi="宋体" w:eastAsia="宋体" w:cs="宋体"/>
          <w:b/>
          <w:bCs/>
          <w:color w:val="000000" w:themeColor="text1"/>
          <w:sz w:val="28"/>
          <w:szCs w:val="28"/>
          <w14:textFill>
            <w14:solidFill>
              <w14:schemeClr w14:val="tx1"/>
            </w14:solidFill>
          </w14:textFill>
        </w:rPr>
        <w:t>.仓储物流</w:t>
      </w:r>
    </w:p>
    <w:p w14:paraId="542003C5">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项目主要包括原料堆放区、成品堆放区，</w:t>
      </w:r>
      <w:r>
        <w:rPr>
          <w:rFonts w:hint="eastAsia" w:hAnsi="宋体" w:cs="宋体"/>
          <w:color w:val="000000" w:themeColor="text1"/>
          <w:sz w:val="28"/>
          <w:szCs w:val="28"/>
          <w:lang w:val="en-US" w:eastAsia="zh-CN"/>
          <w14:textFill>
            <w14:solidFill>
              <w14:schemeClr w14:val="tx1"/>
            </w14:solidFill>
          </w14:textFill>
        </w:rPr>
        <w:t>半成品堆放区、三</w:t>
      </w:r>
      <w:r>
        <w:rPr>
          <w:rFonts w:hint="eastAsia" w:ascii="宋体" w:hAnsi="宋体" w:eastAsia="宋体" w:cs="宋体"/>
          <w:color w:val="000000" w:themeColor="text1"/>
          <w:sz w:val="28"/>
          <w:szCs w:val="28"/>
          <w:lang w:val="en-US" w:eastAsia="zh-CN"/>
          <w14:textFill>
            <w14:solidFill>
              <w14:schemeClr w14:val="tx1"/>
            </w14:solidFill>
          </w14:textFill>
        </w:rPr>
        <w:t>区独立设置。货运车辆由厂区大门进入，方便物料及成品的运输。</w:t>
      </w:r>
    </w:p>
    <w:p w14:paraId="7B465ACE">
      <w:pPr>
        <w:pStyle w:val="3"/>
        <w:keepNext/>
        <w:keepLines/>
        <w:pageBreakBefore w:val="0"/>
        <w:widowControl w:val="0"/>
        <w:kinsoku/>
        <w:wordWrap/>
        <w:overflowPunct/>
        <w:topLinePunct w:val="0"/>
        <w:autoSpaceDE/>
        <w:autoSpaceDN/>
        <w:bidi w:val="0"/>
        <w:adjustRightInd/>
        <w:snapToGrid w:val="0"/>
        <w:spacing w:before="0" w:after="0" w:line="520" w:lineRule="exact"/>
        <w:jc w:val="both"/>
        <w:textAlignment w:val="auto"/>
        <w:rPr>
          <w:rFonts w:hint="eastAsia" w:ascii="宋体" w:hAnsi="宋体" w:eastAsia="宋体" w:cs="宋体"/>
          <w:color w:val="000000" w:themeColor="text1"/>
          <w:kern w:val="0"/>
          <w:lang w:val="en-US" w:eastAsia="zh-CN"/>
          <w14:textFill>
            <w14:solidFill>
              <w14:schemeClr w14:val="tx1"/>
            </w14:solidFill>
          </w14:textFill>
        </w:rPr>
      </w:pPr>
      <w:bookmarkStart w:id="206" w:name="_Toc21"/>
      <w:bookmarkStart w:id="207" w:name="_Toc30117"/>
      <w:bookmarkStart w:id="208" w:name="_Toc3731"/>
      <w:bookmarkStart w:id="209" w:name="_Toc10879"/>
      <w:bookmarkStart w:id="210" w:name="_Toc13054"/>
      <w:r>
        <w:rPr>
          <w:rFonts w:hint="eastAsia" w:ascii="宋体" w:hAnsi="宋体" w:eastAsia="宋体" w:cs="宋体"/>
          <w:color w:val="000000" w:themeColor="text1"/>
          <w:kern w:val="0"/>
          <w:lang w:val="en-US" w:eastAsia="zh-CN"/>
          <w14:textFill>
            <w14:solidFill>
              <w14:schemeClr w14:val="tx1"/>
            </w14:solidFill>
          </w14:textFill>
        </w:rPr>
        <w:t>2.</w:t>
      </w:r>
      <w:r>
        <w:rPr>
          <w:rFonts w:hint="eastAsia" w:ascii="宋体" w:hAnsi="宋体" w:cs="宋体"/>
          <w:color w:val="000000" w:themeColor="text1"/>
          <w:kern w:val="0"/>
          <w:lang w:val="en-US" w:eastAsia="zh-CN"/>
          <w14:textFill>
            <w14:solidFill>
              <w14:schemeClr w14:val="tx1"/>
            </w14:solidFill>
          </w14:textFill>
        </w:rPr>
        <w:t>6</w:t>
      </w:r>
      <w:r>
        <w:rPr>
          <w:rFonts w:hint="eastAsia" w:ascii="宋体" w:hAnsi="宋体" w:eastAsia="宋体" w:cs="宋体"/>
          <w:color w:val="000000" w:themeColor="text1"/>
          <w:kern w:val="0"/>
          <w:lang w:val="en-US" w:eastAsia="zh-CN"/>
          <w14:textFill>
            <w14:solidFill>
              <w14:schemeClr w14:val="tx1"/>
            </w14:solidFill>
          </w14:textFill>
        </w:rPr>
        <w:t>安全管理现状</w:t>
      </w:r>
      <w:bookmarkEnd w:id="206"/>
      <w:bookmarkEnd w:id="207"/>
      <w:bookmarkEnd w:id="208"/>
      <w:bookmarkEnd w:id="209"/>
      <w:bookmarkEnd w:id="210"/>
    </w:p>
    <w:p w14:paraId="6B16CFF9">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211" w:name="_Toc5179"/>
      <w:r>
        <w:rPr>
          <w:rFonts w:hint="default" w:ascii="宋体" w:hAnsi="宋体" w:eastAsia="宋体" w:cs="宋体"/>
          <w:snapToGrid w:val="0"/>
          <w:color w:val="000000" w:themeColor="text1"/>
          <w:kern w:val="0"/>
          <w:sz w:val="28"/>
          <w:szCs w:val="28"/>
          <w:lang w:val="en-US" w:eastAsia="zh-CN"/>
          <w14:textFill>
            <w14:solidFill>
              <w14:schemeClr w14:val="tx1"/>
            </w14:solidFill>
          </w14:textFill>
        </w:rPr>
        <w:t>2.</w:t>
      </w:r>
      <w:r>
        <w:rPr>
          <w:rFonts w:hint="eastAsia" w:hAnsi="宋体" w:cs="宋体"/>
          <w:snapToGrid w:val="0"/>
          <w:color w:val="000000" w:themeColor="text1"/>
          <w:kern w:val="0"/>
          <w:sz w:val="28"/>
          <w:szCs w:val="28"/>
          <w:lang w:val="en-US" w:eastAsia="zh-CN"/>
          <w14:textFill>
            <w14:solidFill>
              <w14:schemeClr w14:val="tx1"/>
            </w14:solidFill>
          </w14:textFill>
        </w:rPr>
        <w:t>6</w:t>
      </w:r>
      <w:r>
        <w:rPr>
          <w:rFonts w:hint="default" w:ascii="宋体" w:hAnsi="宋体" w:eastAsia="宋体" w:cs="宋体"/>
          <w:snapToGrid w:val="0"/>
          <w:color w:val="000000" w:themeColor="text1"/>
          <w:kern w:val="0"/>
          <w:sz w:val="28"/>
          <w:szCs w:val="28"/>
          <w:lang w:val="en-US" w:eastAsia="zh-CN"/>
          <w14:textFill>
            <w14:solidFill>
              <w14:schemeClr w14:val="tx1"/>
            </w14:solidFill>
          </w14:textFill>
        </w:rPr>
        <w:t>.1</w:t>
      </w:r>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劳动定员及作业制度</w:t>
      </w:r>
      <w:bookmarkEnd w:id="211"/>
    </w:p>
    <w:p w14:paraId="406557E0">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云南普菲特数控机械有限公司劳动定员25人，其中：生产车间20人、管理及后勤人员5人，全年生产天数300天，管理人员、生产人员实行一班工作制、每班8小时。</w:t>
      </w:r>
    </w:p>
    <w:p w14:paraId="45CF6D70">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default" w:ascii="宋体" w:hAnsi="宋体" w:eastAsia="宋体" w:cs="宋体"/>
          <w:snapToGrid w:val="0"/>
          <w:color w:val="000000" w:themeColor="text1"/>
          <w:kern w:val="0"/>
          <w:sz w:val="28"/>
          <w:szCs w:val="28"/>
          <w:lang w:val="en-US" w:eastAsia="zh-CN"/>
          <w14:textFill>
            <w14:solidFill>
              <w14:schemeClr w14:val="tx1"/>
            </w14:solidFill>
          </w14:textFill>
        </w:rPr>
      </w:pPr>
      <w:bookmarkStart w:id="212" w:name="_Toc9539"/>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2.</w:t>
      </w:r>
      <w:r>
        <w:rPr>
          <w:rFonts w:hint="eastAsia" w:hAnsi="宋体" w:cs="宋体"/>
          <w:snapToGrid w:val="0"/>
          <w:color w:val="000000" w:themeColor="text1"/>
          <w:kern w:val="0"/>
          <w:sz w:val="28"/>
          <w:szCs w:val="28"/>
          <w:lang w:val="en-US" w:eastAsia="zh-CN"/>
          <w14:textFill>
            <w14:solidFill>
              <w14:schemeClr w14:val="tx1"/>
            </w14:solidFill>
          </w14:textFill>
        </w:rPr>
        <w:t>6</w:t>
      </w:r>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.2安全生产管理组织机构</w:t>
      </w:r>
      <w:bookmarkEnd w:id="212"/>
    </w:p>
    <w:p w14:paraId="7F0703AE">
      <w:pPr>
        <w:pStyle w:val="23"/>
        <w:spacing w:line="500" w:lineRule="exact"/>
        <w:ind w:left="0" w:leftChars="0"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云南普菲特数控机械有限公司总经理张晖，为安全生产领导小组组长，安全生产主要负责人方长俊为安全生产领导小组副组长。</w:t>
      </w:r>
    </w:p>
    <w:p w14:paraId="77AC9710">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组长：张晖</w:t>
      </w:r>
    </w:p>
    <w:p w14:paraId="70AA9356">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副组长：方长俊</w:t>
      </w:r>
    </w:p>
    <w:p w14:paraId="46E7C66C">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组员：杨林华、王正阳、王云芝</w:t>
      </w:r>
    </w:p>
    <w:p w14:paraId="3B45CF92">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该公司安全生产领导小组从组长、副组长、组员、负责人等管理层级分明，职责分工明确，安全生产管理措施执行力强，24小时坚持值班（晚上18点至次日8点为电话值班）为实现全公司安全生产管理目标奠定了坚实的基础。该公司安全生产管理组织机构见下图。</w:t>
      </w:r>
    </w:p>
    <w:p w14:paraId="0A94EDD0">
      <w:pPr>
        <w:spacing w:before="91" w:line="352" w:lineRule="auto"/>
        <w:ind w:left="21" w:right="64" w:firstLine="564"/>
        <w:jc w:val="both"/>
        <w:rPr>
          <w:rFonts w:ascii="宋体" w:hAnsi="宋体" w:eastAsia="宋体" w:cs="宋体"/>
          <w:spacing w:val="-1"/>
          <w:sz w:val="28"/>
          <w:szCs w:val="28"/>
        </w:rPr>
      </w:pPr>
      <w:r>
        <w:rPr>
          <w:rFonts w:hint="eastAsia" w:eastAsia="仿宋"/>
          <w:color w:val="auto"/>
          <w:spacing w:val="1"/>
          <w:sz w:val="30"/>
          <w:lang w:eastAsia="zh-CN"/>
        </w:rPr>
        <w:pict>
          <v:shape id="Object 36" o:spid="_x0000_s1032" o:spt="75" type="#_x0000_t75" style="position:absolute;left:0pt;margin-left:34.8pt;margin-top:8.9pt;height:300.6pt;width:368.7pt;z-index:251661312;mso-width-relative:page;mso-height-relative:page;" o:ole="t" filled="f" o:preferrelative="t" stroked="f" coordsize="21600,21600">
            <v:path/>
            <v:fill on="f" focussize="0,0"/>
            <v:stroke on="f"/>
            <v:imagedata r:id="rId25" croptop="3404f" cropbottom="7666f" o:title=""/>
            <o:lock v:ext="edit" aspectratio="f"/>
          </v:shape>
          <o:OLEObject Type="Embed" ProgID="Visio.Drawing.11" ShapeID="Object 36" DrawAspect="Content" ObjectID="_1468075727" r:id="rId24">
            <o:LockedField>false</o:LockedField>
          </o:OLEObject>
        </w:pict>
      </w:r>
    </w:p>
    <w:p w14:paraId="3B45ECD7">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auto"/>
        <w:outlineLvl w:val="9"/>
        <w:rPr>
          <w:rFonts w:hint="eastAsia" w:ascii="宋体" w:hAnsi="宋体" w:eastAsia="宋体" w:cs="宋体"/>
          <w:b/>
          <w:bCs/>
          <w:color w:val="000000"/>
          <w:kern w:val="0"/>
          <w:sz w:val="28"/>
          <w:szCs w:val="28"/>
          <w:lang w:val="en-US" w:eastAsia="zh-CN" w:bidi="ar"/>
        </w:rPr>
      </w:pPr>
    </w:p>
    <w:p w14:paraId="0190ACED">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auto"/>
        <w:outlineLvl w:val="9"/>
        <w:rPr>
          <w:rFonts w:hint="eastAsia" w:ascii="宋体" w:hAnsi="宋体" w:eastAsia="宋体" w:cs="宋体"/>
          <w:b/>
          <w:bCs/>
          <w:color w:val="000000"/>
          <w:kern w:val="0"/>
          <w:sz w:val="28"/>
          <w:szCs w:val="28"/>
          <w:lang w:val="en-US" w:eastAsia="zh-CN" w:bidi="ar"/>
        </w:rPr>
      </w:pPr>
    </w:p>
    <w:p w14:paraId="74FCCF06">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auto"/>
        <w:outlineLvl w:val="9"/>
        <w:rPr>
          <w:rFonts w:hint="eastAsia" w:ascii="宋体" w:hAnsi="宋体" w:eastAsia="宋体" w:cs="宋体"/>
          <w:b/>
          <w:bCs/>
          <w:color w:val="000000"/>
          <w:kern w:val="0"/>
          <w:sz w:val="28"/>
          <w:szCs w:val="28"/>
          <w:lang w:val="en-US" w:eastAsia="zh-CN" w:bidi="ar"/>
        </w:rPr>
      </w:pPr>
    </w:p>
    <w:p w14:paraId="18F08540">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auto"/>
        <w:outlineLvl w:val="9"/>
        <w:rPr>
          <w:rFonts w:hint="eastAsia" w:ascii="宋体" w:hAnsi="宋体" w:eastAsia="宋体" w:cs="宋体"/>
          <w:b/>
          <w:bCs/>
          <w:color w:val="000000"/>
          <w:kern w:val="0"/>
          <w:sz w:val="28"/>
          <w:szCs w:val="28"/>
          <w:lang w:val="en-US" w:eastAsia="zh-CN" w:bidi="ar"/>
        </w:rPr>
      </w:pPr>
    </w:p>
    <w:p w14:paraId="1B03CDCC">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auto"/>
        <w:outlineLvl w:val="9"/>
        <w:rPr>
          <w:rFonts w:hint="eastAsia" w:ascii="宋体" w:hAnsi="宋体" w:eastAsia="宋体" w:cs="宋体"/>
          <w:b/>
          <w:bCs/>
          <w:color w:val="000000"/>
          <w:kern w:val="0"/>
          <w:sz w:val="28"/>
          <w:szCs w:val="28"/>
          <w:lang w:val="en-US" w:eastAsia="zh-CN" w:bidi="ar"/>
        </w:rPr>
      </w:pPr>
    </w:p>
    <w:p w14:paraId="1F899BDA">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auto"/>
        <w:outlineLvl w:val="9"/>
        <w:rPr>
          <w:rFonts w:hint="eastAsia" w:ascii="宋体" w:hAnsi="宋体" w:eastAsia="宋体" w:cs="宋体"/>
          <w:b/>
          <w:bCs/>
          <w:color w:val="000000"/>
          <w:kern w:val="0"/>
          <w:sz w:val="28"/>
          <w:szCs w:val="28"/>
          <w:lang w:val="en-US" w:eastAsia="zh-CN" w:bidi="ar"/>
        </w:rPr>
      </w:pPr>
    </w:p>
    <w:p w14:paraId="38953140">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auto"/>
        <w:outlineLvl w:val="9"/>
        <w:rPr>
          <w:rFonts w:hint="eastAsia" w:ascii="宋体" w:hAnsi="宋体" w:eastAsia="宋体" w:cs="宋体"/>
          <w:b/>
          <w:bCs/>
          <w:color w:val="000000"/>
          <w:kern w:val="0"/>
          <w:sz w:val="28"/>
          <w:szCs w:val="28"/>
          <w:lang w:val="en-US" w:eastAsia="zh-CN" w:bidi="ar"/>
        </w:rPr>
      </w:pPr>
    </w:p>
    <w:p w14:paraId="5209DC35">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auto"/>
        <w:outlineLvl w:val="9"/>
        <w:rPr>
          <w:rFonts w:hint="eastAsia" w:ascii="宋体" w:hAnsi="宋体" w:eastAsia="宋体" w:cs="宋体"/>
          <w:b/>
          <w:bCs/>
          <w:color w:val="000000"/>
          <w:kern w:val="0"/>
          <w:sz w:val="28"/>
          <w:szCs w:val="28"/>
          <w:lang w:val="en-US" w:eastAsia="zh-CN" w:bidi="ar"/>
        </w:rPr>
      </w:pPr>
    </w:p>
    <w:p w14:paraId="2C124F76">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auto"/>
        <w:outlineLvl w:val="9"/>
        <w:rPr>
          <w:rFonts w:hint="eastAsia" w:ascii="宋体" w:hAnsi="宋体" w:eastAsia="宋体" w:cs="宋体"/>
          <w:b/>
          <w:bCs/>
          <w:color w:val="000000"/>
          <w:kern w:val="0"/>
          <w:sz w:val="28"/>
          <w:szCs w:val="28"/>
          <w:lang w:val="en-US" w:eastAsia="zh-CN" w:bidi="ar"/>
        </w:rPr>
      </w:pPr>
    </w:p>
    <w:p w14:paraId="1948D4E1">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auto"/>
        <w:outlineLvl w:val="2"/>
        <w:rPr>
          <w:rFonts w:hint="eastAsia" w:ascii="宋体" w:hAnsi="宋体" w:eastAsia="宋体" w:cs="宋体"/>
          <w:sz w:val="28"/>
          <w:szCs w:val="28"/>
        </w:rPr>
      </w:pPr>
      <w:bookmarkStart w:id="213" w:name="_Toc21471"/>
      <w:r>
        <w:rPr>
          <w:rFonts w:hint="eastAsia" w:ascii="宋体" w:hAnsi="宋体" w:eastAsia="宋体" w:cs="宋体"/>
          <w:b/>
          <w:bCs/>
          <w:color w:val="000000"/>
          <w:kern w:val="0"/>
          <w:sz w:val="28"/>
          <w:szCs w:val="28"/>
          <w:lang w:val="en-US" w:eastAsia="zh-CN" w:bidi="ar"/>
        </w:rPr>
        <w:t>2.</w:t>
      </w:r>
      <w:r>
        <w:rPr>
          <w:rFonts w:hint="eastAsia" w:hAnsi="宋体" w:cs="宋体"/>
          <w:b/>
          <w:bCs/>
          <w:color w:val="000000"/>
          <w:kern w:val="0"/>
          <w:sz w:val="28"/>
          <w:szCs w:val="28"/>
          <w:lang w:val="en-US" w:eastAsia="zh-CN" w:bidi="ar"/>
        </w:rPr>
        <w:t>6</w:t>
      </w:r>
      <w:r>
        <w:rPr>
          <w:rFonts w:hint="eastAsia" w:ascii="宋体" w:hAnsi="宋体" w:eastAsia="宋体" w:cs="宋体"/>
          <w:b/>
          <w:bCs/>
          <w:color w:val="000000"/>
          <w:kern w:val="0"/>
          <w:sz w:val="28"/>
          <w:szCs w:val="28"/>
          <w:lang w:val="en-US" w:eastAsia="zh-CN" w:bidi="ar"/>
        </w:rPr>
        <w:t>.</w:t>
      </w:r>
      <w:r>
        <w:rPr>
          <w:rFonts w:hint="eastAsia" w:hAnsi="宋体" w:cs="宋体"/>
          <w:b/>
          <w:bCs/>
          <w:color w:val="000000"/>
          <w:kern w:val="0"/>
          <w:sz w:val="28"/>
          <w:szCs w:val="28"/>
          <w:lang w:val="en-US" w:eastAsia="zh-CN" w:bidi="ar"/>
        </w:rPr>
        <w:t>3</w:t>
      </w:r>
      <w:r>
        <w:rPr>
          <w:rFonts w:hint="eastAsia" w:ascii="宋体" w:hAnsi="宋体" w:eastAsia="宋体" w:cs="宋体"/>
          <w:b/>
          <w:bCs/>
          <w:color w:val="000000"/>
          <w:kern w:val="0"/>
          <w:sz w:val="28"/>
          <w:szCs w:val="28"/>
          <w:lang w:val="en-US" w:eastAsia="zh-CN" w:bidi="ar"/>
        </w:rPr>
        <w:t>安全生产管理制度</w:t>
      </w:r>
      <w:bookmarkEnd w:id="213"/>
    </w:p>
    <w:p w14:paraId="41CAFEC5">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云南普菲特数控机械有限公司根据《中华人民共和国安全生产法》、《中华人民共和国劳动法》等安全生产法规，制定了安全生产管理制。</w:t>
      </w:r>
    </w:p>
    <w:p w14:paraId="1F0D054E">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一、安全管理制度</w:t>
      </w:r>
    </w:p>
    <w:p w14:paraId="26D62347">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1、安全生产目标管理制度</w:t>
      </w:r>
    </w:p>
    <w:p w14:paraId="1FA68491">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2、安全管理机构设置及安全管理人员配置管理制度</w:t>
      </w:r>
    </w:p>
    <w:p w14:paraId="54AE27C0">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3、文件和档案管理制度</w:t>
      </w:r>
    </w:p>
    <w:p w14:paraId="5553F4CC">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4、领导现场带班管理制度</w:t>
      </w:r>
    </w:p>
    <w:p w14:paraId="36D8FFAA">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5、安全生产责任制管理制度</w:t>
      </w:r>
    </w:p>
    <w:p w14:paraId="7A2274D6">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6、安全生产会议管理制度</w:t>
      </w:r>
    </w:p>
    <w:p w14:paraId="2952DC71">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7、安全投入管理制度</w:t>
      </w:r>
    </w:p>
    <w:p w14:paraId="0CF3B555">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8、工伤保险管理制度</w:t>
      </w:r>
    </w:p>
    <w:p w14:paraId="5F079184">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9、安全生产法律法规及其他要求管理制度</w:t>
      </w:r>
    </w:p>
    <w:p w14:paraId="2DC71336">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10、安全教育培训管理制度</w:t>
      </w:r>
    </w:p>
    <w:p w14:paraId="65D6F758">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11、建设项目“三同时”管理制度</w:t>
      </w:r>
    </w:p>
    <w:p w14:paraId="6C149258">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12、“三违”行为管理制度</w:t>
      </w:r>
    </w:p>
    <w:p w14:paraId="0D54A7B6">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13、临时用电作业管理制度</w:t>
      </w:r>
    </w:p>
    <w:p w14:paraId="6AA6C083">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14、吊装作业管理制度</w:t>
      </w:r>
    </w:p>
    <w:p w14:paraId="62BCBB43">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15、操作牌管理制度</w:t>
      </w:r>
    </w:p>
    <w:p w14:paraId="0AC07ECB">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16、施工和检维修安全管理制度</w:t>
      </w:r>
    </w:p>
    <w:p w14:paraId="791F142C">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17、安全风险分级管控制度</w:t>
      </w:r>
    </w:p>
    <w:p w14:paraId="08FE3283">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18、设备设施安全管理制度</w:t>
      </w:r>
    </w:p>
    <w:p w14:paraId="49FCDF97">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19、新设备设施验收管理制度</w:t>
      </w:r>
    </w:p>
    <w:p w14:paraId="6ADF5EF3">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20、劳动防护用品管理制度</w:t>
      </w:r>
    </w:p>
    <w:p w14:paraId="5A227703">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21、安全警示标志管理制度</w:t>
      </w:r>
    </w:p>
    <w:p w14:paraId="0609093A">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22、安全设施管理制度</w:t>
      </w:r>
    </w:p>
    <w:p w14:paraId="26A8891E">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23、相关方安全管理制度</w:t>
      </w:r>
    </w:p>
    <w:p w14:paraId="0B244FA4">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24、岗位达标管理制度</w:t>
      </w:r>
    </w:p>
    <w:p w14:paraId="3ED2C28D">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25、变更管理制度</w:t>
      </w:r>
    </w:p>
    <w:p w14:paraId="7482A274">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26、安全检查与隐患整改管理制度</w:t>
      </w:r>
    </w:p>
    <w:p w14:paraId="3FCC3B21">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27、事故应急救援管理制度</w:t>
      </w:r>
    </w:p>
    <w:p w14:paraId="7CF32F26">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28、事件、事故管理制度</w:t>
      </w:r>
    </w:p>
    <w:p w14:paraId="14705074">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29、安全生产标准化绩效评定管理制度</w:t>
      </w:r>
    </w:p>
    <w:p w14:paraId="209963B1">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30、消防安全管理制度</w:t>
      </w:r>
    </w:p>
    <w:p w14:paraId="60DD4940">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31、安全生产奖惩管理制度</w:t>
      </w:r>
      <w:r>
        <w:rPr>
          <w:rFonts w:hint="eastAsia" w:ascii="宋体" w:hAnsi="宋体" w:eastAsia="宋体" w:cs="宋体"/>
          <w:sz w:val="28"/>
          <w:szCs w:val="28"/>
          <w:lang w:val="en-US" w:eastAsia="zh-CN"/>
        </w:rPr>
        <w:tab/>
      </w:r>
    </w:p>
    <w:p w14:paraId="3FD59234">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二、安全生产责任制</w:t>
      </w:r>
    </w:p>
    <w:p w14:paraId="7557A573">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1、公司总经理安全生产责任制</w:t>
      </w:r>
    </w:p>
    <w:p w14:paraId="144B38CC">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2、车间主管安全生产责任制</w:t>
      </w:r>
    </w:p>
    <w:p w14:paraId="18873B47">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3、财务主管安全生产责任制</w:t>
      </w:r>
    </w:p>
    <w:p w14:paraId="394B65EC">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4、生产管理岗安全生产责任制</w:t>
      </w:r>
    </w:p>
    <w:p w14:paraId="09CB7E0F">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5、安全管理岗安全生产责任制</w:t>
      </w:r>
    </w:p>
    <w:p w14:paraId="1B6A0CEC">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6、技术质量岗安全生产责任制</w:t>
      </w:r>
    </w:p>
    <w:p w14:paraId="48986F34">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7、机械设备管理岗安全生产责任制</w:t>
      </w:r>
    </w:p>
    <w:p w14:paraId="18FFF3A3">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8、行政岗安全生产责任制</w:t>
      </w:r>
    </w:p>
    <w:p w14:paraId="02DE569A">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9、车间小组长安全生产责任制</w:t>
      </w:r>
    </w:p>
    <w:p w14:paraId="37A5703F">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10、生产操作工人安全生产责任制</w:t>
      </w:r>
    </w:p>
    <w:p w14:paraId="474FF28A">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三、安全操作规程</w:t>
      </w:r>
    </w:p>
    <w:p w14:paraId="445F85D1">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_Toc32646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1、电气操作人员的资格和要求</w:t>
      </w:r>
      <w:r>
        <w:rPr>
          <w:rFonts w:hint="eastAsia" w:ascii="宋体" w:hAnsi="宋体" w:eastAsia="宋体" w:cs="宋体"/>
          <w:sz w:val="28"/>
          <w:szCs w:val="28"/>
          <w:lang w:val="en-US" w:eastAsia="zh-CN"/>
        </w:rPr>
        <w:fldChar w:fldCharType="end"/>
      </w:r>
    </w:p>
    <w:p w14:paraId="14CD03BD">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_Toc9232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2、电气设备检修操作规程</w:t>
      </w:r>
      <w:r>
        <w:rPr>
          <w:rFonts w:hint="eastAsia" w:ascii="宋体" w:hAnsi="宋体" w:eastAsia="宋体" w:cs="宋体"/>
          <w:sz w:val="28"/>
          <w:szCs w:val="28"/>
          <w:lang w:val="en-US" w:eastAsia="zh-CN"/>
        </w:rPr>
        <w:fldChar w:fldCharType="end"/>
      </w:r>
    </w:p>
    <w:p w14:paraId="39E15468">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_Toc31169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3、电气设备安全维护规程</w:t>
      </w:r>
      <w:r>
        <w:rPr>
          <w:rFonts w:hint="eastAsia" w:ascii="宋体" w:hAnsi="宋体" w:eastAsia="宋体" w:cs="宋体"/>
          <w:sz w:val="28"/>
          <w:szCs w:val="28"/>
          <w:lang w:val="en-US" w:eastAsia="zh-CN"/>
        </w:rPr>
        <w:fldChar w:fldCharType="end"/>
      </w:r>
    </w:p>
    <w:p w14:paraId="6D3619A6">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_Toc7602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4、电气设施、设备使用安全操作规程</w:t>
      </w:r>
      <w:r>
        <w:rPr>
          <w:rFonts w:hint="eastAsia" w:ascii="宋体" w:hAnsi="宋体" w:eastAsia="宋体" w:cs="宋体"/>
          <w:sz w:val="28"/>
          <w:szCs w:val="28"/>
          <w:lang w:val="en-US" w:eastAsia="zh-CN"/>
        </w:rPr>
        <w:fldChar w:fldCharType="end"/>
      </w:r>
    </w:p>
    <w:p w14:paraId="15116399">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_Toc13828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5、配电设备安全检修规程</w:t>
      </w:r>
      <w:r>
        <w:rPr>
          <w:rFonts w:hint="eastAsia" w:ascii="宋体" w:hAnsi="宋体" w:eastAsia="宋体" w:cs="宋体"/>
          <w:sz w:val="28"/>
          <w:szCs w:val="28"/>
          <w:lang w:val="en-US" w:eastAsia="zh-CN"/>
        </w:rPr>
        <w:fldChar w:fldCharType="end"/>
      </w:r>
    </w:p>
    <w:p w14:paraId="1AE4BD0C">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_Toc18187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6、三级配电两级保护操作规程</w:t>
      </w:r>
      <w:r>
        <w:rPr>
          <w:rFonts w:hint="eastAsia" w:ascii="宋体" w:hAnsi="宋体" w:eastAsia="宋体" w:cs="宋体"/>
          <w:sz w:val="28"/>
          <w:szCs w:val="28"/>
          <w:lang w:val="en-US" w:eastAsia="zh-CN"/>
        </w:rPr>
        <w:fldChar w:fldCharType="end"/>
      </w:r>
    </w:p>
    <w:p w14:paraId="4E484D11">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_Toc4788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7、电机、电器维修工操作规程</w:t>
      </w:r>
      <w:r>
        <w:rPr>
          <w:rFonts w:hint="eastAsia" w:ascii="宋体" w:hAnsi="宋体" w:eastAsia="宋体" w:cs="宋体"/>
          <w:sz w:val="28"/>
          <w:szCs w:val="28"/>
          <w:lang w:val="en-US" w:eastAsia="zh-CN"/>
        </w:rPr>
        <w:fldChar w:fldCharType="end"/>
      </w:r>
    </w:p>
    <w:p w14:paraId="3339DB8B">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_Toc19822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7、电器装配工安全操作规程</w:t>
      </w:r>
      <w:r>
        <w:rPr>
          <w:rFonts w:hint="eastAsia" w:ascii="宋体" w:hAnsi="宋体" w:eastAsia="宋体" w:cs="宋体"/>
          <w:sz w:val="28"/>
          <w:szCs w:val="28"/>
          <w:lang w:val="en-US" w:eastAsia="zh-CN"/>
        </w:rPr>
        <w:fldChar w:fldCharType="end"/>
      </w:r>
    </w:p>
    <w:p w14:paraId="25C12831">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_Toc13899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9、配电室电器安全操作规程</w:t>
      </w:r>
      <w:r>
        <w:rPr>
          <w:rFonts w:hint="eastAsia" w:ascii="宋体" w:hAnsi="宋体" w:eastAsia="宋体" w:cs="宋体"/>
          <w:sz w:val="28"/>
          <w:szCs w:val="28"/>
          <w:lang w:val="en-US" w:eastAsia="zh-CN"/>
        </w:rPr>
        <w:fldChar w:fldCharType="end"/>
      </w:r>
    </w:p>
    <w:p w14:paraId="54B15F8E">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_Toc6658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10、电工作业安全操作规程</w:t>
      </w:r>
      <w:r>
        <w:rPr>
          <w:rFonts w:hint="eastAsia" w:ascii="宋体" w:hAnsi="宋体" w:eastAsia="宋体" w:cs="宋体"/>
          <w:sz w:val="28"/>
          <w:szCs w:val="28"/>
          <w:lang w:val="en-US" w:eastAsia="zh-CN"/>
        </w:rPr>
        <w:fldChar w:fldCharType="end"/>
      </w:r>
    </w:p>
    <w:p w14:paraId="7429BE83">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_Toc6055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11、维修电工安全操作规程</w:t>
      </w:r>
      <w:r>
        <w:rPr>
          <w:rFonts w:hint="eastAsia" w:ascii="宋体" w:hAnsi="宋体" w:eastAsia="宋体" w:cs="宋体"/>
          <w:sz w:val="28"/>
          <w:szCs w:val="28"/>
          <w:lang w:val="en-US" w:eastAsia="zh-CN"/>
        </w:rPr>
        <w:fldChar w:fldCharType="end"/>
      </w:r>
    </w:p>
    <w:p w14:paraId="106B80CC">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_Toc22861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12、行车、电动葫芦工安全操作规程</w:t>
      </w:r>
      <w:r>
        <w:rPr>
          <w:rFonts w:hint="eastAsia" w:ascii="宋体" w:hAnsi="宋体" w:eastAsia="宋体" w:cs="宋体"/>
          <w:sz w:val="28"/>
          <w:szCs w:val="28"/>
          <w:lang w:val="en-US" w:eastAsia="zh-CN"/>
        </w:rPr>
        <w:fldChar w:fldCharType="end"/>
      </w:r>
    </w:p>
    <w:p w14:paraId="3A8CF12D">
      <w:pPr>
        <w:pStyle w:val="23"/>
        <w:spacing w:line="500" w:lineRule="exact"/>
        <w:ind w:left="0" w:leftChars="0" w:firstLine="560" w:firstLineChars="200"/>
        <w:rPr>
          <w:rFonts w:hint="eastAsia" w:ascii="宋体" w:hAnsi="宋体" w:eastAsia="宋体" w:cs="宋体"/>
          <w:sz w:val="28"/>
          <w:szCs w:val="28"/>
          <w:lang w:val="zh-CN" w:eastAsia="zh-CN"/>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\l _Toc1481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13、</w:t>
      </w:r>
      <w:r>
        <w:rPr>
          <w:rFonts w:hint="eastAsia" w:ascii="宋体" w:hAnsi="宋体" w:eastAsia="宋体" w:cs="宋体"/>
          <w:sz w:val="28"/>
          <w:szCs w:val="28"/>
          <w:lang w:val="zh-CN" w:eastAsia="zh-CN"/>
        </w:rPr>
        <w:t>角磨机安全操作规程</w:t>
      </w:r>
    </w:p>
    <w:p w14:paraId="2EC63D63">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14、车床安全操作规程</w:t>
      </w:r>
    </w:p>
    <w:p w14:paraId="325CB171">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15、铣床安全操作规程</w:t>
      </w:r>
    </w:p>
    <w:p w14:paraId="0A2C58DD">
      <w:pPr>
        <w:pStyle w:val="23"/>
        <w:spacing w:line="500" w:lineRule="exact"/>
        <w:ind w:left="0" w:leftChars="0"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16、磨床安全操作过程</w:t>
      </w:r>
    </w:p>
    <w:p w14:paraId="5366AEDC">
      <w:pPr>
        <w:pStyle w:val="23"/>
        <w:spacing w:line="500" w:lineRule="exact"/>
        <w:ind w:left="0" w:leftChars="0" w:firstLine="560" w:firstLineChars="200"/>
        <w:rPr>
          <w:rFonts w:hint="eastAsia" w:ascii="宋体" w:hAnsi="宋体" w:eastAsia="宋体" w:cs="宋体"/>
          <w:b/>
          <w:bCs/>
          <w:color w:val="000000"/>
          <w:kern w:val="0"/>
          <w:sz w:val="28"/>
          <w:szCs w:val="28"/>
          <w:lang w:val="en-US" w:eastAsia="zh-CN" w:bidi="ar"/>
        </w:rPr>
      </w:pPr>
      <w:r>
        <w:rPr>
          <w:rFonts w:hint="eastAsia" w:ascii="宋体" w:hAnsi="宋体" w:eastAsia="宋体" w:cs="宋体"/>
          <w:sz w:val="28"/>
          <w:szCs w:val="28"/>
          <w:lang w:val="en-US" w:eastAsia="zh-CN"/>
        </w:rPr>
        <w:fldChar w:fldCharType="end"/>
      </w:r>
      <w:r>
        <w:rPr>
          <w:rFonts w:hint="eastAsia" w:ascii="宋体" w:hAnsi="宋体" w:eastAsia="宋体" w:cs="宋体"/>
          <w:b/>
          <w:bCs/>
          <w:color w:val="000000"/>
          <w:kern w:val="0"/>
          <w:sz w:val="28"/>
          <w:szCs w:val="28"/>
          <w:lang w:val="en-US" w:eastAsia="zh-CN" w:bidi="ar"/>
        </w:rPr>
        <w:t>2.</w:t>
      </w:r>
      <w:r>
        <w:rPr>
          <w:rFonts w:hint="eastAsia" w:hAnsi="宋体" w:cs="宋体"/>
          <w:b/>
          <w:bCs/>
          <w:color w:val="000000"/>
          <w:kern w:val="0"/>
          <w:sz w:val="28"/>
          <w:szCs w:val="28"/>
          <w:lang w:val="en-US" w:eastAsia="zh-CN" w:bidi="ar"/>
        </w:rPr>
        <w:t>6</w:t>
      </w:r>
      <w:r>
        <w:rPr>
          <w:rFonts w:hint="eastAsia" w:ascii="宋体" w:hAnsi="宋体" w:eastAsia="宋体" w:cs="宋体"/>
          <w:b/>
          <w:bCs/>
          <w:color w:val="000000"/>
          <w:kern w:val="0"/>
          <w:sz w:val="28"/>
          <w:szCs w:val="28"/>
          <w:lang w:val="en-US" w:eastAsia="zh-CN" w:bidi="ar"/>
        </w:rPr>
        <w:t>.</w:t>
      </w:r>
      <w:r>
        <w:rPr>
          <w:rFonts w:hint="eastAsia" w:hAnsi="宋体" w:cs="宋体"/>
          <w:b/>
          <w:bCs/>
          <w:color w:val="000000"/>
          <w:kern w:val="0"/>
          <w:sz w:val="28"/>
          <w:szCs w:val="28"/>
          <w:lang w:val="en-US" w:eastAsia="zh-CN" w:bidi="ar"/>
        </w:rPr>
        <w:t>4</w:t>
      </w:r>
      <w:r>
        <w:rPr>
          <w:rFonts w:hint="eastAsia" w:ascii="宋体" w:hAnsi="宋体" w:eastAsia="宋体" w:cs="宋体"/>
          <w:b/>
          <w:bCs/>
          <w:color w:val="000000"/>
          <w:kern w:val="0"/>
          <w:sz w:val="28"/>
          <w:szCs w:val="28"/>
          <w:lang w:val="en-US" w:eastAsia="zh-CN" w:bidi="ar"/>
        </w:rPr>
        <w:t>事故应急救援预案</w:t>
      </w:r>
    </w:p>
    <w:p w14:paraId="653BFC2A">
      <w:pPr>
        <w:pStyle w:val="23"/>
        <w:spacing w:line="500" w:lineRule="exact"/>
        <w:ind w:left="0" w:leftChars="0"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根据国家《安全生产法》等法规的规定，同时为预防事故的发生，企业根据各生产装置的情况，按照事故影响范围和程度制定事故应急预案。该公司已经编制了《云南普菲特数控机械有限公司生产安全事故应急预案》。应急演练记录见附件19。</w:t>
      </w:r>
    </w:p>
    <w:p w14:paraId="1559E504">
      <w:pPr>
        <w:keepNext w:val="0"/>
        <w:keepLines w:val="0"/>
        <w:widowControl/>
        <w:suppressLineNumbers w:val="0"/>
        <w:jc w:val="left"/>
        <w:outlineLvl w:val="2"/>
        <w:rPr>
          <w:rFonts w:hint="eastAsia" w:ascii="宋体" w:hAnsi="宋体" w:eastAsia="宋体" w:cs="宋体"/>
          <w:b/>
          <w:bCs/>
          <w:color w:val="000000"/>
          <w:kern w:val="0"/>
          <w:sz w:val="28"/>
          <w:szCs w:val="28"/>
          <w:lang w:val="en-US" w:eastAsia="zh-CN" w:bidi="ar"/>
        </w:rPr>
      </w:pPr>
      <w:bookmarkStart w:id="214" w:name="_Toc25379"/>
      <w:r>
        <w:rPr>
          <w:rFonts w:hint="eastAsia" w:ascii="宋体" w:hAnsi="宋体" w:eastAsia="宋体" w:cs="宋体"/>
          <w:b/>
          <w:bCs/>
          <w:color w:val="000000"/>
          <w:kern w:val="0"/>
          <w:sz w:val="28"/>
          <w:szCs w:val="28"/>
          <w:lang w:val="en-US" w:eastAsia="zh-CN" w:bidi="ar"/>
        </w:rPr>
        <w:t>2.</w:t>
      </w:r>
      <w:r>
        <w:rPr>
          <w:rFonts w:hint="eastAsia" w:hAnsi="宋体" w:cs="宋体"/>
          <w:b/>
          <w:bCs/>
          <w:color w:val="000000"/>
          <w:kern w:val="0"/>
          <w:sz w:val="28"/>
          <w:szCs w:val="28"/>
          <w:lang w:val="en-US" w:eastAsia="zh-CN" w:bidi="ar"/>
        </w:rPr>
        <w:t>6</w:t>
      </w:r>
      <w:r>
        <w:rPr>
          <w:rFonts w:hint="eastAsia" w:ascii="宋体" w:hAnsi="宋体" w:eastAsia="宋体" w:cs="宋体"/>
          <w:b/>
          <w:bCs/>
          <w:color w:val="000000"/>
          <w:kern w:val="0"/>
          <w:sz w:val="28"/>
          <w:szCs w:val="28"/>
          <w:lang w:val="en-US" w:eastAsia="zh-CN" w:bidi="ar"/>
        </w:rPr>
        <w:t>.</w:t>
      </w:r>
      <w:r>
        <w:rPr>
          <w:rFonts w:hint="eastAsia" w:hAnsi="宋体" w:cs="宋体"/>
          <w:b/>
          <w:bCs/>
          <w:color w:val="000000"/>
          <w:kern w:val="0"/>
          <w:sz w:val="28"/>
          <w:szCs w:val="28"/>
          <w:lang w:val="en-US" w:eastAsia="zh-CN" w:bidi="ar"/>
        </w:rPr>
        <w:t>5</w:t>
      </w:r>
      <w:r>
        <w:rPr>
          <w:rFonts w:hint="eastAsia" w:ascii="宋体" w:hAnsi="宋体" w:eastAsia="宋体" w:cs="宋体"/>
          <w:b/>
          <w:bCs/>
          <w:color w:val="000000"/>
          <w:kern w:val="0"/>
          <w:sz w:val="28"/>
          <w:szCs w:val="28"/>
          <w:lang w:val="en-US" w:eastAsia="zh-CN" w:bidi="ar"/>
        </w:rPr>
        <w:t>作业人员培训情况</w:t>
      </w:r>
      <w:bookmarkEnd w:id="214"/>
    </w:p>
    <w:p w14:paraId="370B0929">
      <w:pPr>
        <w:pStyle w:val="23"/>
        <w:spacing w:line="500" w:lineRule="exact"/>
        <w:ind w:left="0" w:leftChars="0"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1、安全生产管理人员持证情况</w:t>
      </w:r>
    </w:p>
    <w:p w14:paraId="23AD3DF3">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云南普菲特数控机械有限公司的安全生产负责人（方长俊）、安全员（杨林华）已参加安全培训合格，取得安全合格证。建立了安全教育培训记录台账，持证情况如下表所示：</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4"/>
        <w:gridCol w:w="1450"/>
        <w:gridCol w:w="2110"/>
        <w:gridCol w:w="2503"/>
        <w:gridCol w:w="1880"/>
      </w:tblGrid>
      <w:tr w14:paraId="16325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4" w:type="dxa"/>
          </w:tcPr>
          <w:p w14:paraId="7762BC0A">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default" w:ascii="Times New Roman" w:hAnsi="Times New Roman" w:cs="Times New Roman"/>
                <w:b/>
                <w:bCs/>
                <w:sz w:val="24"/>
                <w:szCs w:val="24"/>
                <w:vertAlign w:val="baseline"/>
                <w:lang w:val="en-US" w:eastAsia="zh-CN"/>
              </w:rPr>
            </w:pPr>
            <w:r>
              <w:rPr>
                <w:rFonts w:hint="eastAsia" w:ascii="Times New Roman" w:hAnsi="Times New Roman" w:cs="Times New Roman"/>
                <w:b/>
                <w:bCs/>
                <w:sz w:val="24"/>
                <w:szCs w:val="24"/>
                <w:vertAlign w:val="baseline"/>
                <w:lang w:val="en-US" w:eastAsia="zh-CN"/>
              </w:rPr>
              <w:t>姓名</w:t>
            </w:r>
          </w:p>
        </w:tc>
        <w:tc>
          <w:tcPr>
            <w:tcW w:w="1450" w:type="dxa"/>
          </w:tcPr>
          <w:p w14:paraId="56CD10CD">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default" w:ascii="Times New Roman" w:hAnsi="Times New Roman" w:cs="Times New Roman"/>
                <w:b/>
                <w:bCs/>
                <w:sz w:val="24"/>
                <w:szCs w:val="24"/>
                <w:vertAlign w:val="baseline"/>
                <w:lang w:val="en-US" w:eastAsia="zh-CN"/>
              </w:rPr>
            </w:pPr>
            <w:r>
              <w:rPr>
                <w:rFonts w:hint="eastAsia" w:ascii="Times New Roman" w:hAnsi="Times New Roman" w:cs="Times New Roman"/>
                <w:b/>
                <w:bCs/>
                <w:sz w:val="24"/>
                <w:szCs w:val="24"/>
                <w:vertAlign w:val="baseline"/>
                <w:lang w:val="en-US" w:eastAsia="zh-CN"/>
              </w:rPr>
              <w:t>性别</w:t>
            </w:r>
          </w:p>
        </w:tc>
        <w:tc>
          <w:tcPr>
            <w:tcW w:w="2110" w:type="dxa"/>
          </w:tcPr>
          <w:p w14:paraId="69373579">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default" w:ascii="Times New Roman" w:hAnsi="Times New Roman" w:cs="Times New Roman"/>
                <w:b/>
                <w:bCs/>
                <w:sz w:val="24"/>
                <w:szCs w:val="24"/>
                <w:vertAlign w:val="baseline"/>
                <w:lang w:val="en-US" w:eastAsia="zh-CN"/>
              </w:rPr>
            </w:pPr>
            <w:r>
              <w:rPr>
                <w:rFonts w:hint="eastAsia" w:ascii="Times New Roman" w:hAnsi="Times New Roman" w:cs="Times New Roman"/>
                <w:b/>
                <w:bCs/>
                <w:sz w:val="24"/>
                <w:szCs w:val="24"/>
                <w:vertAlign w:val="baseline"/>
                <w:lang w:val="en-US" w:eastAsia="zh-CN"/>
              </w:rPr>
              <w:t>资格类型</w:t>
            </w:r>
          </w:p>
        </w:tc>
        <w:tc>
          <w:tcPr>
            <w:tcW w:w="2503" w:type="dxa"/>
          </w:tcPr>
          <w:p w14:paraId="143AB90C">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default" w:ascii="Times New Roman" w:hAnsi="Times New Roman" w:cs="Times New Roman"/>
                <w:b/>
                <w:bCs/>
                <w:sz w:val="24"/>
                <w:szCs w:val="24"/>
                <w:vertAlign w:val="baseline"/>
                <w:lang w:val="en-US" w:eastAsia="zh-CN"/>
              </w:rPr>
            </w:pPr>
            <w:r>
              <w:rPr>
                <w:rFonts w:hint="eastAsia" w:ascii="Times New Roman" w:hAnsi="Times New Roman" w:cs="Times New Roman"/>
                <w:b/>
                <w:bCs/>
                <w:sz w:val="24"/>
                <w:szCs w:val="24"/>
                <w:vertAlign w:val="baseline"/>
                <w:lang w:val="en-US" w:eastAsia="zh-CN"/>
              </w:rPr>
              <w:t>证书编号</w:t>
            </w:r>
          </w:p>
        </w:tc>
        <w:tc>
          <w:tcPr>
            <w:tcW w:w="1880" w:type="dxa"/>
          </w:tcPr>
          <w:p w14:paraId="6708500E">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default" w:ascii="Times New Roman" w:hAnsi="Times New Roman" w:cs="Times New Roman"/>
                <w:b/>
                <w:bCs/>
                <w:sz w:val="24"/>
                <w:szCs w:val="24"/>
                <w:vertAlign w:val="baseline"/>
                <w:lang w:val="en-US" w:eastAsia="zh-CN"/>
              </w:rPr>
            </w:pPr>
            <w:r>
              <w:rPr>
                <w:rFonts w:hint="eastAsia" w:ascii="Times New Roman" w:hAnsi="Times New Roman" w:cs="Times New Roman"/>
                <w:b/>
                <w:bCs/>
                <w:sz w:val="24"/>
                <w:szCs w:val="24"/>
                <w:vertAlign w:val="baseline"/>
                <w:lang w:val="en-US" w:eastAsia="zh-CN"/>
              </w:rPr>
              <w:t>有效期</w:t>
            </w:r>
          </w:p>
        </w:tc>
      </w:tr>
      <w:tr w14:paraId="10F0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4" w:type="dxa"/>
          </w:tcPr>
          <w:p w14:paraId="5D81D8C4">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方长俊</w:t>
            </w:r>
          </w:p>
        </w:tc>
        <w:tc>
          <w:tcPr>
            <w:tcW w:w="1450" w:type="dxa"/>
          </w:tcPr>
          <w:p w14:paraId="6EACAA5A">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男</w:t>
            </w:r>
          </w:p>
        </w:tc>
        <w:tc>
          <w:tcPr>
            <w:tcW w:w="2110" w:type="dxa"/>
          </w:tcPr>
          <w:p w14:paraId="1EC9D643">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主要负责人</w:t>
            </w:r>
          </w:p>
        </w:tc>
        <w:tc>
          <w:tcPr>
            <w:tcW w:w="2503" w:type="dxa"/>
          </w:tcPr>
          <w:p w14:paraId="4245279D">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FJ7902024FZ3073</w:t>
            </w:r>
          </w:p>
        </w:tc>
        <w:tc>
          <w:tcPr>
            <w:tcW w:w="1880" w:type="dxa"/>
          </w:tcPr>
          <w:p w14:paraId="72B14D1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2024-0</w:t>
            </w:r>
            <w:r>
              <w:rPr>
                <w:rFonts w:hint="eastAsia" w:hAnsi="宋体" w:cs="宋体"/>
                <w:sz w:val="24"/>
                <w:szCs w:val="24"/>
                <w:vertAlign w:val="baseline"/>
                <w:lang w:val="en-US" w:eastAsia="zh-CN"/>
              </w:rPr>
              <w:t>6</w:t>
            </w:r>
            <w:r>
              <w:rPr>
                <w:rFonts w:hint="eastAsia" w:ascii="宋体" w:hAnsi="宋体" w:eastAsia="宋体" w:cs="宋体"/>
                <w:sz w:val="24"/>
                <w:szCs w:val="24"/>
                <w:vertAlign w:val="baseline"/>
                <w:lang w:val="en-US" w:eastAsia="zh-CN"/>
              </w:rPr>
              <w:t>-2</w:t>
            </w:r>
            <w:r>
              <w:rPr>
                <w:rFonts w:hint="eastAsia" w:hAnsi="宋体" w:cs="宋体"/>
                <w:sz w:val="24"/>
                <w:szCs w:val="24"/>
                <w:vertAlign w:val="baseline"/>
                <w:lang w:val="en-US" w:eastAsia="zh-CN"/>
              </w:rPr>
              <w:t>0</w:t>
            </w:r>
            <w:r>
              <w:rPr>
                <w:rFonts w:hint="eastAsia" w:ascii="宋体" w:hAnsi="宋体" w:eastAsia="宋体" w:cs="宋体"/>
                <w:sz w:val="24"/>
                <w:szCs w:val="24"/>
                <w:vertAlign w:val="baseline"/>
                <w:lang w:val="en-US" w:eastAsia="zh-CN"/>
              </w:rPr>
              <w:t>至2027-0</w:t>
            </w:r>
            <w:r>
              <w:rPr>
                <w:rFonts w:hint="eastAsia" w:hAnsi="宋体" w:cs="宋体"/>
                <w:sz w:val="24"/>
                <w:szCs w:val="24"/>
                <w:vertAlign w:val="baseline"/>
                <w:lang w:val="en-US" w:eastAsia="zh-CN"/>
              </w:rPr>
              <w:t>6</w:t>
            </w:r>
            <w:r>
              <w:rPr>
                <w:rFonts w:hint="eastAsia" w:ascii="宋体" w:hAnsi="宋体" w:eastAsia="宋体" w:cs="宋体"/>
                <w:sz w:val="24"/>
                <w:szCs w:val="24"/>
                <w:vertAlign w:val="baseline"/>
                <w:lang w:val="en-US" w:eastAsia="zh-CN"/>
              </w:rPr>
              <w:t>-</w:t>
            </w:r>
            <w:r>
              <w:rPr>
                <w:rFonts w:hint="eastAsia" w:hAnsi="宋体" w:cs="宋体"/>
                <w:sz w:val="24"/>
                <w:szCs w:val="24"/>
                <w:vertAlign w:val="baseline"/>
                <w:lang w:val="en-US" w:eastAsia="zh-CN"/>
              </w:rPr>
              <w:t>19</w:t>
            </w:r>
          </w:p>
        </w:tc>
      </w:tr>
      <w:tr w14:paraId="29912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4" w:type="dxa"/>
            <w:vAlign w:val="center"/>
          </w:tcPr>
          <w:p w14:paraId="464ACF3C">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杨林华</w:t>
            </w:r>
          </w:p>
        </w:tc>
        <w:tc>
          <w:tcPr>
            <w:tcW w:w="1450" w:type="dxa"/>
            <w:vAlign w:val="center"/>
          </w:tcPr>
          <w:p w14:paraId="5FF268B4">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default" w:ascii="宋体" w:hAnsi="宋体" w:eastAsia="宋体" w:cs="宋体"/>
                <w:sz w:val="24"/>
                <w:szCs w:val="24"/>
                <w:vertAlign w:val="baseline"/>
                <w:lang w:val="en-US" w:eastAsia="zh-CN"/>
              </w:rPr>
            </w:pPr>
            <w:r>
              <w:rPr>
                <w:rFonts w:hint="eastAsia" w:hAnsi="宋体" w:cs="宋体"/>
                <w:sz w:val="24"/>
                <w:szCs w:val="24"/>
                <w:vertAlign w:val="baseline"/>
                <w:lang w:val="en-US" w:eastAsia="zh-CN"/>
              </w:rPr>
              <w:t>男</w:t>
            </w:r>
          </w:p>
        </w:tc>
        <w:tc>
          <w:tcPr>
            <w:tcW w:w="2110" w:type="dxa"/>
            <w:vAlign w:val="center"/>
          </w:tcPr>
          <w:p w14:paraId="6447697B">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安全生产管理员</w:t>
            </w:r>
          </w:p>
        </w:tc>
        <w:tc>
          <w:tcPr>
            <w:tcW w:w="2503" w:type="dxa"/>
            <w:vAlign w:val="center"/>
          </w:tcPr>
          <w:p w14:paraId="30AD4EF1">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4"/>
                <w:szCs w:val="24"/>
                <w:vertAlign w:val="baseline"/>
                <w:lang w:val="en-US" w:eastAsia="zh-CN"/>
              </w:rPr>
            </w:pPr>
            <w:r>
              <w:rPr>
                <w:rFonts w:hint="eastAsia" w:hAnsi="宋体" w:cs="宋体"/>
                <w:sz w:val="24"/>
                <w:szCs w:val="24"/>
                <w:vertAlign w:val="baseline"/>
                <w:lang w:val="en-US" w:eastAsia="zh-CN"/>
              </w:rPr>
              <w:t>FJ7902024FG3090</w:t>
            </w:r>
          </w:p>
        </w:tc>
        <w:tc>
          <w:tcPr>
            <w:tcW w:w="1880" w:type="dxa"/>
            <w:vAlign w:val="center"/>
          </w:tcPr>
          <w:p w14:paraId="3E00833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2024-0</w:t>
            </w:r>
            <w:r>
              <w:rPr>
                <w:rFonts w:hint="eastAsia" w:hAnsi="宋体" w:cs="宋体"/>
                <w:sz w:val="24"/>
                <w:szCs w:val="24"/>
                <w:vertAlign w:val="baseline"/>
                <w:lang w:val="en-US" w:eastAsia="zh-CN"/>
              </w:rPr>
              <w:t>6</w:t>
            </w:r>
            <w:r>
              <w:rPr>
                <w:rFonts w:hint="eastAsia" w:ascii="宋体" w:hAnsi="宋体" w:eastAsia="宋体" w:cs="宋体"/>
                <w:sz w:val="24"/>
                <w:szCs w:val="24"/>
                <w:vertAlign w:val="baseline"/>
                <w:lang w:val="en-US" w:eastAsia="zh-CN"/>
              </w:rPr>
              <w:t>-2</w:t>
            </w:r>
            <w:r>
              <w:rPr>
                <w:rFonts w:hint="eastAsia" w:hAnsi="宋体" w:cs="宋体"/>
                <w:sz w:val="24"/>
                <w:szCs w:val="24"/>
                <w:vertAlign w:val="baseline"/>
                <w:lang w:val="en-US" w:eastAsia="zh-CN"/>
              </w:rPr>
              <w:t>0</w:t>
            </w:r>
            <w:r>
              <w:rPr>
                <w:rFonts w:hint="eastAsia" w:ascii="宋体" w:hAnsi="宋体" w:eastAsia="宋体" w:cs="宋体"/>
                <w:sz w:val="24"/>
                <w:szCs w:val="24"/>
                <w:vertAlign w:val="baseline"/>
                <w:lang w:val="en-US" w:eastAsia="zh-CN"/>
              </w:rPr>
              <w:t>至2027-0</w:t>
            </w:r>
            <w:r>
              <w:rPr>
                <w:rFonts w:hint="eastAsia" w:hAnsi="宋体" w:cs="宋体"/>
                <w:sz w:val="24"/>
                <w:szCs w:val="24"/>
                <w:vertAlign w:val="baseline"/>
                <w:lang w:val="en-US" w:eastAsia="zh-CN"/>
              </w:rPr>
              <w:t>6</w:t>
            </w:r>
            <w:r>
              <w:rPr>
                <w:rFonts w:hint="eastAsia" w:ascii="宋体" w:hAnsi="宋体" w:eastAsia="宋体" w:cs="宋体"/>
                <w:sz w:val="24"/>
                <w:szCs w:val="24"/>
                <w:vertAlign w:val="baseline"/>
                <w:lang w:val="en-US" w:eastAsia="zh-CN"/>
              </w:rPr>
              <w:t>-</w:t>
            </w:r>
            <w:r>
              <w:rPr>
                <w:rFonts w:hint="eastAsia" w:hAnsi="宋体" w:cs="宋体"/>
                <w:sz w:val="24"/>
                <w:szCs w:val="24"/>
                <w:vertAlign w:val="baseline"/>
                <w:lang w:val="en-US" w:eastAsia="zh-CN"/>
              </w:rPr>
              <w:t>19</w:t>
            </w:r>
          </w:p>
        </w:tc>
      </w:tr>
    </w:tbl>
    <w:p w14:paraId="2A412C98">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2、特种设备作业人员持证情况</w:t>
      </w:r>
    </w:p>
    <w:p w14:paraId="40EF56D1">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云南普菲特数控机械有限公司桥式起重机特种设备作业人员，取得了玉溪市市场监督管理局颁发的操作证书，见附件10。</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4"/>
        <w:gridCol w:w="1450"/>
        <w:gridCol w:w="2110"/>
        <w:gridCol w:w="2503"/>
        <w:gridCol w:w="1880"/>
      </w:tblGrid>
      <w:tr w14:paraId="63F3F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4" w:type="dxa"/>
          </w:tcPr>
          <w:p w14:paraId="5DA63D7C">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default" w:ascii="Times New Roman" w:hAnsi="Times New Roman" w:cs="Times New Roman"/>
                <w:b/>
                <w:bCs/>
                <w:sz w:val="24"/>
                <w:szCs w:val="24"/>
                <w:vertAlign w:val="baseline"/>
                <w:lang w:val="en-US" w:eastAsia="zh-CN"/>
              </w:rPr>
            </w:pPr>
            <w:r>
              <w:rPr>
                <w:rFonts w:hint="eastAsia" w:ascii="Times New Roman" w:hAnsi="Times New Roman" w:cs="Times New Roman"/>
                <w:b/>
                <w:bCs/>
                <w:sz w:val="24"/>
                <w:szCs w:val="24"/>
                <w:vertAlign w:val="baseline"/>
                <w:lang w:val="en-US" w:eastAsia="zh-CN"/>
              </w:rPr>
              <w:t>姓名</w:t>
            </w:r>
          </w:p>
        </w:tc>
        <w:tc>
          <w:tcPr>
            <w:tcW w:w="1450" w:type="dxa"/>
          </w:tcPr>
          <w:p w14:paraId="69C90CF4">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default" w:ascii="Times New Roman" w:hAnsi="Times New Roman" w:cs="Times New Roman"/>
                <w:b/>
                <w:bCs/>
                <w:sz w:val="24"/>
                <w:szCs w:val="24"/>
                <w:vertAlign w:val="baseline"/>
                <w:lang w:val="en-US" w:eastAsia="zh-CN"/>
              </w:rPr>
            </w:pPr>
            <w:r>
              <w:rPr>
                <w:rFonts w:hint="eastAsia" w:ascii="Times New Roman" w:hAnsi="Times New Roman" w:cs="Times New Roman"/>
                <w:b/>
                <w:bCs/>
                <w:sz w:val="24"/>
                <w:szCs w:val="24"/>
                <w:vertAlign w:val="baseline"/>
                <w:lang w:val="en-US" w:eastAsia="zh-CN"/>
              </w:rPr>
              <w:t>性别</w:t>
            </w:r>
          </w:p>
        </w:tc>
        <w:tc>
          <w:tcPr>
            <w:tcW w:w="2110" w:type="dxa"/>
          </w:tcPr>
          <w:p w14:paraId="70921738">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default" w:ascii="Times New Roman" w:hAnsi="Times New Roman" w:cs="Times New Roman"/>
                <w:b/>
                <w:bCs/>
                <w:sz w:val="24"/>
                <w:szCs w:val="24"/>
                <w:vertAlign w:val="baseline"/>
                <w:lang w:val="en-US" w:eastAsia="zh-CN"/>
              </w:rPr>
            </w:pPr>
            <w:r>
              <w:rPr>
                <w:rFonts w:hint="eastAsia" w:ascii="Times New Roman" w:hAnsi="Times New Roman" w:cs="Times New Roman"/>
                <w:b/>
                <w:bCs/>
                <w:sz w:val="24"/>
                <w:szCs w:val="24"/>
                <w:vertAlign w:val="baseline"/>
                <w:lang w:val="en-US" w:eastAsia="zh-CN"/>
              </w:rPr>
              <w:t>资格类型</w:t>
            </w:r>
          </w:p>
        </w:tc>
        <w:tc>
          <w:tcPr>
            <w:tcW w:w="2503" w:type="dxa"/>
          </w:tcPr>
          <w:p w14:paraId="0D4B4A48">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default" w:ascii="Times New Roman" w:hAnsi="Times New Roman" w:cs="Times New Roman"/>
                <w:b/>
                <w:bCs/>
                <w:sz w:val="24"/>
                <w:szCs w:val="24"/>
                <w:vertAlign w:val="baseline"/>
                <w:lang w:val="en-US" w:eastAsia="zh-CN"/>
              </w:rPr>
            </w:pPr>
            <w:r>
              <w:rPr>
                <w:rFonts w:hint="eastAsia" w:ascii="Times New Roman" w:hAnsi="Times New Roman" w:cs="Times New Roman"/>
                <w:b/>
                <w:bCs/>
                <w:sz w:val="24"/>
                <w:szCs w:val="24"/>
                <w:vertAlign w:val="baseline"/>
                <w:lang w:val="en-US" w:eastAsia="zh-CN"/>
              </w:rPr>
              <w:t>证书编号</w:t>
            </w:r>
          </w:p>
        </w:tc>
        <w:tc>
          <w:tcPr>
            <w:tcW w:w="1880" w:type="dxa"/>
          </w:tcPr>
          <w:p w14:paraId="0B1CE9B7">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default" w:ascii="Times New Roman" w:hAnsi="Times New Roman" w:cs="Times New Roman"/>
                <w:b/>
                <w:bCs/>
                <w:sz w:val="24"/>
                <w:szCs w:val="24"/>
                <w:vertAlign w:val="baseline"/>
                <w:lang w:val="en-US" w:eastAsia="zh-CN"/>
              </w:rPr>
            </w:pPr>
            <w:r>
              <w:rPr>
                <w:rFonts w:hint="eastAsia" w:ascii="Times New Roman" w:hAnsi="Times New Roman" w:cs="Times New Roman"/>
                <w:b/>
                <w:bCs/>
                <w:sz w:val="24"/>
                <w:szCs w:val="24"/>
                <w:vertAlign w:val="baseline"/>
                <w:lang w:val="en-US" w:eastAsia="zh-CN"/>
              </w:rPr>
              <w:t>有效期</w:t>
            </w:r>
          </w:p>
        </w:tc>
      </w:tr>
      <w:tr w14:paraId="6C91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4" w:type="dxa"/>
          </w:tcPr>
          <w:p w14:paraId="236E01CB">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default" w:ascii="宋体" w:hAnsi="宋体" w:eastAsia="宋体" w:cs="宋体"/>
                <w:sz w:val="24"/>
                <w:szCs w:val="24"/>
                <w:vertAlign w:val="baseline"/>
                <w:lang w:val="en-US" w:eastAsia="zh-CN"/>
              </w:rPr>
            </w:pPr>
            <w:r>
              <w:rPr>
                <w:rFonts w:hint="eastAsia" w:hAnsi="宋体" w:cs="宋体"/>
                <w:sz w:val="24"/>
                <w:szCs w:val="24"/>
                <w:lang w:val="en-US" w:eastAsia="zh-CN"/>
              </w:rPr>
              <w:t>晏祥多</w:t>
            </w:r>
          </w:p>
        </w:tc>
        <w:tc>
          <w:tcPr>
            <w:tcW w:w="1450" w:type="dxa"/>
          </w:tcPr>
          <w:p w14:paraId="722EB58B">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男</w:t>
            </w:r>
          </w:p>
        </w:tc>
        <w:tc>
          <w:tcPr>
            <w:tcW w:w="2110" w:type="dxa"/>
          </w:tcPr>
          <w:p w14:paraId="54C41F4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Q2（限桥式起梁</w:t>
            </w:r>
          </w:p>
          <w:p w14:paraId="148E05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重机</w:t>
            </w:r>
            <w:r>
              <w:rPr>
                <w:rFonts w:hint="eastAsia" w:hAnsi="宋体" w:cs="宋体"/>
                <w:sz w:val="24"/>
                <w:szCs w:val="24"/>
                <w:vertAlign w:val="baseline"/>
                <w:lang w:val="en-US" w:eastAsia="zh-CN"/>
              </w:rPr>
              <w:t>）</w:t>
            </w:r>
          </w:p>
        </w:tc>
        <w:tc>
          <w:tcPr>
            <w:tcW w:w="2503" w:type="dxa"/>
          </w:tcPr>
          <w:p w14:paraId="727FE1F6">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530381198708070712</w:t>
            </w:r>
          </w:p>
        </w:tc>
        <w:tc>
          <w:tcPr>
            <w:tcW w:w="1880" w:type="dxa"/>
          </w:tcPr>
          <w:p w14:paraId="56B6D07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w:t>
            </w:r>
            <w:r>
              <w:rPr>
                <w:rFonts w:hint="eastAsia" w:hAnsi="宋体" w:cs="宋体"/>
                <w:sz w:val="24"/>
                <w:szCs w:val="24"/>
                <w:vertAlign w:val="baseline"/>
                <w:lang w:val="en-US" w:eastAsia="zh-CN"/>
              </w:rPr>
              <w:t>2年11月</w:t>
            </w:r>
            <w:r>
              <w:rPr>
                <w:rFonts w:hint="eastAsia" w:ascii="宋体" w:hAnsi="宋体" w:eastAsia="宋体" w:cs="宋体"/>
                <w:sz w:val="24"/>
                <w:szCs w:val="24"/>
                <w:vertAlign w:val="baseline"/>
                <w:lang w:val="en-US" w:eastAsia="zh-CN"/>
              </w:rPr>
              <w:t>至</w:t>
            </w:r>
            <w:r>
              <w:rPr>
                <w:rFonts w:hint="eastAsia" w:hAnsi="宋体" w:cs="宋体"/>
                <w:sz w:val="24"/>
                <w:szCs w:val="24"/>
                <w:vertAlign w:val="baseline"/>
                <w:lang w:val="en-US" w:eastAsia="zh-CN"/>
              </w:rPr>
              <w:t>2026年10月</w:t>
            </w:r>
          </w:p>
        </w:tc>
      </w:tr>
      <w:tr w14:paraId="507CD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4" w:type="dxa"/>
            <w:vAlign w:val="center"/>
          </w:tcPr>
          <w:p w14:paraId="5A7CD194">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徐春红</w:t>
            </w:r>
          </w:p>
        </w:tc>
        <w:tc>
          <w:tcPr>
            <w:tcW w:w="1450" w:type="dxa"/>
            <w:vAlign w:val="center"/>
          </w:tcPr>
          <w:p w14:paraId="25DBBA98">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default" w:ascii="宋体" w:hAnsi="宋体" w:eastAsia="宋体" w:cs="宋体"/>
                <w:sz w:val="24"/>
                <w:szCs w:val="24"/>
                <w:vertAlign w:val="baseline"/>
                <w:lang w:val="en-US" w:eastAsia="zh-CN"/>
              </w:rPr>
            </w:pPr>
            <w:r>
              <w:rPr>
                <w:rFonts w:hint="eastAsia" w:hAnsi="宋体" w:cs="宋体"/>
                <w:sz w:val="24"/>
                <w:szCs w:val="24"/>
                <w:vertAlign w:val="baseline"/>
                <w:lang w:val="en-US" w:eastAsia="zh-CN"/>
              </w:rPr>
              <w:t>男</w:t>
            </w:r>
          </w:p>
        </w:tc>
        <w:tc>
          <w:tcPr>
            <w:tcW w:w="2110" w:type="dxa"/>
            <w:vAlign w:val="center"/>
          </w:tcPr>
          <w:p w14:paraId="077599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Q2（限桥式起梁</w:t>
            </w:r>
          </w:p>
          <w:p w14:paraId="6208DB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重机）</w:t>
            </w:r>
          </w:p>
        </w:tc>
        <w:tc>
          <w:tcPr>
            <w:tcW w:w="2503" w:type="dxa"/>
            <w:vAlign w:val="center"/>
          </w:tcPr>
          <w:p w14:paraId="328D159A">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4"/>
                <w:szCs w:val="24"/>
                <w:vertAlign w:val="baseline"/>
                <w:lang w:val="en-US" w:eastAsia="zh-CN"/>
              </w:rPr>
            </w:pPr>
            <w:r>
              <w:rPr>
                <w:rFonts w:hint="eastAsia" w:hAnsi="宋体" w:cs="宋体"/>
                <w:sz w:val="24"/>
                <w:szCs w:val="24"/>
                <w:vertAlign w:val="baseline"/>
                <w:lang w:val="en-US" w:eastAsia="zh-CN"/>
              </w:rPr>
              <w:t>53040219880519061X</w:t>
            </w:r>
          </w:p>
        </w:tc>
        <w:tc>
          <w:tcPr>
            <w:tcW w:w="1880" w:type="dxa"/>
            <w:vAlign w:val="center"/>
          </w:tcPr>
          <w:p w14:paraId="7F151CD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w:t>
            </w:r>
            <w:r>
              <w:rPr>
                <w:rFonts w:hint="eastAsia" w:hAnsi="宋体" w:cs="宋体"/>
                <w:sz w:val="24"/>
                <w:szCs w:val="24"/>
                <w:vertAlign w:val="baseline"/>
                <w:lang w:val="en-US" w:eastAsia="zh-CN"/>
              </w:rPr>
              <w:t>2年11月</w:t>
            </w:r>
            <w:r>
              <w:rPr>
                <w:rFonts w:hint="eastAsia" w:ascii="宋体" w:hAnsi="宋体" w:eastAsia="宋体" w:cs="宋体"/>
                <w:sz w:val="24"/>
                <w:szCs w:val="24"/>
                <w:vertAlign w:val="baseline"/>
                <w:lang w:val="en-US" w:eastAsia="zh-CN"/>
              </w:rPr>
              <w:t>至</w:t>
            </w:r>
            <w:r>
              <w:rPr>
                <w:rFonts w:hint="eastAsia" w:hAnsi="宋体" w:cs="宋体"/>
                <w:sz w:val="24"/>
                <w:szCs w:val="24"/>
                <w:vertAlign w:val="baseline"/>
                <w:lang w:val="en-US" w:eastAsia="zh-CN"/>
              </w:rPr>
              <w:t>2026年10月</w:t>
            </w:r>
          </w:p>
        </w:tc>
      </w:tr>
      <w:tr w14:paraId="2AC97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4" w:type="dxa"/>
            <w:vAlign w:val="center"/>
          </w:tcPr>
          <w:p w14:paraId="2D2DA93B">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default" w:ascii="宋体" w:hAnsi="宋体" w:eastAsia="宋体" w:cs="宋体"/>
                <w:sz w:val="24"/>
                <w:szCs w:val="24"/>
                <w:lang w:val="en-US" w:eastAsia="zh-CN"/>
              </w:rPr>
            </w:pPr>
            <w:r>
              <w:rPr>
                <w:rFonts w:hint="eastAsia" w:hAnsi="宋体" w:cs="宋体"/>
                <w:sz w:val="24"/>
                <w:szCs w:val="24"/>
                <w:lang w:val="en-US" w:eastAsia="zh-CN"/>
              </w:rPr>
              <w:t>王涛</w:t>
            </w:r>
          </w:p>
        </w:tc>
        <w:tc>
          <w:tcPr>
            <w:tcW w:w="1450" w:type="dxa"/>
            <w:shd w:val="clear" w:color="auto" w:fill="auto"/>
            <w:vAlign w:val="center"/>
          </w:tcPr>
          <w:p w14:paraId="417AC028">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4"/>
                <w:szCs w:val="24"/>
                <w:vertAlign w:val="baseline"/>
                <w:lang w:val="en-US" w:eastAsia="zh-CN" w:bidi="ar-SA"/>
              </w:rPr>
            </w:pPr>
            <w:r>
              <w:rPr>
                <w:rFonts w:hint="eastAsia" w:hAnsi="宋体" w:cs="宋体"/>
                <w:sz w:val="24"/>
                <w:szCs w:val="24"/>
                <w:vertAlign w:val="baseline"/>
                <w:lang w:val="en-US" w:eastAsia="zh-CN"/>
              </w:rPr>
              <w:t>男</w:t>
            </w:r>
          </w:p>
        </w:tc>
        <w:tc>
          <w:tcPr>
            <w:tcW w:w="2110" w:type="dxa"/>
            <w:shd w:val="clear" w:color="auto" w:fill="auto"/>
            <w:vAlign w:val="center"/>
          </w:tcPr>
          <w:p w14:paraId="0E8E00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Q2（限桥式起梁</w:t>
            </w:r>
          </w:p>
          <w:p w14:paraId="745139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bidi="ar-SA"/>
              </w:rPr>
            </w:pPr>
            <w:r>
              <w:rPr>
                <w:rFonts w:hint="eastAsia" w:ascii="宋体" w:hAnsi="宋体" w:eastAsia="宋体" w:cs="宋体"/>
                <w:sz w:val="24"/>
                <w:szCs w:val="24"/>
                <w:vertAlign w:val="baseline"/>
                <w:lang w:val="en-US" w:eastAsia="zh-CN"/>
              </w:rPr>
              <w:t>重机）</w:t>
            </w:r>
          </w:p>
        </w:tc>
        <w:tc>
          <w:tcPr>
            <w:tcW w:w="2503" w:type="dxa"/>
            <w:vAlign w:val="center"/>
          </w:tcPr>
          <w:p w14:paraId="6C6D7AB6">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hAnsi="宋体" w:cs="宋体"/>
                <w:sz w:val="24"/>
                <w:szCs w:val="24"/>
                <w:vertAlign w:val="baseline"/>
                <w:lang w:val="en-US" w:eastAsia="zh-CN"/>
              </w:rPr>
            </w:pPr>
            <w:r>
              <w:rPr>
                <w:rFonts w:hint="eastAsia" w:hAnsi="宋体" w:cs="宋体"/>
                <w:sz w:val="24"/>
                <w:szCs w:val="24"/>
                <w:vertAlign w:val="baseline"/>
                <w:lang w:val="en-US" w:eastAsia="zh-CN"/>
              </w:rPr>
              <w:t>53042519900725151X</w:t>
            </w:r>
          </w:p>
        </w:tc>
        <w:tc>
          <w:tcPr>
            <w:tcW w:w="1880" w:type="dxa"/>
            <w:shd w:val="clear" w:color="auto" w:fill="auto"/>
            <w:vAlign w:val="center"/>
          </w:tcPr>
          <w:p w14:paraId="781F06C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vertAlign w:val="baseline"/>
                <w:lang w:val="en-US" w:eastAsia="zh-CN" w:bidi="ar-SA"/>
              </w:rPr>
            </w:pPr>
            <w:r>
              <w:rPr>
                <w:rFonts w:hint="eastAsia" w:ascii="宋体" w:hAnsi="宋体" w:eastAsia="宋体" w:cs="宋体"/>
                <w:sz w:val="24"/>
                <w:szCs w:val="24"/>
                <w:vertAlign w:val="baseline"/>
                <w:lang w:val="en-US" w:eastAsia="zh-CN"/>
              </w:rPr>
              <w:t>202</w:t>
            </w:r>
            <w:r>
              <w:rPr>
                <w:rFonts w:hint="eastAsia" w:hAnsi="宋体" w:cs="宋体"/>
                <w:sz w:val="24"/>
                <w:szCs w:val="24"/>
                <w:vertAlign w:val="baseline"/>
                <w:lang w:val="en-US" w:eastAsia="zh-CN"/>
              </w:rPr>
              <w:t>2年11月</w:t>
            </w:r>
            <w:r>
              <w:rPr>
                <w:rFonts w:hint="eastAsia" w:ascii="宋体" w:hAnsi="宋体" w:eastAsia="宋体" w:cs="宋体"/>
                <w:sz w:val="24"/>
                <w:szCs w:val="24"/>
                <w:vertAlign w:val="baseline"/>
                <w:lang w:val="en-US" w:eastAsia="zh-CN"/>
              </w:rPr>
              <w:t>至</w:t>
            </w:r>
            <w:r>
              <w:rPr>
                <w:rFonts w:hint="eastAsia" w:hAnsi="宋体" w:cs="宋体"/>
                <w:sz w:val="24"/>
                <w:szCs w:val="24"/>
                <w:vertAlign w:val="baseline"/>
                <w:lang w:val="en-US" w:eastAsia="zh-CN"/>
              </w:rPr>
              <w:t>2026年10月</w:t>
            </w:r>
          </w:p>
        </w:tc>
      </w:tr>
      <w:tr w14:paraId="004DB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4" w:type="dxa"/>
            <w:vAlign w:val="center"/>
          </w:tcPr>
          <w:p w14:paraId="1AB575F0">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default" w:ascii="宋体" w:hAnsi="宋体" w:eastAsia="宋体" w:cs="宋体"/>
                <w:sz w:val="24"/>
                <w:szCs w:val="24"/>
                <w:lang w:val="en-US" w:eastAsia="zh-CN"/>
              </w:rPr>
            </w:pPr>
            <w:r>
              <w:rPr>
                <w:rFonts w:hint="eastAsia" w:hAnsi="宋体" w:cs="宋体"/>
                <w:sz w:val="24"/>
                <w:szCs w:val="24"/>
                <w:lang w:val="en-US" w:eastAsia="zh-CN"/>
              </w:rPr>
              <w:t>方长俊</w:t>
            </w:r>
          </w:p>
        </w:tc>
        <w:tc>
          <w:tcPr>
            <w:tcW w:w="1450" w:type="dxa"/>
            <w:shd w:val="clear" w:color="auto" w:fill="auto"/>
            <w:vAlign w:val="center"/>
          </w:tcPr>
          <w:p w14:paraId="6F5A0EE2">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24"/>
                <w:szCs w:val="24"/>
                <w:vertAlign w:val="baseline"/>
                <w:lang w:val="en-US" w:eastAsia="zh-CN" w:bidi="ar-SA"/>
              </w:rPr>
            </w:pPr>
            <w:r>
              <w:rPr>
                <w:rFonts w:hint="eastAsia" w:hAnsi="宋体" w:cs="宋体"/>
                <w:sz w:val="24"/>
                <w:szCs w:val="24"/>
                <w:vertAlign w:val="baseline"/>
                <w:lang w:val="en-US" w:eastAsia="zh-CN"/>
              </w:rPr>
              <w:t>男</w:t>
            </w:r>
          </w:p>
        </w:tc>
        <w:tc>
          <w:tcPr>
            <w:tcW w:w="2110" w:type="dxa"/>
            <w:shd w:val="clear" w:color="auto" w:fill="auto"/>
            <w:vAlign w:val="center"/>
          </w:tcPr>
          <w:p w14:paraId="5955B89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Q2（限桥式起梁</w:t>
            </w:r>
          </w:p>
          <w:p w14:paraId="01FC60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vertAlign w:val="baseline"/>
                <w:lang w:val="en-US" w:eastAsia="zh-CN" w:bidi="ar-SA"/>
              </w:rPr>
            </w:pPr>
            <w:r>
              <w:rPr>
                <w:rFonts w:hint="eastAsia" w:ascii="宋体" w:hAnsi="宋体" w:eastAsia="宋体" w:cs="宋体"/>
                <w:sz w:val="24"/>
                <w:szCs w:val="24"/>
                <w:vertAlign w:val="baseline"/>
                <w:lang w:val="en-US" w:eastAsia="zh-CN"/>
              </w:rPr>
              <w:t>重机）</w:t>
            </w:r>
          </w:p>
        </w:tc>
        <w:tc>
          <w:tcPr>
            <w:tcW w:w="2503" w:type="dxa"/>
            <w:vAlign w:val="center"/>
          </w:tcPr>
          <w:p w14:paraId="41A4DEFB">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hAnsi="宋体" w:cs="宋体"/>
                <w:sz w:val="24"/>
                <w:szCs w:val="24"/>
                <w:vertAlign w:val="baseline"/>
                <w:lang w:val="en-US" w:eastAsia="zh-CN"/>
              </w:rPr>
            </w:pPr>
            <w:r>
              <w:rPr>
                <w:rFonts w:hint="eastAsia" w:hAnsi="宋体" w:cs="宋体"/>
                <w:sz w:val="24"/>
                <w:szCs w:val="24"/>
                <w:vertAlign w:val="baseline"/>
                <w:lang w:val="en-US" w:eastAsia="zh-CN"/>
              </w:rPr>
              <w:t>530425199209021333</w:t>
            </w:r>
          </w:p>
        </w:tc>
        <w:tc>
          <w:tcPr>
            <w:tcW w:w="1880" w:type="dxa"/>
            <w:vAlign w:val="center"/>
          </w:tcPr>
          <w:p w14:paraId="1CD9F77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w:t>
            </w:r>
            <w:r>
              <w:rPr>
                <w:rFonts w:hint="eastAsia" w:hAnsi="宋体" w:cs="宋体"/>
                <w:sz w:val="24"/>
                <w:szCs w:val="24"/>
                <w:vertAlign w:val="baseline"/>
                <w:lang w:val="en-US" w:eastAsia="zh-CN"/>
              </w:rPr>
              <w:t>2年11月</w:t>
            </w:r>
            <w:r>
              <w:rPr>
                <w:rFonts w:hint="eastAsia" w:ascii="宋体" w:hAnsi="宋体" w:eastAsia="宋体" w:cs="宋体"/>
                <w:sz w:val="24"/>
                <w:szCs w:val="24"/>
                <w:vertAlign w:val="baseline"/>
                <w:lang w:val="en-US" w:eastAsia="zh-CN"/>
              </w:rPr>
              <w:t>至</w:t>
            </w:r>
            <w:r>
              <w:rPr>
                <w:rFonts w:hint="eastAsia" w:hAnsi="宋体" w:cs="宋体"/>
                <w:sz w:val="24"/>
                <w:szCs w:val="24"/>
                <w:vertAlign w:val="baseline"/>
                <w:lang w:val="en-US" w:eastAsia="zh-CN"/>
              </w:rPr>
              <w:t>2026年10月</w:t>
            </w:r>
          </w:p>
        </w:tc>
      </w:tr>
    </w:tbl>
    <w:p w14:paraId="4E6C9E92">
      <w:pPr>
        <w:keepNext w:val="0"/>
        <w:keepLines w:val="0"/>
        <w:pageBreakBefore w:val="0"/>
        <w:widowControl w:val="0"/>
        <w:suppressLineNumbers w:val="0"/>
        <w:kinsoku/>
        <w:wordWrap/>
        <w:overflowPunct/>
        <w:topLinePunct w:val="0"/>
        <w:autoSpaceDE/>
        <w:autoSpaceDN/>
        <w:bidi w:val="0"/>
        <w:adjustRightInd/>
        <w:snapToGrid/>
        <w:spacing w:line="600" w:lineRule="exact"/>
        <w:jc w:val="left"/>
        <w:textAlignment w:val="auto"/>
        <w:outlineLvl w:val="2"/>
        <w:rPr>
          <w:sz w:val="28"/>
          <w:szCs w:val="28"/>
        </w:rPr>
      </w:pPr>
      <w:bookmarkStart w:id="215" w:name="_Toc25468"/>
      <w:r>
        <w:rPr>
          <w:rFonts w:hint="eastAsia" w:ascii="宋体" w:hAnsi="宋体" w:eastAsia="宋体" w:cs="宋体"/>
          <w:b/>
          <w:bCs/>
          <w:color w:val="000000"/>
          <w:kern w:val="0"/>
          <w:sz w:val="28"/>
          <w:szCs w:val="28"/>
          <w:lang w:val="en-US" w:eastAsia="zh-CN" w:bidi="ar"/>
        </w:rPr>
        <w:t>2.</w:t>
      </w:r>
      <w:r>
        <w:rPr>
          <w:rFonts w:hint="eastAsia" w:hAnsi="宋体" w:cs="宋体"/>
          <w:b/>
          <w:bCs/>
          <w:color w:val="000000"/>
          <w:kern w:val="0"/>
          <w:sz w:val="28"/>
          <w:szCs w:val="28"/>
          <w:lang w:val="en-US" w:eastAsia="zh-CN" w:bidi="ar"/>
        </w:rPr>
        <w:t>6</w:t>
      </w:r>
      <w:r>
        <w:rPr>
          <w:rFonts w:hint="eastAsia" w:ascii="宋体" w:hAnsi="宋体" w:eastAsia="宋体" w:cs="宋体"/>
          <w:b/>
          <w:bCs/>
          <w:color w:val="000000"/>
          <w:kern w:val="0"/>
          <w:sz w:val="28"/>
          <w:szCs w:val="28"/>
          <w:lang w:val="en-US" w:eastAsia="zh-CN" w:bidi="ar"/>
        </w:rPr>
        <w:t>.</w:t>
      </w:r>
      <w:r>
        <w:rPr>
          <w:rFonts w:hint="eastAsia" w:hAnsi="宋体" w:cs="宋体"/>
          <w:b/>
          <w:bCs/>
          <w:color w:val="000000"/>
          <w:kern w:val="0"/>
          <w:sz w:val="28"/>
          <w:szCs w:val="28"/>
          <w:lang w:val="en-US" w:eastAsia="zh-CN" w:bidi="ar"/>
        </w:rPr>
        <w:t>6</w:t>
      </w:r>
      <w:r>
        <w:rPr>
          <w:rFonts w:hint="eastAsia" w:ascii="宋体" w:hAnsi="宋体" w:eastAsia="宋体" w:cs="宋体"/>
          <w:b/>
          <w:bCs/>
          <w:color w:val="000000"/>
          <w:kern w:val="0"/>
          <w:sz w:val="28"/>
          <w:szCs w:val="28"/>
          <w:lang w:val="en-US" w:eastAsia="zh-CN" w:bidi="ar"/>
        </w:rPr>
        <w:t>劳动防护用品配置</w:t>
      </w:r>
      <w:bookmarkEnd w:id="215"/>
    </w:p>
    <w:p w14:paraId="299BB24B">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云南普菲特数控机械有限公司制定了《劳动防护用品管理制度》，对劳保用品的发放标准做了规定。《劳动保护用品发放表》见报告附件14。</w:t>
      </w:r>
    </w:p>
    <w:p w14:paraId="54656FD5">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auto"/>
        <w:outlineLvl w:val="2"/>
        <w:rPr>
          <w:rFonts w:hint="eastAsia" w:ascii="宋体" w:hAnsi="宋体" w:eastAsia="宋体" w:cs="宋体"/>
          <w:sz w:val="28"/>
          <w:szCs w:val="28"/>
        </w:rPr>
      </w:pPr>
      <w:bookmarkStart w:id="216" w:name="_Toc6580"/>
      <w:r>
        <w:rPr>
          <w:rFonts w:hint="eastAsia" w:ascii="宋体" w:hAnsi="宋体" w:eastAsia="宋体" w:cs="宋体"/>
          <w:b/>
          <w:bCs/>
          <w:color w:val="000000"/>
          <w:kern w:val="0"/>
          <w:sz w:val="28"/>
          <w:szCs w:val="28"/>
          <w:lang w:val="en-US" w:eastAsia="zh-CN" w:bidi="ar"/>
        </w:rPr>
        <w:t>2.</w:t>
      </w:r>
      <w:r>
        <w:rPr>
          <w:rFonts w:hint="eastAsia" w:hAnsi="宋体" w:cs="宋体"/>
          <w:b/>
          <w:bCs/>
          <w:color w:val="000000"/>
          <w:kern w:val="0"/>
          <w:sz w:val="28"/>
          <w:szCs w:val="28"/>
          <w:lang w:val="en-US" w:eastAsia="zh-CN" w:bidi="ar"/>
        </w:rPr>
        <w:t>6</w:t>
      </w:r>
      <w:r>
        <w:rPr>
          <w:rFonts w:hint="eastAsia" w:ascii="宋体" w:hAnsi="宋体" w:eastAsia="宋体" w:cs="宋体"/>
          <w:b/>
          <w:bCs/>
          <w:color w:val="000000"/>
          <w:kern w:val="0"/>
          <w:sz w:val="28"/>
          <w:szCs w:val="28"/>
          <w:lang w:val="en-US" w:eastAsia="zh-CN" w:bidi="ar"/>
        </w:rPr>
        <w:t>.</w:t>
      </w:r>
      <w:r>
        <w:rPr>
          <w:rFonts w:hint="eastAsia" w:hAnsi="宋体" w:cs="宋体"/>
          <w:b/>
          <w:bCs/>
          <w:color w:val="000000"/>
          <w:kern w:val="0"/>
          <w:sz w:val="28"/>
          <w:szCs w:val="28"/>
          <w:lang w:val="en-US" w:eastAsia="zh-CN" w:bidi="ar"/>
        </w:rPr>
        <w:t>7</w:t>
      </w:r>
      <w:r>
        <w:rPr>
          <w:rFonts w:hint="eastAsia" w:ascii="宋体" w:hAnsi="宋体" w:eastAsia="宋体" w:cs="宋体"/>
          <w:b/>
          <w:bCs/>
          <w:color w:val="000000"/>
          <w:kern w:val="0"/>
          <w:sz w:val="28"/>
          <w:szCs w:val="28"/>
          <w:lang w:val="en-US" w:eastAsia="zh-CN" w:bidi="ar"/>
        </w:rPr>
        <w:t>工伤保险购买情况</w:t>
      </w:r>
      <w:bookmarkEnd w:id="216"/>
    </w:p>
    <w:p w14:paraId="7DA153FE">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云南普菲特数控机械有限公司为员工购买了雇主责任保险及工伤保险，保险购买证明见报告附件13。</w:t>
      </w:r>
    </w:p>
    <w:p w14:paraId="43D933CC">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auto"/>
        <w:outlineLvl w:val="2"/>
        <w:rPr>
          <w:rFonts w:hint="eastAsia" w:ascii="宋体" w:hAnsi="宋体" w:eastAsia="宋体" w:cs="宋体"/>
          <w:color w:val="000000"/>
          <w:kern w:val="0"/>
          <w:sz w:val="28"/>
          <w:szCs w:val="28"/>
          <w:lang w:val="en-US" w:eastAsia="zh-CN" w:bidi="ar"/>
        </w:rPr>
      </w:pPr>
      <w:bookmarkStart w:id="217" w:name="_Toc19509"/>
      <w:r>
        <w:rPr>
          <w:rFonts w:hint="eastAsia" w:ascii="宋体" w:hAnsi="宋体" w:eastAsia="宋体" w:cs="宋体"/>
          <w:b/>
          <w:bCs/>
          <w:color w:val="000000"/>
          <w:kern w:val="0"/>
          <w:sz w:val="28"/>
          <w:szCs w:val="28"/>
          <w:lang w:val="en-US" w:eastAsia="zh-CN" w:bidi="ar"/>
        </w:rPr>
        <w:t>2.</w:t>
      </w:r>
      <w:r>
        <w:rPr>
          <w:rFonts w:hint="eastAsia" w:hAnsi="宋体" w:cs="宋体"/>
          <w:b/>
          <w:bCs/>
          <w:color w:val="000000"/>
          <w:kern w:val="0"/>
          <w:sz w:val="28"/>
          <w:szCs w:val="28"/>
          <w:lang w:val="en-US" w:eastAsia="zh-CN" w:bidi="ar"/>
        </w:rPr>
        <w:t>6</w:t>
      </w:r>
      <w:r>
        <w:rPr>
          <w:rFonts w:hint="eastAsia" w:ascii="宋体" w:hAnsi="宋体" w:eastAsia="宋体" w:cs="宋体"/>
          <w:b/>
          <w:bCs/>
          <w:color w:val="000000"/>
          <w:kern w:val="0"/>
          <w:sz w:val="28"/>
          <w:szCs w:val="28"/>
          <w:lang w:val="en-US" w:eastAsia="zh-CN" w:bidi="ar"/>
        </w:rPr>
        <w:t>.</w:t>
      </w:r>
      <w:r>
        <w:rPr>
          <w:rFonts w:hint="eastAsia" w:hAnsi="宋体" w:cs="宋体"/>
          <w:b/>
          <w:bCs/>
          <w:color w:val="000000"/>
          <w:kern w:val="0"/>
          <w:sz w:val="28"/>
          <w:szCs w:val="28"/>
          <w:lang w:val="en-US" w:eastAsia="zh-CN" w:bidi="ar"/>
        </w:rPr>
        <w:t>8</w:t>
      </w:r>
      <w:r>
        <w:rPr>
          <w:rFonts w:hint="eastAsia" w:ascii="宋体" w:hAnsi="宋体" w:eastAsia="宋体" w:cs="宋体"/>
          <w:b/>
          <w:bCs/>
          <w:color w:val="000000"/>
          <w:kern w:val="0"/>
          <w:sz w:val="28"/>
          <w:szCs w:val="28"/>
          <w:lang w:val="en-US" w:eastAsia="zh-CN" w:bidi="ar"/>
        </w:rPr>
        <w:t>近期运行情况</w:t>
      </w:r>
      <w:bookmarkEnd w:id="217"/>
    </w:p>
    <w:p w14:paraId="1DBBE07A">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1、安全管理及人员安全培训教育</w:t>
      </w:r>
    </w:p>
    <w:p w14:paraId="04E045F6">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该企业能够认真落实国家安全生产的方针和国家安全生产的有关法律、法规，在日常生产经营活动中能够不断加强企业内部的安全生产管理的各项工作，认真落实企业各级人员安全生产责任制，明确各级人员安全生产职责；定期开展企业各级人员安全教育和培训活动，使企业安全生产管理各项工作和各级人员安全教育培训得到不断加强。</w:t>
      </w:r>
    </w:p>
    <w:p w14:paraId="4A8F4CBB">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企业的主要负责人和安全管理人员能够按照《中华人民共和国安全生产法》（中华人民共和国主席令第88号）、《云南省安全生产条例》等的相关要求，及时参加安全管理培训，并经考核合格后取得合格证，确保企业的安全管理工作能够有效进行。</w:t>
      </w:r>
    </w:p>
    <w:p w14:paraId="7406813C">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2、设备安全管理</w:t>
      </w:r>
    </w:p>
    <w:p w14:paraId="05D4498B">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企业定期对生产设备、设施检修、维护和保养，发现并及时排除出现的故障和可能存在的不安全隐患，使生产设备及设施始终处于正常状况。</w:t>
      </w:r>
    </w:p>
    <w:p w14:paraId="607F6E28">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3、安全设施情况</w:t>
      </w:r>
    </w:p>
    <w:p w14:paraId="45BC7E8B">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通过安全评价及安全隐患排查，企业不断完善生产设备安全设施，起重设备安全设施基本齐全，且正常投入使用，其他安全设施主要设置有安全防护罩、急停按钮、防护栏等，生产车间留有安全通道、设置了安全警示标志等。</w:t>
      </w:r>
    </w:p>
    <w:p w14:paraId="06083FE6">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4、安全生产事故发生情况</w:t>
      </w:r>
    </w:p>
    <w:p w14:paraId="47443193">
      <w:pPr>
        <w:pStyle w:val="23"/>
        <w:spacing w:line="500" w:lineRule="exact"/>
        <w:ind w:left="0"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该企业自建厂投运至评价基准日生产运行正常，人员及设备管理到位，未发生过人员伤亡的生产安全事故。</w:t>
      </w:r>
    </w:p>
    <w:p w14:paraId="7D7389AD">
      <w:pPr>
        <w:bidi w:val="0"/>
        <w:rPr>
          <w:rFonts w:hint="eastAsia"/>
        </w:rPr>
      </w:pPr>
    </w:p>
    <w:p w14:paraId="6C6AFB05">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auto"/>
        <w:rPr>
          <w:rFonts w:hint="default" w:ascii="宋体" w:hAnsi="宋体" w:eastAsia="宋体" w:cs="宋体"/>
          <w:color w:val="000000"/>
          <w:kern w:val="0"/>
          <w:sz w:val="28"/>
          <w:szCs w:val="28"/>
          <w:lang w:val="en-US" w:eastAsia="zh-CN" w:bidi="ar"/>
        </w:rPr>
        <w:sectPr>
          <w:footerReference r:id="rId5" w:type="default"/>
          <w:pgSz w:w="11906" w:h="16838"/>
          <w:pgMar w:top="1417" w:right="1134" w:bottom="1134" w:left="1587" w:header="851" w:footer="992" w:gutter="0"/>
          <w:pgNumType w:fmt="numberInDash" w:start="1"/>
          <w:cols w:space="0" w:num="1"/>
          <w:rtlGutter w:val="0"/>
          <w:docGrid w:type="lines" w:linePitch="312" w:charSpace="0"/>
        </w:sectPr>
      </w:pPr>
    </w:p>
    <w:p w14:paraId="165C4933">
      <w:pPr>
        <w:pStyle w:val="2"/>
        <w:keepNext/>
        <w:keepLines/>
        <w:pageBreakBefore w:val="0"/>
        <w:widowControl w:val="0"/>
        <w:kinsoku/>
        <w:wordWrap/>
        <w:overflowPunct/>
        <w:topLinePunct w:val="0"/>
        <w:autoSpaceDE/>
        <w:autoSpaceDN/>
        <w:bidi w:val="0"/>
        <w:adjustRightInd/>
        <w:snapToGrid w:val="0"/>
        <w:spacing w:before="100" w:beforeAutospacing="1" w:after="100" w:afterAutospacing="1"/>
        <w:textAlignment w:val="auto"/>
        <w:rPr>
          <w:rFonts w:hint="eastAsia" w:ascii="宋体" w:hAnsi="宋体" w:eastAsia="宋体" w:cs="宋体"/>
          <w:color w:val="000000" w:themeColor="text1"/>
          <w14:textFill>
            <w14:solidFill>
              <w14:schemeClr w14:val="tx1"/>
            </w14:solidFill>
          </w14:textFill>
        </w:rPr>
      </w:pPr>
      <w:bookmarkStart w:id="218" w:name="_Toc9486"/>
      <w:bookmarkStart w:id="219" w:name="_Toc17554"/>
      <w:bookmarkStart w:id="220" w:name="_Toc25262"/>
      <w:bookmarkStart w:id="221" w:name="_Toc15392"/>
      <w:bookmarkStart w:id="222" w:name="_Toc30428"/>
      <w:bookmarkStart w:id="223" w:name="_Toc1124"/>
      <w:r>
        <w:rPr>
          <w:rFonts w:hint="eastAsia" w:ascii="宋体" w:hAnsi="宋体" w:eastAsia="宋体" w:cs="宋体"/>
          <w:color w:val="000000" w:themeColor="text1"/>
          <w14:textFill>
            <w14:solidFill>
              <w14:schemeClr w14:val="tx1"/>
            </w14:solidFill>
          </w14:textFill>
        </w:rPr>
        <w:t>第3章  主要危险、有害因素辨识与分析</w:t>
      </w:r>
      <w:bookmarkEnd w:id="218"/>
      <w:bookmarkEnd w:id="219"/>
      <w:bookmarkEnd w:id="220"/>
      <w:bookmarkEnd w:id="221"/>
      <w:bookmarkEnd w:id="222"/>
      <w:bookmarkEnd w:id="223"/>
    </w:p>
    <w:p w14:paraId="050E2BF3">
      <w:pPr>
        <w:keepNext w:val="0"/>
        <w:keepLines w:val="0"/>
        <w:pageBreakBefore w:val="0"/>
        <w:widowControl w:val="0"/>
        <w:kinsoku/>
        <w:wordWrap/>
        <w:overflowPunct/>
        <w:topLinePunct w:val="0"/>
        <w:autoSpaceDE/>
        <w:autoSpaceDN/>
        <w:bidi w:val="0"/>
        <w:adjustRightInd w:val="0"/>
        <w:snapToGrid w:val="0"/>
        <w:spacing w:line="500" w:lineRule="exact"/>
        <w:ind w:firstLine="560" w:firstLineChars="200"/>
        <w:jc w:val="both"/>
        <w:textAlignment w:val="auto"/>
        <w:rPr>
          <w:rFonts w:hint="eastAsia" w:ascii="宋体" w:hAnsi="宋体" w:eastAsia="宋体" w:cs="宋体"/>
          <w:color w:val="000000" w:themeColor="text1"/>
          <w:sz w:val="28"/>
          <w14:textFill>
            <w14:solidFill>
              <w14:schemeClr w14:val="tx1"/>
            </w14:solidFill>
          </w14:textFill>
        </w:rPr>
      </w:pPr>
      <w:bookmarkStart w:id="224" w:name="_Toc18363"/>
      <w:bookmarkStart w:id="225" w:name="_Toc532203511"/>
      <w:bookmarkStart w:id="226" w:name="_Toc2018"/>
      <w:bookmarkStart w:id="227" w:name="_Toc29010"/>
      <w:bookmarkStart w:id="228" w:name="_Toc5642_WPSOffice_Level2"/>
      <w:bookmarkStart w:id="229" w:name="_Toc201697580"/>
      <w:bookmarkStart w:id="230" w:name="_Toc398"/>
      <w:bookmarkStart w:id="231" w:name="_Toc121910214"/>
      <w:r>
        <w:rPr>
          <w:rFonts w:hint="eastAsia" w:ascii="宋体" w:hAnsi="宋体" w:eastAsia="宋体" w:cs="宋体"/>
          <w:color w:val="000000" w:themeColor="text1"/>
          <w:sz w:val="28"/>
          <w14:textFill>
            <w14:solidFill>
              <w14:schemeClr w14:val="tx1"/>
            </w14:solidFill>
          </w14:textFill>
        </w:rPr>
        <w:t>本章</w:t>
      </w:r>
      <w:r>
        <w:rPr>
          <w:rFonts w:hint="eastAsia" w:ascii="宋体" w:hAnsi="宋体" w:eastAsia="宋体" w:cs="宋体"/>
          <w:color w:val="000000" w:themeColor="text1"/>
          <w:sz w:val="28"/>
          <w:lang w:eastAsia="zh-CN"/>
          <w14:textFill>
            <w14:solidFill>
              <w14:schemeClr w14:val="tx1"/>
            </w14:solidFill>
          </w14:textFill>
        </w:rPr>
        <w:t>主要</w:t>
      </w:r>
      <w:r>
        <w:rPr>
          <w:rFonts w:hint="eastAsia" w:ascii="宋体" w:hAnsi="宋体" w:eastAsia="宋体" w:cs="宋体"/>
          <w:color w:val="000000" w:themeColor="text1"/>
          <w:sz w:val="28"/>
          <w14:textFill>
            <w14:solidFill>
              <w14:schemeClr w14:val="tx1"/>
            </w14:solidFill>
          </w14:textFill>
        </w:rPr>
        <w:t>针对项目现状及公辅</w:t>
      </w:r>
      <w:r>
        <w:rPr>
          <w:rFonts w:hint="eastAsia" w:ascii="宋体" w:hAnsi="宋体" w:eastAsia="宋体" w:cs="宋体"/>
          <w:color w:val="000000" w:themeColor="text1"/>
          <w:sz w:val="28"/>
          <w:lang w:val="en-US" w:eastAsia="zh-CN"/>
          <w14:textFill>
            <w14:solidFill>
              <w14:schemeClr w14:val="tx1"/>
            </w14:solidFill>
          </w14:textFill>
        </w:rPr>
        <w:t>辅助</w:t>
      </w:r>
      <w:r>
        <w:rPr>
          <w:rFonts w:hint="eastAsia" w:ascii="宋体" w:hAnsi="宋体" w:eastAsia="宋体" w:cs="宋体"/>
          <w:color w:val="000000" w:themeColor="text1"/>
          <w:sz w:val="28"/>
          <w14:textFill>
            <w14:solidFill>
              <w14:schemeClr w14:val="tx1"/>
            </w14:solidFill>
          </w14:textFill>
        </w:rPr>
        <w:t>设施的生产现状情况，对设施、装置和生产系统中可能存在的危险、有害因素进行辨识和分析，确定其主要危险、有害因素的种类及其存在部位和可能产生的后果，以确定评价对象，选用评价方法和提出有针对性的措施，便于该项目在以后的生产过程中对其固有和潜在的危险、有害因素，按照消除、减弱、预防、控制原则，保证生产系统的安全运行。简言之，就是识别系统危险性，找出引发原因，把握薄弱环节，寻找预防事故的最佳途径。</w:t>
      </w:r>
    </w:p>
    <w:p w14:paraId="3A94ED10">
      <w:pPr>
        <w:pStyle w:val="3"/>
        <w:keepNext/>
        <w:keepLines/>
        <w:pageBreakBefore w:val="0"/>
        <w:widowControl w:val="0"/>
        <w:kinsoku/>
        <w:wordWrap/>
        <w:overflowPunct/>
        <w:topLinePunct w:val="0"/>
        <w:autoSpaceDE/>
        <w:autoSpaceDN/>
        <w:bidi w:val="0"/>
        <w:adjustRightInd/>
        <w:snapToGrid w:val="0"/>
        <w:spacing w:before="0" w:after="0" w:line="520" w:lineRule="exact"/>
        <w:jc w:val="both"/>
        <w:textAlignment w:val="auto"/>
        <w:rPr>
          <w:rFonts w:hint="eastAsia" w:ascii="宋体" w:hAnsi="宋体" w:eastAsia="宋体" w:cs="宋体"/>
          <w:color w:val="000000" w:themeColor="text1"/>
          <w:kern w:val="0"/>
          <w14:textFill>
            <w14:solidFill>
              <w14:schemeClr w14:val="tx1"/>
            </w14:solidFill>
          </w14:textFill>
        </w:rPr>
      </w:pPr>
      <w:bookmarkStart w:id="232" w:name="_Toc9265"/>
      <w:bookmarkStart w:id="233" w:name="_Toc18926"/>
      <w:bookmarkStart w:id="234" w:name="_Toc659"/>
      <w:bookmarkStart w:id="235" w:name="_Toc16179"/>
      <w:r>
        <w:rPr>
          <w:rFonts w:hint="eastAsia" w:ascii="宋体" w:hAnsi="宋体" w:eastAsia="宋体" w:cs="宋体"/>
          <w:color w:val="000000" w:themeColor="text1"/>
          <w:kern w:val="0"/>
          <w14:textFill>
            <w14:solidFill>
              <w14:schemeClr w14:val="tx1"/>
            </w14:solidFill>
          </w14:textFill>
        </w:rPr>
        <w:t>3.1</w:t>
      </w:r>
      <w:r>
        <w:rPr>
          <w:rFonts w:hint="eastAsia" w:ascii="宋体" w:hAnsi="宋体" w:eastAsia="宋体" w:cs="宋体"/>
          <w:color w:val="000000" w:themeColor="text1"/>
          <w:kern w:val="0"/>
          <w:lang w:val="en-US" w:eastAsia="zh-CN"/>
          <w14:textFill>
            <w14:solidFill>
              <w14:schemeClr w14:val="tx1"/>
            </w14:solidFill>
          </w14:textFill>
        </w:rPr>
        <w:t xml:space="preserve"> </w:t>
      </w:r>
      <w:r>
        <w:rPr>
          <w:rFonts w:hint="eastAsia" w:ascii="宋体" w:hAnsi="宋体" w:eastAsia="宋体" w:cs="宋体"/>
          <w:color w:val="000000" w:themeColor="text1"/>
          <w:kern w:val="0"/>
          <w14:textFill>
            <w14:solidFill>
              <w14:schemeClr w14:val="tx1"/>
            </w14:solidFill>
          </w14:textFill>
        </w:rPr>
        <w:t>辨识与分析的目的</w:t>
      </w:r>
      <w:bookmarkEnd w:id="232"/>
      <w:bookmarkEnd w:id="233"/>
      <w:bookmarkEnd w:id="234"/>
      <w:bookmarkEnd w:id="235"/>
    </w:p>
    <w:p w14:paraId="13A23CA3">
      <w:pPr>
        <w:keepNext w:val="0"/>
        <w:keepLines w:val="0"/>
        <w:pageBreakBefore w:val="0"/>
        <w:widowControl w:val="0"/>
        <w:kinsoku/>
        <w:wordWrap/>
        <w:overflowPunct/>
        <w:topLinePunct w:val="0"/>
        <w:autoSpaceDE/>
        <w:autoSpaceDN/>
        <w:bidi w:val="0"/>
        <w:spacing w:line="520" w:lineRule="exact"/>
        <w:ind w:firstLine="560" w:firstLineChars="200"/>
        <w:textAlignment w:val="auto"/>
        <w:rPr>
          <w:rStyle w:val="41"/>
          <w:rFonts w:hint="eastAsia" w:ascii="宋体" w:hAnsi="宋体" w:eastAsia="宋体" w:cs="宋体"/>
          <w:color w:val="000000" w:themeColor="text1"/>
          <w14:textFill>
            <w14:solidFill>
              <w14:schemeClr w14:val="tx1"/>
            </w14:solidFill>
          </w14:textFill>
        </w:rPr>
      </w:pPr>
      <w:r>
        <w:rPr>
          <w:rStyle w:val="41"/>
          <w:rFonts w:hint="eastAsia" w:ascii="宋体" w:hAnsi="宋体" w:eastAsia="宋体" w:cs="宋体"/>
          <w:color w:val="000000" w:themeColor="text1"/>
          <w14:textFill>
            <w14:solidFill>
              <w14:schemeClr w14:val="tx1"/>
            </w14:solidFill>
          </w14:textFill>
        </w:rPr>
        <w:t>危险、有害因素辨识与分析是安全评价的基础。</w:t>
      </w:r>
    </w:p>
    <w:p w14:paraId="2591A4B4">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Style w:val="41"/>
          <w:rFonts w:hint="eastAsia" w:ascii="宋体" w:hAnsi="宋体" w:eastAsia="宋体" w:cs="宋体"/>
          <w:color w:val="000000" w:themeColor="text1"/>
          <w14:textFill>
            <w14:solidFill>
              <w14:schemeClr w14:val="tx1"/>
            </w14:solidFill>
          </w14:textFill>
        </w:rPr>
      </w:pPr>
      <w:r>
        <w:rPr>
          <w:rStyle w:val="41"/>
          <w:rFonts w:hint="eastAsia" w:ascii="宋体" w:hAnsi="宋体" w:eastAsia="宋体" w:cs="宋体"/>
          <w:color w:val="000000" w:themeColor="text1"/>
          <w14:textFill>
            <w14:solidFill>
              <w14:schemeClr w14:val="tx1"/>
            </w14:solidFill>
          </w14:textFill>
        </w:rPr>
        <w:t>危险因素是指系统（人、机械、材料、设施、工艺、环境）中存在的，能对人造成伤亡，对物造成突发性损害的因素。</w:t>
      </w:r>
    </w:p>
    <w:p w14:paraId="08A0BF89">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Style w:val="41"/>
          <w:rFonts w:hint="eastAsia" w:ascii="宋体" w:hAnsi="宋体" w:eastAsia="宋体" w:cs="宋体"/>
          <w:color w:val="000000" w:themeColor="text1"/>
          <w14:textFill>
            <w14:solidFill>
              <w14:schemeClr w14:val="tx1"/>
            </w14:solidFill>
          </w14:textFill>
        </w:rPr>
      </w:pPr>
      <w:r>
        <w:rPr>
          <w:rStyle w:val="41"/>
          <w:rFonts w:hint="eastAsia" w:ascii="宋体" w:hAnsi="宋体" w:eastAsia="宋体" w:cs="宋体"/>
          <w:color w:val="000000" w:themeColor="text1"/>
          <w14:textFill>
            <w14:solidFill>
              <w14:schemeClr w14:val="tx1"/>
            </w14:solidFill>
          </w14:textFill>
        </w:rPr>
        <w:t>有害因素是指影响人的身体健康，导致疾病，或对物造成慢性损害的因素。</w:t>
      </w:r>
    </w:p>
    <w:p w14:paraId="0DE20774">
      <w:pPr>
        <w:keepNext w:val="0"/>
        <w:keepLines w:val="0"/>
        <w:pageBreakBefore w:val="0"/>
        <w:widowControl w:val="0"/>
        <w:kinsoku/>
        <w:wordWrap/>
        <w:overflowPunct/>
        <w:topLinePunct w:val="0"/>
        <w:autoSpaceDE/>
        <w:autoSpaceDN/>
        <w:bidi w:val="0"/>
        <w:spacing w:line="520" w:lineRule="exact"/>
        <w:ind w:firstLine="560" w:firstLineChars="200"/>
        <w:textAlignment w:val="auto"/>
        <w:rPr>
          <w:rStyle w:val="41"/>
          <w:rFonts w:hint="eastAsia" w:ascii="宋体" w:hAnsi="宋体" w:eastAsia="宋体" w:cs="宋体"/>
          <w:color w:val="000000" w:themeColor="text1"/>
          <w14:textFill>
            <w14:solidFill>
              <w14:schemeClr w14:val="tx1"/>
            </w14:solidFill>
          </w14:textFill>
        </w:rPr>
      </w:pPr>
      <w:r>
        <w:rPr>
          <w:rStyle w:val="41"/>
          <w:rFonts w:hint="eastAsia" w:ascii="宋体" w:hAnsi="宋体" w:eastAsia="宋体" w:cs="宋体"/>
          <w:color w:val="000000" w:themeColor="text1"/>
          <w14:textFill>
            <w14:solidFill>
              <w14:schemeClr w14:val="tx1"/>
            </w14:solidFill>
          </w14:textFill>
        </w:rPr>
        <w:t>主要危险、有害因素的识别，就是找出生产、经营过程中最有可能引发重大事故，导致不良后果的人、机、物、工艺、环境和组织等，识别可能发生的事故、后果和条件，以便采取预防和控制措施。</w:t>
      </w:r>
    </w:p>
    <w:p w14:paraId="014F8FCD">
      <w:pPr>
        <w:pStyle w:val="3"/>
        <w:keepNext/>
        <w:keepLines/>
        <w:pageBreakBefore w:val="0"/>
        <w:widowControl w:val="0"/>
        <w:kinsoku/>
        <w:wordWrap/>
        <w:overflowPunct/>
        <w:topLinePunct w:val="0"/>
        <w:autoSpaceDE/>
        <w:autoSpaceDN/>
        <w:bidi w:val="0"/>
        <w:adjustRightInd/>
        <w:snapToGrid w:val="0"/>
        <w:spacing w:before="0" w:after="0" w:line="520" w:lineRule="exact"/>
        <w:jc w:val="both"/>
        <w:textAlignment w:val="auto"/>
        <w:rPr>
          <w:rFonts w:hint="eastAsia" w:ascii="宋体" w:hAnsi="宋体" w:eastAsia="宋体" w:cs="宋体"/>
          <w:color w:val="000000" w:themeColor="text1"/>
          <w:kern w:val="0"/>
          <w14:textFill>
            <w14:solidFill>
              <w14:schemeClr w14:val="tx1"/>
            </w14:solidFill>
          </w14:textFill>
        </w:rPr>
      </w:pPr>
      <w:bookmarkStart w:id="236" w:name="_Toc16027"/>
      <w:bookmarkStart w:id="237" w:name="_Toc10200"/>
      <w:bookmarkStart w:id="238" w:name="_Toc11622"/>
      <w:r>
        <w:rPr>
          <w:rFonts w:hint="eastAsia" w:ascii="宋体" w:hAnsi="宋体" w:eastAsia="宋体" w:cs="宋体"/>
          <w:color w:val="000000" w:themeColor="text1"/>
          <w:kern w:val="0"/>
          <w14:textFill>
            <w14:solidFill>
              <w14:schemeClr w14:val="tx1"/>
            </w14:solidFill>
          </w14:textFill>
        </w:rPr>
        <w:t>3.</w:t>
      </w:r>
      <w:r>
        <w:rPr>
          <w:rFonts w:hint="eastAsia" w:ascii="宋体" w:hAnsi="宋体" w:eastAsia="宋体" w:cs="宋体"/>
          <w:color w:val="000000" w:themeColor="text1"/>
          <w:kern w:val="0"/>
          <w:lang w:val="en-US" w:eastAsia="zh-CN"/>
          <w14:textFill>
            <w14:solidFill>
              <w14:schemeClr w14:val="tx1"/>
            </w14:solidFill>
          </w14:textFill>
        </w:rPr>
        <w:t xml:space="preserve">2 </w:t>
      </w:r>
      <w:r>
        <w:rPr>
          <w:rFonts w:hint="eastAsia" w:ascii="宋体" w:hAnsi="宋体" w:eastAsia="宋体" w:cs="宋体"/>
          <w:color w:val="000000" w:themeColor="text1"/>
          <w:kern w:val="0"/>
          <w14:textFill>
            <w14:solidFill>
              <w14:schemeClr w14:val="tx1"/>
            </w14:solidFill>
          </w14:textFill>
        </w:rPr>
        <w:t>辨识与分析的依据</w:t>
      </w:r>
      <w:bookmarkEnd w:id="224"/>
      <w:bookmarkEnd w:id="225"/>
      <w:bookmarkEnd w:id="226"/>
      <w:bookmarkEnd w:id="236"/>
      <w:bookmarkEnd w:id="237"/>
      <w:bookmarkEnd w:id="238"/>
    </w:p>
    <w:p w14:paraId="4F96CCE9">
      <w:pPr>
        <w:keepNext w:val="0"/>
        <w:keepLines w:val="0"/>
        <w:pageBreakBefore w:val="0"/>
        <w:widowControl w:val="0"/>
        <w:kinsoku/>
        <w:wordWrap/>
        <w:overflowPunct/>
        <w:autoSpaceDE/>
        <w:autoSpaceDN/>
        <w:bidi w:val="0"/>
        <w:adjustRightInd/>
        <w:snapToGrid/>
        <w:spacing w:line="500" w:lineRule="exact"/>
        <w:ind w:firstLine="560" w:firstLineChars="200"/>
        <w:textAlignment w:val="auto"/>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按照《企业职工伤亡事故分类》（GB6441-1986），综合考虑起因物、引起事故的诱导性原因、致害物、伤害方式等，将事故类别分为20类，分别为物体打击、车辆伤害、机械伤害、起重伤害、触电、淹溺、灼烫、火灾、高处坠落、坍塌、冒顶片帮、透水、放炮、瓦斯爆炸、火药爆炸、锅炉爆炸、容器爆炸、其他爆炸、中毒和窒息及其他伤害。</w:t>
      </w:r>
    </w:p>
    <w:p w14:paraId="01ADB072">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根据《生产过程危险和有害因素分类与代码》（GB/T13861-2022）的规定，将危险因素分为四类：</w:t>
      </w:r>
    </w:p>
    <w:p w14:paraId="3383E3E1">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一、人的因素</w:t>
      </w:r>
    </w:p>
    <w:p w14:paraId="677E0602">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1.心理、生理性危险和有害因素；</w:t>
      </w:r>
    </w:p>
    <w:p w14:paraId="3F79A5EE">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2.行为性危险和有害因素。</w:t>
      </w:r>
    </w:p>
    <w:p w14:paraId="74395E71">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二、物的因素</w:t>
      </w:r>
    </w:p>
    <w:p w14:paraId="5209284B">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1.物理性危险和有害因素；</w:t>
      </w:r>
    </w:p>
    <w:p w14:paraId="7836A16D">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2.化学性危险和有害因素；</w:t>
      </w:r>
    </w:p>
    <w:p w14:paraId="1C5D20B7">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3.生物性危险和有害因素。</w:t>
      </w:r>
    </w:p>
    <w:p w14:paraId="7784877D">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三、环境因素</w:t>
      </w:r>
    </w:p>
    <w:p w14:paraId="58DDFF28">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1.室内作业场所环境不良；</w:t>
      </w:r>
    </w:p>
    <w:p w14:paraId="58FF2144">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2.室外作业场地环境不良；</w:t>
      </w:r>
    </w:p>
    <w:p w14:paraId="7E0199E3">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3.地下（含水下）作业环境不良；</w:t>
      </w:r>
    </w:p>
    <w:p w14:paraId="69864BA8">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4.其他作业环境不良。</w:t>
      </w:r>
    </w:p>
    <w:p w14:paraId="7D5ACF6F">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四、管理因素</w:t>
      </w:r>
    </w:p>
    <w:p w14:paraId="5B7741B1">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1.职业安全卫生组织机构</w:t>
      </w:r>
      <w:r>
        <w:rPr>
          <w:rFonts w:hint="eastAsia" w:ascii="宋体" w:hAnsi="宋体" w:eastAsia="宋体" w:cs="宋体"/>
          <w:color w:val="000000" w:themeColor="text1"/>
          <w:sz w:val="28"/>
          <w:szCs w:val="28"/>
          <w:lang w:val="en-US" w:eastAsia="zh-CN"/>
          <w14:textFill>
            <w14:solidFill>
              <w14:schemeClr w14:val="tx1"/>
            </w14:solidFill>
          </w14:textFill>
        </w:rPr>
        <w:t>设置和人员配备</w:t>
      </w:r>
      <w:r>
        <w:rPr>
          <w:rFonts w:hint="eastAsia" w:ascii="宋体" w:hAnsi="宋体" w:eastAsia="宋体" w:cs="宋体"/>
          <w:color w:val="000000" w:themeColor="text1"/>
          <w:sz w:val="28"/>
          <w:szCs w:val="28"/>
          <w14:textFill>
            <w14:solidFill>
              <w14:schemeClr w14:val="tx1"/>
            </w14:solidFill>
          </w14:textFill>
        </w:rPr>
        <w:t>不健全；</w:t>
      </w:r>
    </w:p>
    <w:p w14:paraId="6DC69895">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2.职业安全卫生责任制</w:t>
      </w:r>
      <w:r>
        <w:rPr>
          <w:rFonts w:hint="eastAsia" w:ascii="宋体" w:hAnsi="宋体" w:eastAsia="宋体" w:cs="宋体"/>
          <w:color w:val="000000" w:themeColor="text1"/>
          <w:sz w:val="28"/>
          <w:szCs w:val="28"/>
          <w:lang w:val="en-US" w:eastAsia="zh-CN"/>
          <w14:textFill>
            <w14:solidFill>
              <w14:schemeClr w14:val="tx1"/>
            </w14:solidFill>
          </w14:textFill>
        </w:rPr>
        <w:t>不完善或</w:t>
      </w:r>
      <w:r>
        <w:rPr>
          <w:rFonts w:hint="eastAsia" w:ascii="宋体" w:hAnsi="宋体" w:eastAsia="宋体" w:cs="宋体"/>
          <w:color w:val="000000" w:themeColor="text1"/>
          <w:sz w:val="28"/>
          <w:szCs w:val="28"/>
          <w14:textFill>
            <w14:solidFill>
              <w14:schemeClr w14:val="tx1"/>
            </w14:solidFill>
          </w14:textFill>
        </w:rPr>
        <w:t>未落实；</w:t>
      </w:r>
    </w:p>
    <w:p w14:paraId="3DD30D26">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3.职业安全卫生管理规章制度不完善</w:t>
      </w:r>
      <w:r>
        <w:rPr>
          <w:rFonts w:hint="eastAsia" w:ascii="宋体" w:hAnsi="宋体" w:eastAsia="宋体" w:cs="宋体"/>
          <w:color w:val="000000" w:themeColor="text1"/>
          <w:sz w:val="28"/>
          <w:szCs w:val="28"/>
          <w:lang w:val="en-US" w:eastAsia="zh-CN"/>
          <w14:textFill>
            <w14:solidFill>
              <w14:schemeClr w14:val="tx1"/>
            </w14:solidFill>
          </w14:textFill>
        </w:rPr>
        <w:t>或未落实</w:t>
      </w:r>
      <w:r>
        <w:rPr>
          <w:rFonts w:hint="eastAsia" w:ascii="宋体" w:hAnsi="宋体" w:eastAsia="宋体" w:cs="宋体"/>
          <w:color w:val="000000" w:themeColor="text1"/>
          <w:sz w:val="28"/>
          <w:szCs w:val="28"/>
          <w14:textFill>
            <w14:solidFill>
              <w14:schemeClr w14:val="tx1"/>
            </w14:solidFill>
          </w14:textFill>
        </w:rPr>
        <w:t>；</w:t>
      </w:r>
    </w:p>
    <w:p w14:paraId="31E75186">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4.职业安全卫生投入不足；</w:t>
      </w:r>
    </w:p>
    <w:p w14:paraId="3DB067FF">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w:t>
      </w:r>
      <w:r>
        <w:rPr>
          <w:rFonts w:hint="eastAsia" w:ascii="宋体" w:hAnsi="宋体" w:eastAsia="宋体" w:cs="宋体"/>
          <w:color w:val="000000" w:themeColor="text1"/>
          <w:sz w:val="28"/>
          <w:szCs w:val="28"/>
          <w:lang w:val="en-US" w:eastAsia="zh-CN"/>
          <w14:textFill>
            <w14:solidFill>
              <w14:schemeClr w14:val="tx1"/>
            </w14:solidFill>
          </w14:textFill>
        </w:rPr>
        <w:t>应急管理缺陷</w:t>
      </w:r>
      <w:r>
        <w:rPr>
          <w:rFonts w:hint="eastAsia" w:ascii="宋体" w:hAnsi="宋体" w:eastAsia="宋体" w:cs="宋体"/>
          <w:color w:val="000000" w:themeColor="text1"/>
          <w:sz w:val="28"/>
          <w:szCs w:val="28"/>
          <w14:textFill>
            <w14:solidFill>
              <w14:schemeClr w14:val="tx1"/>
            </w14:solidFill>
          </w14:textFill>
        </w:rPr>
        <w:t>；</w:t>
      </w:r>
    </w:p>
    <w:p w14:paraId="74EB2682">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6.其他管理因素缺陷。</w:t>
      </w:r>
    </w:p>
    <w:p w14:paraId="616FBA41">
      <w:pPr>
        <w:pStyle w:val="3"/>
        <w:keepNext/>
        <w:keepLines/>
        <w:pageBreakBefore w:val="0"/>
        <w:widowControl w:val="0"/>
        <w:kinsoku/>
        <w:wordWrap/>
        <w:overflowPunct/>
        <w:topLinePunct w:val="0"/>
        <w:autoSpaceDE/>
        <w:autoSpaceDN/>
        <w:bidi w:val="0"/>
        <w:adjustRightInd/>
        <w:snapToGrid w:val="0"/>
        <w:spacing w:before="0" w:after="0" w:line="520" w:lineRule="exact"/>
        <w:jc w:val="both"/>
        <w:textAlignment w:val="auto"/>
        <w:rPr>
          <w:rFonts w:hint="eastAsia" w:ascii="宋体" w:hAnsi="宋体" w:eastAsia="宋体" w:cs="宋体"/>
          <w:color w:val="000000" w:themeColor="text1"/>
          <w:kern w:val="0"/>
          <w14:textFill>
            <w14:solidFill>
              <w14:schemeClr w14:val="tx1"/>
            </w14:solidFill>
          </w14:textFill>
        </w:rPr>
      </w:pPr>
      <w:bookmarkStart w:id="239" w:name="_Toc20160"/>
      <w:bookmarkStart w:id="240" w:name="_Toc5486"/>
      <w:bookmarkStart w:id="241" w:name="_Toc7809"/>
      <w:r>
        <w:rPr>
          <w:rFonts w:hint="eastAsia" w:ascii="宋体" w:hAnsi="宋体" w:eastAsia="宋体" w:cs="宋体"/>
          <w:color w:val="000000" w:themeColor="text1"/>
          <w:kern w:val="0"/>
          <w:lang w:val="en-US" w:eastAsia="zh-CN"/>
          <w14:textFill>
            <w14:solidFill>
              <w14:schemeClr w14:val="tx1"/>
            </w14:solidFill>
          </w14:textFill>
        </w:rPr>
        <w:t>3.3</w:t>
      </w:r>
      <w:r>
        <w:rPr>
          <w:rFonts w:hint="eastAsia" w:ascii="宋体" w:hAnsi="宋体" w:eastAsia="宋体" w:cs="宋体"/>
          <w:color w:val="000000" w:themeColor="text1"/>
          <w:kern w:val="0"/>
          <w14:textFill>
            <w14:solidFill>
              <w14:schemeClr w14:val="tx1"/>
            </w14:solidFill>
          </w14:textFill>
        </w:rPr>
        <w:t>危险、有害因素产生的原因</w:t>
      </w:r>
      <w:bookmarkEnd w:id="239"/>
      <w:bookmarkEnd w:id="240"/>
      <w:bookmarkEnd w:id="241"/>
    </w:p>
    <w:p w14:paraId="79034ABD">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zh-CN" w:eastAsia="zh-CN"/>
          <w14:textFill>
            <w14:solidFill>
              <w14:schemeClr w14:val="tx1"/>
            </w14:solidFill>
          </w14:textFill>
        </w:rPr>
      </w:pPr>
      <w:bookmarkStart w:id="242" w:name="_Toc54294431"/>
      <w:bookmarkStart w:id="243" w:name="_Toc28262"/>
      <w:bookmarkStart w:id="244" w:name="_Toc103178286"/>
      <w:bookmarkStart w:id="245" w:name="_Toc458245982"/>
      <w:bookmarkStart w:id="246" w:name="_Toc51340665"/>
      <w:bookmarkStart w:id="247" w:name="_Toc3292"/>
      <w:bookmarkStart w:id="248" w:name="_Toc13275"/>
      <w:bookmarkStart w:id="249" w:name="_Toc129520625"/>
      <w:bookmarkStart w:id="250" w:name="_Toc15863"/>
      <w:bookmarkStart w:id="251" w:name="_Toc20205"/>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3.3.1</w:t>
      </w:r>
      <w:r>
        <w:rPr>
          <w:rFonts w:hint="eastAsia" w:ascii="宋体" w:hAnsi="宋体" w:eastAsia="宋体" w:cs="宋体"/>
          <w:snapToGrid w:val="0"/>
          <w:color w:val="000000" w:themeColor="text1"/>
          <w:kern w:val="0"/>
          <w:sz w:val="28"/>
          <w:szCs w:val="28"/>
          <w:lang w:val="zh-CN" w:eastAsia="zh-CN"/>
          <w14:textFill>
            <w14:solidFill>
              <w14:schemeClr w14:val="tx1"/>
            </w14:solidFill>
          </w14:textFill>
        </w:rPr>
        <w:t>运行失控与设备故障</w:t>
      </w:r>
      <w:bookmarkEnd w:id="242"/>
      <w:bookmarkEnd w:id="243"/>
      <w:bookmarkEnd w:id="244"/>
      <w:bookmarkEnd w:id="245"/>
      <w:bookmarkEnd w:id="246"/>
      <w:bookmarkEnd w:id="247"/>
      <w:bookmarkEnd w:id="248"/>
      <w:bookmarkEnd w:id="249"/>
      <w:bookmarkEnd w:id="250"/>
      <w:bookmarkEnd w:id="251"/>
    </w:p>
    <w:p w14:paraId="178B7671">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运行失控是指装置运行过程中偏离或超过了正常的工艺技术条件</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出现危险状态。故障是指设备、元件等在运行过程中由于性能低下而不能实现预期功能的现象。在生产过程中运行失控故障的发生是可能的，故障具有随机性和突发性，故障的发生一般是随机事件。造成故障发生的原因很复杂（如设计、制造、安装、腐蚀、疲劳、检查和检修保养、人员失误、环境及其它系统的影响等），但故障发生的规律是可知的，通过定期检查、维修、保养可使故障在预定期间内得到控制、避免、减少。</w:t>
      </w:r>
    </w:p>
    <w:p w14:paraId="59E7497E">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252" w:name="_Toc129520626"/>
      <w:bookmarkStart w:id="253" w:name="_Toc31794"/>
      <w:bookmarkStart w:id="254" w:name="_Toc1925"/>
      <w:bookmarkStart w:id="255" w:name="_Toc51340666"/>
      <w:bookmarkStart w:id="256" w:name="_Toc15921"/>
      <w:bookmarkStart w:id="257" w:name="_Toc54294432"/>
      <w:bookmarkStart w:id="258" w:name="_Toc12805"/>
      <w:bookmarkStart w:id="259" w:name="_Toc103178287"/>
      <w:bookmarkStart w:id="260" w:name="_Toc458245983"/>
      <w:bookmarkStart w:id="261" w:name="_Toc27973"/>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3.3.2人员失误</w:t>
      </w:r>
      <w:bookmarkEnd w:id="252"/>
      <w:bookmarkEnd w:id="253"/>
      <w:bookmarkEnd w:id="254"/>
      <w:bookmarkEnd w:id="255"/>
      <w:bookmarkEnd w:id="256"/>
      <w:bookmarkEnd w:id="257"/>
      <w:bookmarkEnd w:id="258"/>
      <w:bookmarkEnd w:id="259"/>
      <w:bookmarkEnd w:id="260"/>
      <w:bookmarkEnd w:id="261"/>
    </w:p>
    <w:p w14:paraId="6C3BFB9F">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人员失误系指不安全行为（指职工在劳动过程中违反劳动纪律、操作程序、方法等具有危险性</w:t>
      </w:r>
      <w:r>
        <w:rPr>
          <w:rFonts w:hint="eastAsia" w:ascii="宋体" w:hAnsi="宋体" w:eastAsia="宋体" w:cs="宋体"/>
          <w:color w:val="000000" w:themeColor="text1"/>
          <w:sz w:val="28"/>
          <w:szCs w:val="28"/>
          <w:lang w:eastAsia="zh-CN"/>
          <w14:textFill>
            <w14:solidFill>
              <w14:schemeClr w14:val="tx1"/>
            </w14:solidFill>
          </w14:textFill>
        </w:rPr>
        <w:t>的做法</w:t>
      </w:r>
      <w:r>
        <w:rPr>
          <w:rFonts w:hint="eastAsia" w:ascii="宋体" w:hAnsi="宋体" w:eastAsia="宋体" w:cs="宋体"/>
          <w:color w:val="000000" w:themeColor="text1"/>
          <w:sz w:val="28"/>
          <w:szCs w:val="28"/>
          <w14:textFill>
            <w14:solidFill>
              <w14:schemeClr w14:val="tx1"/>
            </w14:solidFill>
          </w14:textFill>
        </w:rPr>
        <w:t>）产生不良后果的行为。人员失误在生产过程中是不可避免的，它具有随机性和偶然性，往往是不可预测的意外行为。影响人员失误的因素很多，但发生人员失误的规律和失误率通过大量的观测、统计分析是可以预测的。</w:t>
      </w:r>
    </w:p>
    <w:p w14:paraId="0192F782">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262" w:name="_Toc24004"/>
      <w:bookmarkStart w:id="263" w:name="_Toc54294433"/>
      <w:bookmarkStart w:id="264" w:name="_Toc19594"/>
      <w:bookmarkStart w:id="265" w:name="_Toc10943"/>
      <w:bookmarkStart w:id="266" w:name="_Toc458245984"/>
      <w:bookmarkStart w:id="267" w:name="_Toc129520627"/>
      <w:bookmarkStart w:id="268" w:name="_Toc21793"/>
      <w:bookmarkStart w:id="269" w:name="_Toc103178288"/>
      <w:bookmarkStart w:id="270" w:name="_Toc51340667"/>
      <w:bookmarkStart w:id="271" w:name="_Toc17498"/>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3.3.3管理缺陷</w:t>
      </w:r>
      <w:bookmarkEnd w:id="262"/>
      <w:bookmarkEnd w:id="263"/>
      <w:bookmarkEnd w:id="264"/>
      <w:bookmarkEnd w:id="265"/>
      <w:bookmarkEnd w:id="266"/>
      <w:bookmarkEnd w:id="267"/>
      <w:bookmarkEnd w:id="268"/>
      <w:bookmarkEnd w:id="269"/>
      <w:bookmarkEnd w:id="270"/>
      <w:bookmarkEnd w:id="271"/>
    </w:p>
    <w:p w14:paraId="06F848CA">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安全管理是为保证及时、有效地实现既定的安全目标，是在预测、分析的基础上进行的计划、组织、协调、检查等工作，是预防故障和人员失误发生的有效手段，因此，管理缺陷是影响运行失控发生的重要因素。</w:t>
      </w:r>
    </w:p>
    <w:p w14:paraId="6BE2F25D">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272" w:name="_Toc7105"/>
      <w:bookmarkStart w:id="273" w:name="_Toc54294434"/>
      <w:bookmarkStart w:id="274" w:name="_Toc458245985"/>
      <w:bookmarkStart w:id="275" w:name="_Toc129520628"/>
      <w:bookmarkStart w:id="276" w:name="_Toc8544"/>
      <w:bookmarkStart w:id="277" w:name="_Toc51340668"/>
      <w:bookmarkStart w:id="278" w:name="_Toc29774"/>
      <w:bookmarkStart w:id="279" w:name="_Toc28956"/>
      <w:bookmarkStart w:id="280" w:name="_Toc103178289"/>
      <w:bookmarkStart w:id="281" w:name="_Toc9713"/>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3.3.4环境因素</w:t>
      </w:r>
      <w:bookmarkEnd w:id="272"/>
      <w:bookmarkEnd w:id="273"/>
      <w:bookmarkEnd w:id="274"/>
      <w:bookmarkEnd w:id="275"/>
      <w:bookmarkEnd w:id="276"/>
      <w:bookmarkEnd w:id="277"/>
      <w:bookmarkEnd w:id="278"/>
      <w:bookmarkEnd w:id="279"/>
      <w:bookmarkEnd w:id="280"/>
      <w:bookmarkEnd w:id="281"/>
    </w:p>
    <w:p w14:paraId="0381FB46">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不良环境的影响包括自然环境和作业环境。作业环境如温度、湿度、通风、照明、噪声、采光等因素的变化均可能导致人的情绪异常而引发误操作，从而引发事故；自然环境如风、雨、雷电、水文地质条件等均可能引发安全事故。</w:t>
      </w:r>
    </w:p>
    <w:bookmarkEnd w:id="227"/>
    <w:bookmarkEnd w:id="228"/>
    <w:bookmarkEnd w:id="229"/>
    <w:bookmarkEnd w:id="230"/>
    <w:bookmarkEnd w:id="231"/>
    <w:p w14:paraId="3ED96A98">
      <w:pPr>
        <w:pStyle w:val="3"/>
        <w:keepNext/>
        <w:keepLines/>
        <w:pageBreakBefore w:val="0"/>
        <w:widowControl w:val="0"/>
        <w:kinsoku/>
        <w:wordWrap/>
        <w:overflowPunct/>
        <w:topLinePunct w:val="0"/>
        <w:autoSpaceDE/>
        <w:autoSpaceDN/>
        <w:bidi w:val="0"/>
        <w:adjustRightInd/>
        <w:snapToGrid w:val="0"/>
        <w:spacing w:before="0" w:after="0" w:line="520" w:lineRule="exact"/>
        <w:jc w:val="both"/>
        <w:textAlignment w:val="auto"/>
        <w:rPr>
          <w:rFonts w:hint="eastAsia" w:ascii="宋体" w:hAnsi="宋体" w:eastAsia="宋体" w:cs="宋体"/>
          <w:color w:val="000000" w:themeColor="text1"/>
          <w:kern w:val="0"/>
          <w:lang w:val="en-US" w:eastAsia="zh-CN"/>
          <w14:textFill>
            <w14:solidFill>
              <w14:schemeClr w14:val="tx1"/>
            </w14:solidFill>
          </w14:textFill>
        </w:rPr>
      </w:pPr>
      <w:bookmarkStart w:id="282" w:name="_Toc7360"/>
      <w:bookmarkStart w:id="283" w:name="_Toc329728275"/>
      <w:bookmarkStart w:id="284" w:name="_Toc26114"/>
      <w:bookmarkStart w:id="285" w:name="_Toc32537"/>
      <w:bookmarkStart w:id="286" w:name="_Toc532203512"/>
      <w:bookmarkStart w:id="287" w:name="_Toc4324"/>
      <w:bookmarkStart w:id="288" w:name="_Toc16970"/>
      <w:bookmarkStart w:id="289" w:name="_Toc5400"/>
      <w:r>
        <w:rPr>
          <w:rFonts w:hint="eastAsia" w:ascii="宋体" w:hAnsi="宋体" w:eastAsia="宋体" w:cs="宋体"/>
          <w:color w:val="000000" w:themeColor="text1"/>
          <w:kern w:val="0"/>
          <w:lang w:val="en-US" w:eastAsia="zh-CN"/>
          <w14:textFill>
            <w14:solidFill>
              <w14:schemeClr w14:val="tx1"/>
            </w14:solidFill>
          </w14:textFill>
        </w:rPr>
        <w:t>3.4 主要危险、有害物质</w:t>
      </w:r>
      <w:bookmarkEnd w:id="282"/>
      <w:bookmarkEnd w:id="283"/>
      <w:bookmarkEnd w:id="284"/>
      <w:bookmarkEnd w:id="285"/>
      <w:bookmarkEnd w:id="286"/>
      <w:r>
        <w:rPr>
          <w:rFonts w:hint="eastAsia" w:ascii="宋体" w:hAnsi="宋体" w:eastAsia="宋体" w:cs="宋体"/>
          <w:color w:val="000000" w:themeColor="text1"/>
          <w:kern w:val="0"/>
          <w:lang w:val="en-US" w:eastAsia="zh-CN"/>
          <w14:textFill>
            <w14:solidFill>
              <w14:schemeClr w14:val="tx1"/>
            </w14:solidFill>
          </w14:textFill>
        </w:rPr>
        <w:t>辨识与分析</w:t>
      </w:r>
      <w:bookmarkEnd w:id="287"/>
      <w:bookmarkEnd w:id="288"/>
      <w:bookmarkEnd w:id="289"/>
    </w:p>
    <w:p w14:paraId="161AAA5E">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290" w:name="_Toc24094"/>
      <w:bookmarkStart w:id="291" w:name="_Toc9036"/>
      <w:bookmarkStart w:id="292" w:name="_Toc313453512"/>
      <w:bookmarkStart w:id="293" w:name="_Toc165"/>
      <w:bookmarkStart w:id="294" w:name="_Toc27785"/>
      <w:bookmarkStart w:id="295" w:name="_Toc344298869"/>
      <w:bookmarkStart w:id="296" w:name="_Toc30001389"/>
      <w:bookmarkStart w:id="297" w:name="_Toc61474411"/>
      <w:bookmarkStart w:id="298" w:name="_Toc29332"/>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3.4.1主要危险、有害物质辨识</w:t>
      </w:r>
      <w:bookmarkEnd w:id="290"/>
      <w:bookmarkEnd w:id="291"/>
      <w:bookmarkEnd w:id="292"/>
      <w:bookmarkEnd w:id="293"/>
      <w:bookmarkEnd w:id="294"/>
      <w:bookmarkEnd w:id="295"/>
      <w:bookmarkEnd w:id="296"/>
      <w:bookmarkEnd w:id="297"/>
      <w:bookmarkEnd w:id="298"/>
    </w:p>
    <w:p w14:paraId="5D78A84D">
      <w:pPr>
        <w:keepNext w:val="0"/>
        <w:keepLines w:val="0"/>
        <w:pageBreakBefore w:val="0"/>
        <w:widowControl w:val="0"/>
        <w:kinsoku/>
        <w:wordWrap/>
        <w:overflowPunct/>
        <w:topLinePunct/>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bookmarkStart w:id="299" w:name="_Toc313453513"/>
      <w:bookmarkStart w:id="300" w:name="_Toc225136744"/>
      <w:r>
        <w:rPr>
          <w:rFonts w:hint="eastAsia" w:ascii="宋体" w:hAnsi="宋体" w:eastAsia="宋体" w:cs="宋体"/>
          <w:color w:val="000000" w:themeColor="text1"/>
          <w:sz w:val="28"/>
          <w:szCs w:val="28"/>
          <w14:textFill>
            <w14:solidFill>
              <w14:schemeClr w14:val="tx1"/>
            </w14:solidFill>
          </w14:textFill>
        </w:rPr>
        <w:t>对</w:t>
      </w:r>
      <w:r>
        <w:rPr>
          <w:rFonts w:hint="eastAsia" w:ascii="宋体" w:hAnsi="宋体" w:eastAsia="宋体" w:cs="宋体"/>
          <w:color w:val="000000" w:themeColor="text1"/>
          <w:sz w:val="28"/>
          <w:szCs w:val="28"/>
          <w:lang w:val="en-US" w:eastAsia="zh-CN"/>
          <w14:textFill>
            <w14:solidFill>
              <w14:schemeClr w14:val="tx1"/>
            </w14:solidFill>
          </w14:textFill>
        </w:rPr>
        <w:t>玉溪正宇智能科技有限公司安全现状评价项目</w:t>
      </w:r>
      <w:r>
        <w:rPr>
          <w:rFonts w:hint="eastAsia" w:ascii="宋体" w:hAnsi="宋体" w:eastAsia="宋体" w:cs="宋体"/>
          <w:color w:val="000000" w:themeColor="text1"/>
          <w:sz w:val="28"/>
          <w:szCs w:val="28"/>
          <w14:textFill>
            <w14:solidFill>
              <w14:schemeClr w14:val="tx1"/>
            </w14:solidFill>
          </w14:textFill>
        </w:rPr>
        <w:t>进行分析后，本项目所涉及的主要危险、有害物质有：</w:t>
      </w:r>
    </w:p>
    <w:p w14:paraId="072B71BE">
      <w:pPr>
        <w:keepNext w:val="0"/>
        <w:keepLines w:val="0"/>
        <w:pageBreakBefore w:val="0"/>
        <w:widowControl w:val="0"/>
        <w:numPr>
          <w:ilvl w:val="0"/>
          <w:numId w:val="3"/>
        </w:numPr>
        <w:kinsoku/>
        <w:wordWrap/>
        <w:overflowPunct/>
        <w:topLinePunct/>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生产</w:t>
      </w:r>
      <w:r>
        <w:rPr>
          <w:rFonts w:hint="eastAsia" w:ascii="宋体" w:hAnsi="宋体" w:eastAsia="宋体" w:cs="宋体"/>
          <w:color w:val="000000" w:themeColor="text1"/>
          <w:sz w:val="28"/>
          <w:szCs w:val="28"/>
          <w14:textFill>
            <w14:solidFill>
              <w14:schemeClr w14:val="tx1"/>
            </w14:solidFill>
          </w14:textFill>
        </w:rPr>
        <w:t>过程使用的压缩空气；</w:t>
      </w:r>
    </w:p>
    <w:p w14:paraId="5642606F">
      <w:pPr>
        <w:keepNext w:val="0"/>
        <w:keepLines w:val="0"/>
        <w:pageBreakBefore w:val="0"/>
        <w:widowControl w:val="0"/>
        <w:numPr>
          <w:ilvl w:val="0"/>
          <w:numId w:val="3"/>
        </w:numPr>
        <w:kinsoku/>
        <w:wordWrap/>
        <w:overflowPunct/>
        <w:topLinePunct/>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生产过程中使用的柴油。</w:t>
      </w:r>
    </w:p>
    <w:p w14:paraId="28810986">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301" w:name="_Toc11202"/>
      <w:bookmarkStart w:id="302" w:name="_Toc344298870"/>
      <w:bookmarkStart w:id="303" w:name="_Toc61474412"/>
      <w:bookmarkStart w:id="304" w:name="_Toc30050"/>
      <w:bookmarkStart w:id="305" w:name="_Toc11687"/>
      <w:bookmarkStart w:id="306" w:name="_Toc30001390"/>
      <w:bookmarkStart w:id="307" w:name="_Toc8493"/>
      <w:bookmarkStart w:id="308" w:name="_Toc25912"/>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3.4.2危险化学品辨识</w:t>
      </w:r>
      <w:bookmarkEnd w:id="299"/>
      <w:bookmarkEnd w:id="300"/>
      <w:bookmarkEnd w:id="301"/>
      <w:bookmarkEnd w:id="302"/>
      <w:bookmarkEnd w:id="303"/>
      <w:bookmarkEnd w:id="304"/>
      <w:bookmarkEnd w:id="305"/>
      <w:bookmarkEnd w:id="306"/>
      <w:bookmarkEnd w:id="307"/>
      <w:bookmarkEnd w:id="308"/>
    </w:p>
    <w:p w14:paraId="42E62182">
      <w:pPr>
        <w:pStyle w:val="5"/>
        <w:keepNext w:val="0"/>
        <w:keepLines w:val="0"/>
        <w:pageBreakBefore w:val="0"/>
        <w:widowControl w:val="0"/>
        <w:kinsoku/>
        <w:wordWrap/>
        <w:overflowPunct/>
        <w:topLinePunct w:val="0"/>
        <w:autoSpaceDE/>
        <w:autoSpaceDN/>
        <w:bidi w:val="0"/>
        <w:adjustRightInd/>
        <w:snapToGrid w:val="0"/>
        <w:spacing w:line="520" w:lineRule="exact"/>
        <w:ind w:firstLine="0" w:firstLineChars="0"/>
        <w:jc w:val="both"/>
        <w:textAlignment w:val="auto"/>
        <w:rPr>
          <w:rFonts w:hint="eastAsia" w:ascii="宋体" w:hAnsi="宋体" w:eastAsia="宋体" w:cs="宋体"/>
          <w:color w:val="000000" w:themeColor="text1"/>
          <w:kern w:val="0"/>
          <w14:textFill>
            <w14:solidFill>
              <w14:schemeClr w14:val="tx1"/>
            </w14:solidFill>
          </w14:textFill>
        </w:rPr>
      </w:pPr>
      <w:bookmarkStart w:id="309" w:name="_Toc344298871"/>
      <w:r>
        <w:rPr>
          <w:rFonts w:hint="eastAsia" w:ascii="宋体" w:hAnsi="宋体" w:eastAsia="宋体" w:cs="宋体"/>
          <w:color w:val="000000" w:themeColor="text1"/>
          <w:kern w:val="0"/>
          <w14:textFill>
            <w14:solidFill>
              <w14:schemeClr w14:val="tx1"/>
            </w14:solidFill>
          </w14:textFill>
        </w:rPr>
        <w:t>3.4.2.1危险化学品辨识</w:t>
      </w:r>
      <w:bookmarkEnd w:id="309"/>
    </w:p>
    <w:p w14:paraId="51246426">
      <w:pPr>
        <w:adjustRightInd w:val="0"/>
        <w:snapToGrid w:val="0"/>
        <w:spacing w:line="500" w:lineRule="exact"/>
        <w:ind w:firstLine="560" w:firstLineChars="200"/>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依据《危险化学品目录（2</w:t>
      </w:r>
      <w:r>
        <w:rPr>
          <w:rFonts w:hint="eastAsia" w:ascii="宋体" w:hAnsi="宋体" w:eastAsia="宋体" w:cs="宋体"/>
          <w:color w:val="000000" w:themeColor="text1"/>
          <w:sz w:val="28"/>
          <w:szCs w:val="28"/>
          <w:lang w:val="en-US" w:eastAsia="zh-CN"/>
          <w14:textFill>
            <w14:solidFill>
              <w14:schemeClr w14:val="tx1"/>
            </w14:solidFill>
          </w14:textFill>
        </w:rPr>
        <w:t>022调整版</w:t>
      </w:r>
      <w:r>
        <w:rPr>
          <w:rFonts w:hint="eastAsia" w:ascii="宋体" w:hAnsi="宋体" w:eastAsia="宋体" w:cs="宋体"/>
          <w:color w:val="000000" w:themeColor="text1"/>
          <w:sz w:val="28"/>
          <w:szCs w:val="28"/>
          <w14:textFill>
            <w14:solidFill>
              <w14:schemeClr w14:val="tx1"/>
            </w14:solidFill>
          </w14:textFill>
        </w:rPr>
        <w:t>）》（原国家安全生产监督管理总局等十部委公告20</w:t>
      </w:r>
      <w:r>
        <w:rPr>
          <w:rFonts w:hint="eastAsia" w:ascii="宋体" w:hAnsi="宋体" w:eastAsia="宋体" w:cs="宋体"/>
          <w:color w:val="000000" w:themeColor="text1"/>
          <w:sz w:val="28"/>
          <w:szCs w:val="28"/>
          <w:lang w:val="en-US" w:eastAsia="zh-CN"/>
          <w14:textFill>
            <w14:solidFill>
              <w14:schemeClr w14:val="tx1"/>
            </w14:solidFill>
          </w14:textFill>
        </w:rPr>
        <w:t>22</w:t>
      </w:r>
      <w:r>
        <w:rPr>
          <w:rFonts w:hint="eastAsia" w:ascii="宋体" w:hAnsi="宋体" w:eastAsia="宋体" w:cs="宋体"/>
          <w:color w:val="000000" w:themeColor="text1"/>
          <w:sz w:val="28"/>
          <w:szCs w:val="28"/>
          <w14:textFill>
            <w14:solidFill>
              <w14:schemeClr w14:val="tx1"/>
            </w14:solidFill>
          </w14:textFill>
        </w:rPr>
        <w:t>年第</w:t>
      </w:r>
      <w:r>
        <w:rPr>
          <w:rFonts w:hint="eastAsia" w:ascii="宋体" w:hAnsi="宋体" w:eastAsia="宋体" w:cs="宋体"/>
          <w:color w:val="000000" w:themeColor="text1"/>
          <w:sz w:val="28"/>
          <w:szCs w:val="28"/>
          <w:lang w:val="en-US" w:eastAsia="zh-CN"/>
          <w14:textFill>
            <w14:solidFill>
              <w14:schemeClr w14:val="tx1"/>
            </w14:solidFill>
          </w14:textFill>
        </w:rPr>
        <w:t>8</w:t>
      </w:r>
      <w:r>
        <w:rPr>
          <w:rFonts w:hint="eastAsia" w:ascii="宋体" w:hAnsi="宋体" w:eastAsia="宋体" w:cs="宋体"/>
          <w:color w:val="000000" w:themeColor="text1"/>
          <w:sz w:val="28"/>
          <w:szCs w:val="28"/>
          <w14:textFill>
            <w14:solidFill>
              <w14:schemeClr w14:val="tx1"/>
            </w14:solidFill>
          </w14:textFill>
        </w:rPr>
        <w:t>号）</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《国家安全监管总局办公厅关于印发危险化学品目录（2015版）实施指南（试行）的通知》（安监总厅管三〔2015〕80号）判别判定可知，</w:t>
      </w:r>
      <w:r>
        <w:rPr>
          <w:rFonts w:hint="eastAsia" w:ascii="宋体" w:hAnsi="宋体" w:eastAsia="宋体" w:cs="宋体"/>
          <w:color w:val="000000" w:themeColor="text1"/>
          <w:sz w:val="28"/>
          <w:szCs w:val="28"/>
          <w:lang w:val="en-US" w:eastAsia="zh-CN"/>
          <w14:textFill>
            <w14:solidFill>
              <w14:schemeClr w14:val="tx1"/>
            </w14:solidFill>
          </w14:textFill>
        </w:rPr>
        <w:t>玉溪正宇智能科技有限公司安全现状评价项目</w:t>
      </w:r>
      <w:r>
        <w:rPr>
          <w:rFonts w:hint="eastAsia" w:ascii="宋体" w:hAnsi="宋体" w:eastAsia="宋体" w:cs="宋体"/>
          <w:color w:val="000000" w:themeColor="text1"/>
          <w:sz w:val="28"/>
          <w:szCs w:val="28"/>
          <w14:textFill>
            <w14:solidFill>
              <w14:schemeClr w14:val="tx1"/>
            </w14:solidFill>
          </w14:textFill>
        </w:rPr>
        <w:t>正常运行过程中涉及</w:t>
      </w:r>
      <w:r>
        <w:rPr>
          <w:rFonts w:hint="eastAsia" w:ascii="宋体" w:hAnsi="宋体" w:eastAsia="宋体" w:cs="宋体"/>
          <w:color w:val="000000" w:themeColor="text1"/>
          <w:sz w:val="28"/>
          <w:szCs w:val="28"/>
          <w:lang w:eastAsia="zh-CN"/>
          <w14:textFill>
            <w14:solidFill>
              <w14:schemeClr w14:val="tx1"/>
            </w14:solidFill>
          </w14:textFill>
        </w:rPr>
        <w:t>的</w:t>
      </w:r>
      <w:r>
        <w:rPr>
          <w:rFonts w:hint="eastAsia" w:ascii="宋体" w:hAnsi="宋体" w:eastAsia="宋体" w:cs="宋体"/>
          <w:color w:val="000000" w:themeColor="text1"/>
          <w:sz w:val="28"/>
          <w:szCs w:val="28"/>
          <w14:textFill>
            <w14:solidFill>
              <w14:schemeClr w14:val="tx1"/>
            </w14:solidFill>
          </w14:textFill>
        </w:rPr>
        <w:t>危险化学品</w:t>
      </w:r>
      <w:r>
        <w:rPr>
          <w:rFonts w:hint="eastAsia" w:ascii="宋体" w:hAnsi="宋体" w:eastAsia="宋体" w:cs="宋体"/>
          <w:color w:val="000000" w:themeColor="text1"/>
          <w:sz w:val="28"/>
          <w:szCs w:val="28"/>
          <w:lang w:val="en-US" w:eastAsia="zh-CN"/>
          <w14:textFill>
            <w14:solidFill>
              <w14:schemeClr w14:val="tx1"/>
            </w14:solidFill>
          </w14:textFill>
        </w:rPr>
        <w:t>有：柴油。</w:t>
      </w:r>
    </w:p>
    <w:p w14:paraId="172617AF">
      <w:pPr>
        <w:pStyle w:val="5"/>
        <w:keepNext w:val="0"/>
        <w:keepLines w:val="0"/>
        <w:pageBreakBefore w:val="0"/>
        <w:widowControl w:val="0"/>
        <w:kinsoku/>
        <w:wordWrap/>
        <w:overflowPunct/>
        <w:topLinePunct w:val="0"/>
        <w:autoSpaceDE/>
        <w:autoSpaceDN/>
        <w:bidi w:val="0"/>
        <w:adjustRightInd/>
        <w:snapToGrid w:val="0"/>
        <w:spacing w:line="520" w:lineRule="exact"/>
        <w:ind w:firstLine="0" w:firstLineChars="0"/>
        <w:jc w:val="both"/>
        <w:textAlignment w:val="auto"/>
        <w:rPr>
          <w:rFonts w:hint="eastAsia" w:ascii="宋体" w:hAnsi="宋体" w:eastAsia="宋体" w:cs="宋体"/>
          <w:color w:val="000000" w:themeColor="text1"/>
          <w:kern w:val="0"/>
          <w14:textFill>
            <w14:solidFill>
              <w14:schemeClr w14:val="tx1"/>
            </w14:solidFill>
          </w14:textFill>
        </w:rPr>
      </w:pPr>
      <w:bookmarkStart w:id="310" w:name="_Toc344298872"/>
      <w:r>
        <w:rPr>
          <w:rFonts w:hint="eastAsia" w:ascii="宋体" w:hAnsi="宋体" w:eastAsia="宋体" w:cs="宋体"/>
          <w:color w:val="000000" w:themeColor="text1"/>
          <w:kern w:val="0"/>
          <w14:textFill>
            <w14:solidFill>
              <w14:schemeClr w14:val="tx1"/>
            </w14:solidFill>
          </w14:textFill>
        </w:rPr>
        <w:t>3.4.2.2剧毒品、易制毒品、监控化学品及重点监管危险化学品辨识</w:t>
      </w:r>
      <w:bookmarkEnd w:id="310"/>
    </w:p>
    <w:p w14:paraId="1275FDEF">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根据</w:t>
      </w:r>
      <w:r>
        <w:rPr>
          <w:rFonts w:hint="eastAsia" w:ascii="宋体" w:hAnsi="宋体" w:eastAsia="宋体" w:cs="宋体"/>
          <w:color w:val="000000" w:themeColor="text1"/>
          <w:sz w:val="28"/>
          <w:szCs w:val="21"/>
          <w14:textFill>
            <w14:solidFill>
              <w14:schemeClr w14:val="tx1"/>
            </w14:solidFill>
          </w14:textFill>
        </w:rPr>
        <w:t>《危险化学品目录（2022调整版）》</w:t>
      </w:r>
      <w:r>
        <w:rPr>
          <w:rFonts w:hint="eastAsia" w:ascii="宋体" w:hAnsi="宋体" w:eastAsia="宋体" w:cs="宋体"/>
          <w:color w:val="000000" w:themeColor="text1"/>
          <w:sz w:val="28"/>
          <w:szCs w:val="28"/>
          <w14:textFill>
            <w14:solidFill>
              <w14:schemeClr w14:val="tx1"/>
            </w14:solidFill>
          </w14:textFill>
        </w:rPr>
        <w:t>的相关规定，该项目在生产过程中未涉及剧毒化学品。</w:t>
      </w:r>
    </w:p>
    <w:p w14:paraId="64E209D5">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根据《易制毒化学品管理条例》（国务院令第445号，根据国务院第666号令修改）、《非药品类易制毒化学品生产、经营许可办法》（国家安全生产监督管理总局令第5号）、《国务院办公厅关于同意将N-苯乙基-4-哌啶酮、4-苯胺基-N-苯乙基哌啶、N-甲基-1-苯基-1-氯-2-丙胺、溴素、1-苯基-1-丙酮列入易制毒化学品品种目录的函》（国办函〔2017）120号）的相关规定，该项目在生产过程中未涉及易制毒化学品。</w:t>
      </w:r>
    </w:p>
    <w:p w14:paraId="6E3FFB3C">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根据《易制爆危险化学品名录（2017版）》，该项目在生产过程中未涉及易制爆危险化学品。</w:t>
      </w:r>
    </w:p>
    <w:p w14:paraId="2A103CB4">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根据《中华人民共和国监控化学品管理条例》</w:t>
      </w:r>
      <w:r>
        <w:rPr>
          <w:rFonts w:hint="eastAsia" w:ascii="宋体" w:hAnsi="宋体" w:eastAsia="宋体" w:cs="宋体"/>
          <w:color w:val="000000" w:themeColor="text1"/>
          <w:kern w:val="0"/>
          <w:sz w:val="28"/>
          <w:szCs w:val="28"/>
          <w14:textFill>
            <w14:solidFill>
              <w14:schemeClr w14:val="tx1"/>
            </w14:solidFill>
          </w14:textFill>
        </w:rPr>
        <w:t>（</w:t>
      </w:r>
      <w:r>
        <w:rPr>
          <w:rFonts w:hint="eastAsia" w:ascii="宋体" w:hAnsi="宋体" w:eastAsia="宋体" w:cs="宋体"/>
          <w:color w:val="000000" w:themeColor="text1"/>
          <w:sz w:val="28"/>
          <w:szCs w:val="20"/>
          <w14:textFill>
            <w14:solidFill>
              <w14:schemeClr w14:val="tx1"/>
            </w14:solidFill>
          </w14:textFill>
        </w:rPr>
        <w:t>中华人民共和国国务院令第190号公布，中华人民共和国国务院令第588号修订）</w:t>
      </w:r>
      <w:r>
        <w:rPr>
          <w:rFonts w:hint="eastAsia" w:ascii="宋体" w:hAnsi="宋体" w:eastAsia="宋体" w:cs="宋体"/>
          <w:color w:val="000000" w:themeColor="text1"/>
          <w:sz w:val="28"/>
          <w:szCs w:val="28"/>
          <w14:textFill>
            <w14:solidFill>
              <w14:schemeClr w14:val="tx1"/>
            </w14:solidFill>
          </w14:textFill>
        </w:rPr>
        <w:t>，该项目在生产过程中未涉及监控化学品。</w:t>
      </w:r>
    </w:p>
    <w:p w14:paraId="77F5045C">
      <w:pPr>
        <w:adjustRightInd w:val="0"/>
        <w:snapToGrid w:val="0"/>
        <w:spacing w:line="500" w:lineRule="exact"/>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根据《国家安全监管总局关于公布首批重点监管的危险化学品名录的通知》（安监总管三〔2011〕95号）、《国家安全监管总局关于公布第二批重点监管危险化学品名录的通知》（安监总管三〔2013〕12号）</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《危险化学品目录》（2022调整版）</w:t>
      </w:r>
      <w:r>
        <w:rPr>
          <w:rFonts w:hint="eastAsia" w:ascii="宋体" w:hAnsi="宋体" w:eastAsia="宋体" w:cs="宋体"/>
          <w:color w:val="000000" w:themeColor="text1"/>
          <w:sz w:val="28"/>
          <w:szCs w:val="28"/>
          <w14:textFill>
            <w14:solidFill>
              <w14:schemeClr w14:val="tx1"/>
            </w14:solidFill>
          </w14:textFill>
        </w:rPr>
        <w:t>进行判定，该项目在生产过程中</w:t>
      </w:r>
      <w:r>
        <w:rPr>
          <w:rFonts w:hint="eastAsia" w:ascii="宋体" w:hAnsi="宋体" w:eastAsia="宋体" w:cs="宋体"/>
          <w:color w:val="000000" w:themeColor="text1"/>
          <w:sz w:val="28"/>
          <w:szCs w:val="28"/>
          <w:lang w:val="en-US" w:eastAsia="zh-CN"/>
          <w14:textFill>
            <w14:solidFill>
              <w14:schemeClr w14:val="tx1"/>
            </w14:solidFill>
          </w14:textFill>
        </w:rPr>
        <w:t>未</w:t>
      </w:r>
      <w:r>
        <w:rPr>
          <w:rFonts w:hint="eastAsia" w:ascii="宋体" w:hAnsi="宋体" w:eastAsia="宋体" w:cs="宋体"/>
          <w:color w:val="000000" w:themeColor="text1"/>
          <w:sz w:val="28"/>
          <w:szCs w:val="28"/>
          <w14:textFill>
            <w14:solidFill>
              <w14:schemeClr w14:val="tx1"/>
            </w14:solidFill>
          </w14:textFill>
        </w:rPr>
        <w:t>涉及危险化学品</w:t>
      </w:r>
      <w:r>
        <w:rPr>
          <w:rFonts w:hint="eastAsia" w:ascii="宋体" w:hAnsi="宋体" w:eastAsia="宋体" w:cs="宋体"/>
          <w:color w:val="000000" w:themeColor="text1"/>
          <w:sz w:val="28"/>
          <w:szCs w:val="28"/>
          <w:lang w:val="en-US" w:eastAsia="zh-CN"/>
          <w14:textFill>
            <w14:solidFill>
              <w14:schemeClr w14:val="tx1"/>
            </w14:solidFill>
          </w14:textFill>
        </w:rPr>
        <w:t>。</w:t>
      </w:r>
    </w:p>
    <w:p w14:paraId="6CCF2504">
      <w:pPr>
        <w:adjustRightInd w:val="0"/>
        <w:snapToGrid w:val="0"/>
        <w:spacing w:line="500" w:lineRule="exact"/>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综上所述，该项目未涉及监控化学品，未涉及易制毒化学品，未涉及剧毒化学品，未涉及易制爆危险化学品</w:t>
      </w:r>
      <w:r>
        <w:rPr>
          <w:rFonts w:hint="eastAsia" w:ascii="宋体" w:hAnsi="宋体" w:eastAsia="宋体" w:cs="宋体"/>
          <w:color w:val="000000" w:themeColor="text1"/>
          <w:sz w:val="28"/>
          <w:szCs w:val="28"/>
          <w:lang w:eastAsia="zh-CN"/>
          <w14:textFill>
            <w14:solidFill>
              <w14:schemeClr w14:val="tx1"/>
            </w14:solidFill>
          </w14:textFill>
        </w:rPr>
        <w:t>。</w:t>
      </w:r>
    </w:p>
    <w:p w14:paraId="3C7FC917">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default" w:ascii="宋体" w:hAnsi="宋体" w:eastAsia="宋体" w:cs="宋体"/>
          <w:snapToGrid w:val="0"/>
          <w:color w:val="000000" w:themeColor="text1"/>
          <w:kern w:val="0"/>
          <w:sz w:val="28"/>
          <w:szCs w:val="28"/>
          <w:lang w:val="en-US" w:eastAsia="zh-CN"/>
          <w14:textFill>
            <w14:solidFill>
              <w14:schemeClr w14:val="tx1"/>
            </w14:solidFill>
          </w14:textFill>
        </w:rPr>
      </w:pPr>
      <w:bookmarkStart w:id="311" w:name="_Toc532203513"/>
      <w:bookmarkStart w:id="312" w:name="_Toc9831"/>
      <w:bookmarkStart w:id="313" w:name="_Toc11387"/>
      <w:bookmarkStart w:id="314" w:name="_Toc30382"/>
      <w:bookmarkStart w:id="315" w:name="_Toc18995"/>
      <w:bookmarkStart w:id="316" w:name="_Toc2097"/>
      <w:r>
        <w:rPr>
          <w:rFonts w:hint="default" w:ascii="宋体" w:hAnsi="宋体" w:eastAsia="宋体" w:cs="宋体"/>
          <w:snapToGrid w:val="0"/>
          <w:color w:val="000000" w:themeColor="text1"/>
          <w:kern w:val="0"/>
          <w:sz w:val="28"/>
          <w:szCs w:val="28"/>
          <w:lang w:val="en-US" w:eastAsia="zh-CN"/>
          <w14:textFill>
            <w14:solidFill>
              <w14:schemeClr w14:val="tx1"/>
            </w14:solidFill>
          </w14:textFill>
        </w:rPr>
        <w:t>3.4.</w:t>
      </w:r>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 xml:space="preserve">3 </w:t>
      </w:r>
      <w:bookmarkEnd w:id="311"/>
      <w:bookmarkEnd w:id="312"/>
      <w:bookmarkEnd w:id="313"/>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危险物质理化特性</w:t>
      </w:r>
      <w:bookmarkEnd w:id="314"/>
      <w:bookmarkEnd w:id="315"/>
      <w:bookmarkEnd w:id="316"/>
    </w:p>
    <w:p w14:paraId="0F2C1E29">
      <w:pPr>
        <w:keepNext/>
        <w:keepLines/>
        <w:pageBreakBefore w:val="0"/>
        <w:widowControl w:val="0"/>
        <w:tabs>
          <w:tab w:val="left" w:pos="2924"/>
          <w:tab w:val="center" w:pos="4522"/>
        </w:tabs>
        <w:kinsoku/>
        <w:wordWrap/>
        <w:overflowPunct/>
        <w:topLinePunct w:val="0"/>
        <w:autoSpaceDE/>
        <w:autoSpaceDN/>
        <w:bidi w:val="0"/>
        <w:adjustRightInd w:val="0"/>
        <w:snapToGrid w:val="0"/>
        <w:spacing w:line="520" w:lineRule="exact"/>
        <w:jc w:val="center"/>
        <w:textAlignment w:val="auto"/>
        <w:rPr>
          <w:rFonts w:hint="eastAsia" w:ascii="宋体" w:hAnsi="宋体" w:eastAsia="宋体" w:cs="宋体"/>
          <w:b/>
          <w:bCs/>
          <w:color w:val="000000" w:themeColor="text1"/>
          <w:sz w:val="24"/>
          <w:szCs w:val="24"/>
          <w:lang w:val="zh-CN"/>
          <w14:textFill>
            <w14:solidFill>
              <w14:schemeClr w14:val="tx1"/>
            </w14:solidFill>
          </w14:textFill>
        </w:rPr>
      </w:pPr>
      <w:r>
        <w:rPr>
          <w:rFonts w:hint="eastAsia" w:ascii="宋体" w:hAnsi="宋体" w:eastAsia="宋体" w:cs="宋体"/>
          <w:b/>
          <w:bCs/>
          <w:color w:val="000000" w:themeColor="text1"/>
          <w:sz w:val="24"/>
          <w:szCs w:val="24"/>
          <w:lang w:val="zh-CN"/>
          <w14:textFill>
            <w14:solidFill>
              <w14:schemeClr w14:val="tx1"/>
            </w14:solidFill>
          </w14:textFill>
        </w:rPr>
        <w:t>表</w:t>
      </w:r>
      <w:r>
        <w:rPr>
          <w:rFonts w:hint="eastAsia" w:ascii="宋体" w:hAnsi="宋体" w:eastAsia="宋体" w:cs="宋体"/>
          <w:b/>
          <w:bCs/>
          <w:color w:val="000000" w:themeColor="text1"/>
          <w:sz w:val="24"/>
          <w:szCs w:val="24"/>
          <w14:textFill>
            <w14:solidFill>
              <w14:schemeClr w14:val="tx1"/>
            </w14:solidFill>
          </w14:textFill>
        </w:rPr>
        <w:t xml:space="preserve">3-1 </w:t>
      </w:r>
      <w:r>
        <w:rPr>
          <w:rFonts w:hint="eastAsia" w:ascii="宋体" w:hAnsi="宋体" w:eastAsia="宋体" w:cs="宋体"/>
          <w:b/>
          <w:bCs/>
          <w:color w:val="000000" w:themeColor="text1"/>
          <w:sz w:val="24"/>
          <w:szCs w:val="24"/>
          <w:lang w:val="en-US" w:eastAsia="zh-CN"/>
          <w14:textFill>
            <w14:solidFill>
              <w14:schemeClr w14:val="tx1"/>
            </w14:solidFill>
          </w14:textFill>
        </w:rPr>
        <w:t>柴油的</w:t>
      </w:r>
      <w:r>
        <w:rPr>
          <w:rFonts w:hint="eastAsia" w:ascii="宋体" w:hAnsi="宋体" w:eastAsia="宋体" w:cs="宋体"/>
          <w:b/>
          <w:bCs/>
          <w:color w:val="000000" w:themeColor="text1"/>
          <w:sz w:val="24"/>
          <w:szCs w:val="24"/>
          <w:lang w:val="zh-CN"/>
          <w14:textFill>
            <w14:solidFill>
              <w14:schemeClr w14:val="tx1"/>
            </w14:solidFill>
          </w14:textFill>
        </w:rPr>
        <w:t>理化特性表</w:t>
      </w:r>
    </w:p>
    <w:tbl>
      <w:tblPr>
        <w:tblStyle w:val="24"/>
        <w:tblW w:w="8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735"/>
        <w:gridCol w:w="490"/>
        <w:gridCol w:w="1403"/>
        <w:gridCol w:w="1458"/>
        <w:gridCol w:w="3107"/>
      </w:tblGrid>
      <w:tr w14:paraId="356D2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67" w:type="dxa"/>
            <w:shd w:val="clear" w:color="auto" w:fill="auto"/>
            <w:vAlign w:val="center"/>
          </w:tcPr>
          <w:p w14:paraId="5B3ED4B6">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品名</w:t>
            </w:r>
          </w:p>
        </w:tc>
        <w:tc>
          <w:tcPr>
            <w:tcW w:w="3628" w:type="dxa"/>
            <w:gridSpan w:val="3"/>
            <w:shd w:val="clear" w:color="auto" w:fill="auto"/>
            <w:vAlign w:val="center"/>
          </w:tcPr>
          <w:p w14:paraId="437EAD79">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柴油</w:t>
            </w:r>
          </w:p>
        </w:tc>
        <w:tc>
          <w:tcPr>
            <w:tcW w:w="1458" w:type="dxa"/>
            <w:shd w:val="clear" w:color="auto" w:fill="auto"/>
            <w:vAlign w:val="center"/>
          </w:tcPr>
          <w:p w14:paraId="3D953A56">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别名</w:t>
            </w:r>
          </w:p>
        </w:tc>
        <w:tc>
          <w:tcPr>
            <w:tcW w:w="3107" w:type="dxa"/>
            <w:shd w:val="clear" w:color="auto" w:fill="auto"/>
            <w:vAlign w:val="center"/>
          </w:tcPr>
          <w:p w14:paraId="5F0A994B">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eastAsia" w:ascii="宋体" w:hAnsi="宋体" w:eastAsia="宋体" w:cs="宋体"/>
                <w:color w:val="000000" w:themeColor="text1"/>
                <w:spacing w:val="-12"/>
                <w:sz w:val="21"/>
                <w:szCs w:val="21"/>
                <w14:textFill>
                  <w14:solidFill>
                    <w14:schemeClr w14:val="tx1"/>
                  </w14:solidFill>
                </w14:textFill>
              </w:rPr>
            </w:pPr>
          </w:p>
        </w:tc>
      </w:tr>
      <w:tr w14:paraId="7E91D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67" w:type="dxa"/>
            <w:vMerge w:val="restart"/>
            <w:shd w:val="clear" w:color="auto" w:fill="auto"/>
            <w:vAlign w:val="center"/>
          </w:tcPr>
          <w:p w14:paraId="7B882359">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理化</w:t>
            </w:r>
          </w:p>
          <w:p w14:paraId="08A44619">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性质</w:t>
            </w:r>
          </w:p>
        </w:tc>
        <w:tc>
          <w:tcPr>
            <w:tcW w:w="2225" w:type="dxa"/>
            <w:gridSpan w:val="2"/>
            <w:shd w:val="clear" w:color="auto" w:fill="auto"/>
            <w:vAlign w:val="center"/>
          </w:tcPr>
          <w:p w14:paraId="39995296">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闪点</w:t>
            </w:r>
          </w:p>
        </w:tc>
        <w:tc>
          <w:tcPr>
            <w:tcW w:w="1403" w:type="dxa"/>
            <w:shd w:val="clear" w:color="auto" w:fill="auto"/>
            <w:vAlign w:val="center"/>
          </w:tcPr>
          <w:p w14:paraId="4E5EDF37">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lang w:val="en-US" w:eastAsia="zh-CN"/>
                <w14:textFill>
                  <w14:solidFill>
                    <w14:schemeClr w14:val="tx1"/>
                  </w14:solidFill>
                </w14:textFill>
              </w:rPr>
              <w:t>60-90</w:t>
            </w:r>
            <w:r>
              <w:rPr>
                <w:rFonts w:hint="eastAsia" w:ascii="宋体" w:hAnsi="宋体" w:eastAsia="宋体" w:cs="宋体"/>
                <w:color w:val="000000" w:themeColor="text1"/>
                <w:spacing w:val="-12"/>
                <w:sz w:val="21"/>
                <w:szCs w:val="21"/>
                <w14:textFill>
                  <w14:solidFill>
                    <w14:schemeClr w14:val="tx1"/>
                  </w14:solidFill>
                </w14:textFill>
              </w:rPr>
              <w:t>℃</w:t>
            </w:r>
          </w:p>
        </w:tc>
        <w:tc>
          <w:tcPr>
            <w:tcW w:w="1458" w:type="dxa"/>
            <w:shd w:val="clear" w:color="auto" w:fill="auto"/>
            <w:vAlign w:val="center"/>
          </w:tcPr>
          <w:p w14:paraId="503BD3AF">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沸点</w:t>
            </w:r>
          </w:p>
        </w:tc>
        <w:tc>
          <w:tcPr>
            <w:tcW w:w="3107" w:type="dxa"/>
            <w:shd w:val="clear" w:color="auto" w:fill="auto"/>
            <w:vAlign w:val="center"/>
          </w:tcPr>
          <w:p w14:paraId="4CB7EED2">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1</w:t>
            </w:r>
            <w:r>
              <w:rPr>
                <w:rFonts w:hint="eastAsia" w:ascii="宋体" w:hAnsi="宋体" w:eastAsia="宋体" w:cs="宋体"/>
                <w:color w:val="000000" w:themeColor="text1"/>
                <w:spacing w:val="-12"/>
                <w:sz w:val="21"/>
                <w:szCs w:val="21"/>
                <w:lang w:val="en-US" w:eastAsia="zh-CN"/>
                <w14:textFill>
                  <w14:solidFill>
                    <w14:schemeClr w14:val="tx1"/>
                  </w14:solidFill>
                </w14:textFill>
              </w:rPr>
              <w:t>8</w:t>
            </w:r>
            <w:r>
              <w:rPr>
                <w:rFonts w:hint="eastAsia" w:ascii="宋体" w:hAnsi="宋体" w:eastAsia="宋体" w:cs="宋体"/>
                <w:color w:val="000000" w:themeColor="text1"/>
                <w:spacing w:val="-12"/>
                <w:sz w:val="21"/>
                <w:szCs w:val="21"/>
                <w14:textFill>
                  <w14:solidFill>
                    <w14:schemeClr w14:val="tx1"/>
                  </w14:solidFill>
                </w14:textFill>
              </w:rPr>
              <w:t>0-3</w:t>
            </w:r>
            <w:r>
              <w:rPr>
                <w:rFonts w:hint="eastAsia" w:ascii="宋体" w:hAnsi="宋体" w:eastAsia="宋体" w:cs="宋体"/>
                <w:color w:val="000000" w:themeColor="text1"/>
                <w:spacing w:val="-12"/>
                <w:sz w:val="21"/>
                <w:szCs w:val="21"/>
                <w:lang w:val="en-US" w:eastAsia="zh-CN"/>
                <w14:textFill>
                  <w14:solidFill>
                    <w14:schemeClr w14:val="tx1"/>
                  </w14:solidFill>
                </w14:textFill>
              </w:rPr>
              <w:t>6</w:t>
            </w:r>
            <w:r>
              <w:rPr>
                <w:rFonts w:hint="eastAsia" w:ascii="宋体" w:hAnsi="宋体" w:eastAsia="宋体" w:cs="宋体"/>
                <w:color w:val="000000" w:themeColor="text1"/>
                <w:spacing w:val="-12"/>
                <w:sz w:val="21"/>
                <w:szCs w:val="21"/>
                <w14:textFill>
                  <w14:solidFill>
                    <w14:schemeClr w14:val="tx1"/>
                  </w14:solidFill>
                </w14:textFill>
              </w:rPr>
              <w:t>0℃</w:t>
            </w:r>
          </w:p>
        </w:tc>
      </w:tr>
      <w:tr w14:paraId="1329E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67" w:type="dxa"/>
            <w:vMerge w:val="continue"/>
            <w:shd w:val="clear" w:color="auto" w:fill="auto"/>
            <w:vAlign w:val="center"/>
          </w:tcPr>
          <w:p w14:paraId="2DB1D74E">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eastAsia" w:ascii="宋体" w:hAnsi="宋体" w:eastAsia="宋体" w:cs="宋体"/>
                <w:color w:val="000000" w:themeColor="text1"/>
                <w:spacing w:val="-12"/>
                <w:sz w:val="21"/>
                <w:szCs w:val="21"/>
                <w14:textFill>
                  <w14:solidFill>
                    <w14:schemeClr w14:val="tx1"/>
                  </w14:solidFill>
                </w14:textFill>
              </w:rPr>
            </w:pPr>
          </w:p>
        </w:tc>
        <w:tc>
          <w:tcPr>
            <w:tcW w:w="2225" w:type="dxa"/>
            <w:gridSpan w:val="2"/>
            <w:shd w:val="clear" w:color="auto" w:fill="auto"/>
            <w:vAlign w:val="center"/>
          </w:tcPr>
          <w:p w14:paraId="0E8636E5">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相对密度（水=1）</w:t>
            </w:r>
          </w:p>
        </w:tc>
        <w:tc>
          <w:tcPr>
            <w:tcW w:w="1403" w:type="dxa"/>
            <w:shd w:val="clear" w:color="auto" w:fill="auto"/>
            <w:vAlign w:val="center"/>
          </w:tcPr>
          <w:p w14:paraId="5A8AB6AF">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eastAsia" w:ascii="宋体" w:hAnsi="宋体" w:eastAsia="宋体" w:cs="宋体"/>
                <w:color w:val="000000" w:themeColor="text1"/>
                <w:spacing w:val="-12"/>
                <w:sz w:val="21"/>
                <w:szCs w:val="21"/>
                <w:lang w:eastAsia="zh-CN"/>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0.8</w:t>
            </w:r>
            <w:r>
              <w:rPr>
                <w:rFonts w:hint="eastAsia" w:ascii="宋体" w:hAnsi="宋体" w:eastAsia="宋体" w:cs="宋体"/>
                <w:color w:val="000000" w:themeColor="text1"/>
                <w:spacing w:val="-12"/>
                <w:sz w:val="21"/>
                <w:szCs w:val="21"/>
                <w:lang w:val="en-US" w:eastAsia="zh-CN"/>
                <w14:textFill>
                  <w14:solidFill>
                    <w14:schemeClr w14:val="tx1"/>
                  </w14:solidFill>
                </w14:textFill>
              </w:rPr>
              <w:t>7</w:t>
            </w:r>
            <w:r>
              <w:rPr>
                <w:rFonts w:hint="eastAsia" w:ascii="宋体" w:hAnsi="宋体" w:eastAsia="宋体" w:cs="宋体"/>
                <w:color w:val="000000" w:themeColor="text1"/>
                <w:spacing w:val="-12"/>
                <w:sz w:val="21"/>
                <w:szCs w:val="21"/>
                <w14:textFill>
                  <w14:solidFill>
                    <w14:schemeClr w14:val="tx1"/>
                  </w14:solidFill>
                </w14:textFill>
              </w:rPr>
              <w:t>-0.</w:t>
            </w:r>
            <w:r>
              <w:rPr>
                <w:rFonts w:hint="eastAsia" w:ascii="宋体" w:hAnsi="宋体" w:eastAsia="宋体" w:cs="宋体"/>
                <w:color w:val="000000" w:themeColor="text1"/>
                <w:spacing w:val="-12"/>
                <w:sz w:val="21"/>
                <w:szCs w:val="21"/>
                <w:lang w:val="en-US" w:eastAsia="zh-CN"/>
                <w14:textFill>
                  <w14:solidFill>
                    <w14:schemeClr w14:val="tx1"/>
                  </w14:solidFill>
                </w14:textFill>
              </w:rPr>
              <w:t>9</w:t>
            </w:r>
          </w:p>
        </w:tc>
        <w:tc>
          <w:tcPr>
            <w:tcW w:w="1458" w:type="dxa"/>
            <w:shd w:val="clear" w:color="auto" w:fill="auto"/>
            <w:vAlign w:val="center"/>
          </w:tcPr>
          <w:p w14:paraId="4A7DC35D">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CAS号</w:t>
            </w:r>
          </w:p>
        </w:tc>
        <w:tc>
          <w:tcPr>
            <w:tcW w:w="3107" w:type="dxa"/>
            <w:shd w:val="clear" w:color="auto" w:fill="auto"/>
            <w:vAlign w:val="center"/>
          </w:tcPr>
          <w:p w14:paraId="0FFB87CC">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68334-30-5</w:t>
            </w:r>
          </w:p>
        </w:tc>
      </w:tr>
      <w:tr w14:paraId="5BCA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67" w:type="dxa"/>
            <w:vMerge w:val="continue"/>
            <w:shd w:val="clear" w:color="auto" w:fill="auto"/>
            <w:vAlign w:val="center"/>
          </w:tcPr>
          <w:p w14:paraId="11BB7DE5">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eastAsia" w:ascii="宋体" w:hAnsi="宋体" w:eastAsia="宋体" w:cs="宋体"/>
                <w:color w:val="000000" w:themeColor="text1"/>
                <w:spacing w:val="-12"/>
                <w:sz w:val="21"/>
                <w:szCs w:val="21"/>
                <w14:textFill>
                  <w14:solidFill>
                    <w14:schemeClr w14:val="tx1"/>
                  </w14:solidFill>
                </w14:textFill>
              </w:rPr>
            </w:pPr>
          </w:p>
        </w:tc>
        <w:tc>
          <w:tcPr>
            <w:tcW w:w="8193" w:type="dxa"/>
            <w:gridSpan w:val="5"/>
            <w:shd w:val="clear" w:color="auto" w:fill="auto"/>
            <w:vAlign w:val="center"/>
          </w:tcPr>
          <w:p w14:paraId="2C6BF3AC">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外观性状：稍有粘性的棕色液体。</w:t>
            </w:r>
          </w:p>
        </w:tc>
      </w:tr>
      <w:tr w14:paraId="0954B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67" w:type="dxa"/>
            <w:vMerge w:val="continue"/>
            <w:shd w:val="clear" w:color="auto" w:fill="auto"/>
            <w:vAlign w:val="center"/>
          </w:tcPr>
          <w:p w14:paraId="41A1284C">
            <w:pPr>
              <w:keepNext w:val="0"/>
              <w:keepLines w:val="0"/>
              <w:pageBreakBefore w:val="0"/>
              <w:widowControl w:val="0"/>
              <w:kinsoku/>
              <w:wordWrap/>
              <w:overflowPunct/>
              <w:topLinePunct w:val="0"/>
              <w:autoSpaceDE w:val="0"/>
              <w:autoSpaceDN w:val="0"/>
              <w:bidi w:val="0"/>
              <w:adjustRightInd/>
              <w:snapToGrid/>
              <w:spacing w:line="300" w:lineRule="exact"/>
              <w:jc w:val="center"/>
              <w:textAlignment w:val="auto"/>
              <w:rPr>
                <w:rFonts w:hint="eastAsia" w:ascii="宋体" w:hAnsi="宋体" w:eastAsia="宋体" w:cs="宋体"/>
                <w:color w:val="000000" w:themeColor="text1"/>
                <w:spacing w:val="-12"/>
                <w:sz w:val="21"/>
                <w:szCs w:val="21"/>
                <w14:textFill>
                  <w14:solidFill>
                    <w14:schemeClr w14:val="tx1"/>
                  </w14:solidFill>
                </w14:textFill>
              </w:rPr>
            </w:pPr>
          </w:p>
        </w:tc>
        <w:tc>
          <w:tcPr>
            <w:tcW w:w="8193" w:type="dxa"/>
            <w:gridSpan w:val="5"/>
            <w:shd w:val="clear" w:color="auto" w:fill="auto"/>
            <w:vAlign w:val="center"/>
          </w:tcPr>
          <w:p w14:paraId="45CCEFCC">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溶解性：不溶于水，溶于醇等溶剂。</w:t>
            </w:r>
          </w:p>
        </w:tc>
      </w:tr>
      <w:tr w14:paraId="44CC8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trPr>
        <w:tc>
          <w:tcPr>
            <w:tcW w:w="667" w:type="dxa"/>
            <w:shd w:val="clear" w:color="auto" w:fill="auto"/>
            <w:vAlign w:val="center"/>
          </w:tcPr>
          <w:p w14:paraId="3BB21DEB">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稳定</w:t>
            </w:r>
          </w:p>
          <w:p w14:paraId="64DD8544">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性和</w:t>
            </w:r>
          </w:p>
          <w:p w14:paraId="557FF062">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危险</w:t>
            </w:r>
          </w:p>
          <w:p w14:paraId="1922B1BA">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性</w:t>
            </w:r>
          </w:p>
        </w:tc>
        <w:tc>
          <w:tcPr>
            <w:tcW w:w="8193" w:type="dxa"/>
            <w:gridSpan w:val="5"/>
            <w:shd w:val="clear" w:color="auto" w:fill="auto"/>
            <w:vAlign w:val="center"/>
          </w:tcPr>
          <w:p w14:paraId="3ECE5DC9">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稳定性：</w:t>
            </w:r>
            <w:r>
              <w:rPr>
                <w:rFonts w:hint="eastAsia" w:ascii="宋体" w:hAnsi="宋体" w:eastAsia="宋体" w:cs="宋体"/>
                <w:color w:val="000000" w:themeColor="text1"/>
                <w:spacing w:val="-12"/>
                <w:sz w:val="21"/>
                <w:szCs w:val="21"/>
                <w:lang w:eastAsia="zh-CN"/>
                <w14:textFill>
                  <w14:solidFill>
                    <w14:schemeClr w14:val="tx1"/>
                  </w14:solidFill>
                </w14:textFill>
              </w:rPr>
              <w:t>化学性质很</w:t>
            </w:r>
            <w:r>
              <w:rPr>
                <w:rFonts w:hint="eastAsia" w:ascii="宋体" w:hAnsi="宋体" w:eastAsia="宋体" w:cs="宋体"/>
                <w:color w:val="000000" w:themeColor="text1"/>
                <w:spacing w:val="-12"/>
                <w:sz w:val="21"/>
                <w:szCs w:val="21"/>
                <w14:textFill>
                  <w14:solidFill>
                    <w14:schemeClr w14:val="tx1"/>
                  </w14:solidFill>
                </w14:textFill>
              </w:rPr>
              <w:t>稳定。</w:t>
            </w:r>
          </w:p>
          <w:p w14:paraId="7FB927B3">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危险性：遇明火、高热或与氧化剂接触，有引起燃烧爆炸的危险。若遇高热，容器内压增大，有开裂和爆炸的危险。</w:t>
            </w:r>
          </w:p>
          <w:p w14:paraId="61AB37E8">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燃烧产物：一氧化碳、二氧化碳。</w:t>
            </w:r>
          </w:p>
        </w:tc>
      </w:tr>
      <w:tr w14:paraId="3C33D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trPr>
        <w:tc>
          <w:tcPr>
            <w:tcW w:w="667" w:type="dxa"/>
            <w:shd w:val="clear" w:color="auto" w:fill="auto"/>
            <w:vAlign w:val="center"/>
          </w:tcPr>
          <w:p w14:paraId="72739B28">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毒理</w:t>
            </w:r>
          </w:p>
          <w:p w14:paraId="30C18CB3">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学资</w:t>
            </w:r>
          </w:p>
          <w:p w14:paraId="07981AD1">
            <w:pPr>
              <w:keepNext w:val="0"/>
              <w:keepLines w:val="0"/>
              <w:pageBreakBefore w:val="0"/>
              <w:widowControl w:val="0"/>
              <w:kinsoku/>
              <w:wordWrap/>
              <w:overflowPunct/>
              <w:topLinePunct w:val="0"/>
              <w:autoSpaceDE w:val="0"/>
              <w:autoSpaceDN w:val="0"/>
              <w:bidi w:val="0"/>
              <w:adjustRightInd/>
              <w:snapToGrid/>
              <w:spacing w:line="300" w:lineRule="exact"/>
              <w:jc w:val="both"/>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料</w:t>
            </w:r>
          </w:p>
        </w:tc>
        <w:tc>
          <w:tcPr>
            <w:tcW w:w="8193" w:type="dxa"/>
            <w:gridSpan w:val="5"/>
            <w:shd w:val="clear" w:color="auto" w:fill="auto"/>
            <w:vAlign w:val="center"/>
          </w:tcPr>
          <w:p w14:paraId="566A518A">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侵入途径：吸入、食入、皮肤吸收。</w:t>
            </w:r>
          </w:p>
          <w:p w14:paraId="5D5A1A59">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健康：皮肤接触可为主要吸收途径，可致急性肾脏损害。柴油可引起接触性皮炎、油性痤疮。吸入其雾滴或液体呛入可引起吸入性肺炎。能经胎盘进入胎儿血中。柴油废气可引起眼、鼻刺激症状，头晕及头痛。</w:t>
            </w:r>
          </w:p>
        </w:tc>
      </w:tr>
      <w:tr w14:paraId="24013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67" w:type="dxa"/>
            <w:vMerge w:val="restart"/>
            <w:shd w:val="clear" w:color="auto" w:fill="auto"/>
            <w:vAlign w:val="center"/>
          </w:tcPr>
          <w:p w14:paraId="71067132">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安全</w:t>
            </w:r>
          </w:p>
          <w:p w14:paraId="72509720">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防护</w:t>
            </w:r>
          </w:p>
          <w:p w14:paraId="14E9E806">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措施</w:t>
            </w:r>
          </w:p>
        </w:tc>
        <w:tc>
          <w:tcPr>
            <w:tcW w:w="1735" w:type="dxa"/>
            <w:shd w:val="clear" w:color="auto" w:fill="auto"/>
            <w:vAlign w:val="center"/>
          </w:tcPr>
          <w:p w14:paraId="1D7FDEA9">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呼吸系统防护</w:t>
            </w:r>
          </w:p>
        </w:tc>
        <w:tc>
          <w:tcPr>
            <w:tcW w:w="6458" w:type="dxa"/>
            <w:gridSpan w:val="4"/>
            <w:shd w:val="clear" w:color="auto" w:fill="auto"/>
            <w:vAlign w:val="center"/>
          </w:tcPr>
          <w:p w14:paraId="0DD05D4C">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空气中浓度超标时，建议佩戴自吸过滤式防毒面具（半面罩）。紧急事态抢救或撤离时，应该佩戴空气呼吸器。</w:t>
            </w:r>
          </w:p>
        </w:tc>
      </w:tr>
      <w:tr w14:paraId="7C97E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67" w:type="dxa"/>
            <w:vMerge w:val="continue"/>
            <w:shd w:val="clear" w:color="auto" w:fill="auto"/>
            <w:vAlign w:val="center"/>
          </w:tcPr>
          <w:p w14:paraId="754C77D4">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p>
        </w:tc>
        <w:tc>
          <w:tcPr>
            <w:tcW w:w="1735" w:type="dxa"/>
            <w:shd w:val="clear" w:color="auto" w:fill="auto"/>
            <w:vAlign w:val="center"/>
          </w:tcPr>
          <w:p w14:paraId="43B70591">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眼睛防护</w:t>
            </w:r>
          </w:p>
        </w:tc>
        <w:tc>
          <w:tcPr>
            <w:tcW w:w="6458" w:type="dxa"/>
            <w:gridSpan w:val="4"/>
            <w:shd w:val="clear" w:color="auto" w:fill="auto"/>
            <w:vAlign w:val="center"/>
          </w:tcPr>
          <w:p w14:paraId="212379FE">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戴化学安全防护眼镜。</w:t>
            </w:r>
          </w:p>
        </w:tc>
      </w:tr>
      <w:tr w14:paraId="26EF7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67" w:type="dxa"/>
            <w:vMerge w:val="continue"/>
            <w:shd w:val="clear" w:color="auto" w:fill="auto"/>
            <w:vAlign w:val="center"/>
          </w:tcPr>
          <w:p w14:paraId="32E64B0F">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p>
        </w:tc>
        <w:tc>
          <w:tcPr>
            <w:tcW w:w="1735" w:type="dxa"/>
            <w:shd w:val="clear" w:color="auto" w:fill="auto"/>
            <w:vAlign w:val="center"/>
          </w:tcPr>
          <w:p w14:paraId="618C8300">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身体防护</w:t>
            </w:r>
          </w:p>
        </w:tc>
        <w:tc>
          <w:tcPr>
            <w:tcW w:w="6458" w:type="dxa"/>
            <w:gridSpan w:val="4"/>
            <w:shd w:val="clear" w:color="auto" w:fill="auto"/>
            <w:vAlign w:val="center"/>
          </w:tcPr>
          <w:p w14:paraId="4DB93CD8">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穿一般作业防护服。</w:t>
            </w:r>
          </w:p>
        </w:tc>
      </w:tr>
      <w:tr w14:paraId="24C5C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67" w:type="dxa"/>
            <w:vMerge w:val="continue"/>
            <w:shd w:val="clear" w:color="auto" w:fill="auto"/>
            <w:vAlign w:val="center"/>
          </w:tcPr>
          <w:p w14:paraId="0EFEF21C">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p>
        </w:tc>
        <w:tc>
          <w:tcPr>
            <w:tcW w:w="1735" w:type="dxa"/>
            <w:shd w:val="clear" w:color="auto" w:fill="auto"/>
            <w:vAlign w:val="center"/>
          </w:tcPr>
          <w:p w14:paraId="32370159">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手防护</w:t>
            </w:r>
          </w:p>
        </w:tc>
        <w:tc>
          <w:tcPr>
            <w:tcW w:w="6458" w:type="dxa"/>
            <w:gridSpan w:val="4"/>
            <w:shd w:val="clear" w:color="auto" w:fill="auto"/>
            <w:vAlign w:val="center"/>
          </w:tcPr>
          <w:p w14:paraId="0E365DF9">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戴橡胶耐油手套。</w:t>
            </w:r>
          </w:p>
        </w:tc>
      </w:tr>
      <w:tr w14:paraId="0250C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67" w:type="dxa"/>
            <w:vMerge w:val="continue"/>
            <w:shd w:val="clear" w:color="auto" w:fill="auto"/>
            <w:vAlign w:val="center"/>
          </w:tcPr>
          <w:p w14:paraId="171FE973">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p>
        </w:tc>
        <w:tc>
          <w:tcPr>
            <w:tcW w:w="1735" w:type="dxa"/>
            <w:shd w:val="clear" w:color="auto" w:fill="auto"/>
            <w:vAlign w:val="center"/>
          </w:tcPr>
          <w:p w14:paraId="6108F9DC">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其他</w:t>
            </w:r>
          </w:p>
        </w:tc>
        <w:tc>
          <w:tcPr>
            <w:tcW w:w="6458" w:type="dxa"/>
            <w:gridSpan w:val="4"/>
            <w:shd w:val="clear" w:color="auto" w:fill="auto"/>
            <w:vAlign w:val="center"/>
          </w:tcPr>
          <w:p w14:paraId="7AE138C1">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工作现场严禁吸烟。避免长期反复接触。</w:t>
            </w:r>
          </w:p>
        </w:tc>
      </w:tr>
      <w:tr w14:paraId="5B611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67" w:type="dxa"/>
            <w:vMerge w:val="restart"/>
            <w:shd w:val="clear" w:color="auto" w:fill="auto"/>
            <w:vAlign w:val="center"/>
          </w:tcPr>
          <w:p w14:paraId="6F3DD261">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应急</w:t>
            </w:r>
          </w:p>
          <w:p w14:paraId="220705D6">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措施</w:t>
            </w:r>
          </w:p>
        </w:tc>
        <w:tc>
          <w:tcPr>
            <w:tcW w:w="1735" w:type="dxa"/>
            <w:shd w:val="clear" w:color="auto" w:fill="auto"/>
            <w:vAlign w:val="center"/>
          </w:tcPr>
          <w:p w14:paraId="1B984C0C">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急救措施</w:t>
            </w:r>
          </w:p>
        </w:tc>
        <w:tc>
          <w:tcPr>
            <w:tcW w:w="6458" w:type="dxa"/>
            <w:gridSpan w:val="4"/>
            <w:shd w:val="clear" w:color="auto" w:fill="auto"/>
            <w:vAlign w:val="center"/>
          </w:tcPr>
          <w:p w14:paraId="7DB3FEAF">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皮肤接触：立即脱去污染的衣着，用肥皂水和清水彻底冲洗皮肤。就医；</w:t>
            </w:r>
          </w:p>
          <w:p w14:paraId="1C8B2490">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眼睛接触：提起眼睑，用流动清水或生理盐水冲洗。就医；</w:t>
            </w:r>
          </w:p>
          <w:p w14:paraId="2AEA320C">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吸入：迅速脱离现场至空气新鲜处。保持呼吸道通畅。如呼吸困难，给输氧。如呼吸停止，立即进行人工呼吸。就医；</w:t>
            </w:r>
          </w:p>
          <w:p w14:paraId="7ED42B7B">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食入：尽快彻底洗胃。就医。</w:t>
            </w:r>
          </w:p>
        </w:tc>
      </w:tr>
      <w:tr w14:paraId="18164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67" w:type="dxa"/>
            <w:vMerge w:val="continue"/>
            <w:shd w:val="clear" w:color="auto" w:fill="auto"/>
            <w:vAlign w:val="center"/>
          </w:tcPr>
          <w:p w14:paraId="69AA82D3">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p>
        </w:tc>
        <w:tc>
          <w:tcPr>
            <w:tcW w:w="1735" w:type="dxa"/>
            <w:shd w:val="clear" w:color="auto" w:fill="auto"/>
            <w:vAlign w:val="center"/>
          </w:tcPr>
          <w:p w14:paraId="67033EF6">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泄漏措施</w:t>
            </w:r>
          </w:p>
        </w:tc>
        <w:tc>
          <w:tcPr>
            <w:tcW w:w="6458" w:type="dxa"/>
            <w:gridSpan w:val="4"/>
            <w:shd w:val="clear" w:color="auto" w:fill="auto"/>
            <w:vAlign w:val="center"/>
          </w:tcPr>
          <w:p w14:paraId="08DDCBC6">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迅速撤离泄漏污染区人员至安全区，并进行隔离，严格限制出入。切断火源。建议应急处理人员戴自给正压式呼吸器，穿一般作业工作服。尽可能切断泄漏源。防止流入下水道、排洪沟等限制性空间。小量泄漏：用活性炭或其它惰性材料吸收。大量泄漏：构筑围堤或挖坑收容。用泵转移至槽车或专用收集器内，回收或运至废物处理场所处置。</w:t>
            </w:r>
          </w:p>
        </w:tc>
      </w:tr>
      <w:tr w14:paraId="3C56D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67" w:type="dxa"/>
            <w:vMerge w:val="continue"/>
            <w:shd w:val="clear" w:color="auto" w:fill="auto"/>
            <w:vAlign w:val="center"/>
          </w:tcPr>
          <w:p w14:paraId="7DC03A77">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p>
        </w:tc>
        <w:tc>
          <w:tcPr>
            <w:tcW w:w="1735" w:type="dxa"/>
            <w:shd w:val="clear" w:color="auto" w:fill="auto"/>
            <w:vAlign w:val="center"/>
          </w:tcPr>
          <w:p w14:paraId="4B2AAD0E">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消防方法</w:t>
            </w:r>
          </w:p>
        </w:tc>
        <w:tc>
          <w:tcPr>
            <w:tcW w:w="6458" w:type="dxa"/>
            <w:gridSpan w:val="4"/>
            <w:shd w:val="clear" w:color="auto" w:fill="auto"/>
            <w:vAlign w:val="center"/>
          </w:tcPr>
          <w:p w14:paraId="044D79E3">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宋体" w:hAnsi="宋体" w:eastAsia="宋体" w:cs="宋体"/>
                <w:color w:val="000000" w:themeColor="text1"/>
                <w:spacing w:val="-12"/>
                <w:sz w:val="21"/>
                <w:szCs w:val="21"/>
                <w14:textFill>
                  <w14:solidFill>
                    <w14:schemeClr w14:val="tx1"/>
                  </w14:solidFill>
                </w14:textFill>
              </w:rPr>
            </w:pPr>
            <w:r>
              <w:rPr>
                <w:rFonts w:hint="eastAsia" w:ascii="宋体" w:hAnsi="宋体" w:eastAsia="宋体" w:cs="宋体"/>
                <w:color w:val="000000" w:themeColor="text1"/>
                <w:spacing w:val="-12"/>
                <w:sz w:val="21"/>
                <w:szCs w:val="21"/>
                <w14:textFill>
                  <w14:solidFill>
                    <w14:schemeClr w14:val="tx1"/>
                  </w14:solidFill>
                </w14:textFill>
              </w:rPr>
              <w:t>雾状水、泡沫、干粉、二氧化碳、砂土。</w:t>
            </w:r>
          </w:p>
        </w:tc>
      </w:tr>
    </w:tbl>
    <w:p w14:paraId="4E3F8575">
      <w:pPr>
        <w:adjustRightInd w:val="0"/>
        <w:snapToGrid w:val="0"/>
        <w:spacing w:line="500" w:lineRule="exact"/>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p>
    <w:p w14:paraId="1ECF9C77">
      <w:pPr>
        <w:pStyle w:val="3"/>
        <w:keepNext/>
        <w:keepLines/>
        <w:pageBreakBefore w:val="0"/>
        <w:widowControl w:val="0"/>
        <w:kinsoku/>
        <w:wordWrap/>
        <w:overflowPunct/>
        <w:topLinePunct w:val="0"/>
        <w:autoSpaceDE/>
        <w:autoSpaceDN/>
        <w:bidi w:val="0"/>
        <w:adjustRightInd/>
        <w:snapToGrid w:val="0"/>
        <w:spacing w:before="0" w:after="0" w:line="520" w:lineRule="exact"/>
        <w:jc w:val="both"/>
        <w:textAlignment w:val="auto"/>
        <w:rPr>
          <w:rFonts w:hint="eastAsia" w:ascii="宋体" w:hAnsi="宋体" w:eastAsia="宋体" w:cs="宋体"/>
          <w:color w:val="000000" w:themeColor="text1"/>
          <w:kern w:val="0"/>
          <w:lang w:val="en-US" w:eastAsia="zh-CN"/>
          <w14:textFill>
            <w14:solidFill>
              <w14:schemeClr w14:val="tx1"/>
            </w14:solidFill>
          </w14:textFill>
        </w:rPr>
      </w:pPr>
      <w:bookmarkStart w:id="317" w:name="_Toc22390"/>
      <w:bookmarkStart w:id="318" w:name="_Toc24809"/>
      <w:bookmarkStart w:id="319" w:name="_Toc12119"/>
      <w:bookmarkStart w:id="320" w:name="_Toc18289"/>
      <w:bookmarkStart w:id="321" w:name="_Toc1661"/>
      <w:bookmarkStart w:id="322" w:name="_Toc6666"/>
      <w:r>
        <w:rPr>
          <w:rFonts w:hint="eastAsia" w:ascii="宋体" w:hAnsi="宋体" w:eastAsia="宋体" w:cs="宋体"/>
          <w:color w:val="000000" w:themeColor="text1"/>
          <w:kern w:val="0"/>
          <w:lang w:val="en-US" w:eastAsia="zh-CN"/>
          <w14:textFill>
            <w14:solidFill>
              <w14:schemeClr w14:val="tx1"/>
            </w14:solidFill>
          </w14:textFill>
        </w:rPr>
        <w:t>3.5厂址及总平面布置主要危险、有害因素辨识与分析</w:t>
      </w:r>
      <w:bookmarkEnd w:id="317"/>
      <w:bookmarkEnd w:id="318"/>
      <w:bookmarkEnd w:id="319"/>
      <w:bookmarkEnd w:id="320"/>
      <w:bookmarkEnd w:id="321"/>
      <w:bookmarkEnd w:id="322"/>
    </w:p>
    <w:p w14:paraId="1DB23336">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323" w:name="_Toc2928"/>
      <w:bookmarkStart w:id="324" w:name="_Toc21492"/>
      <w:bookmarkStart w:id="325" w:name="_Toc30001393"/>
      <w:bookmarkStart w:id="326" w:name="_Toc28400"/>
      <w:bookmarkStart w:id="327" w:name="_Toc11229"/>
      <w:bookmarkStart w:id="328" w:name="_Toc32519"/>
      <w:bookmarkStart w:id="329" w:name="_Toc61474415"/>
      <w:bookmarkStart w:id="330" w:name="_Toc15779"/>
      <w:bookmarkStart w:id="331" w:name="_Toc29154"/>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3.5.1厂址危险性分析</w:t>
      </w:r>
      <w:bookmarkEnd w:id="323"/>
      <w:bookmarkEnd w:id="324"/>
      <w:bookmarkEnd w:id="325"/>
      <w:bookmarkEnd w:id="326"/>
      <w:bookmarkEnd w:id="327"/>
      <w:bookmarkEnd w:id="328"/>
      <w:bookmarkEnd w:id="329"/>
      <w:bookmarkEnd w:id="330"/>
      <w:bookmarkEnd w:id="331"/>
    </w:p>
    <w:p w14:paraId="58635803">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该项目厂址方面的因素主要有项目所在地自然条件以及周边环境对项目的影响。</w:t>
      </w:r>
    </w:p>
    <w:p w14:paraId="76344A2C">
      <w:pPr>
        <w:numPr>
          <w:ilvl w:val="0"/>
          <w:numId w:val="4"/>
        </w:numPr>
        <w:tabs>
          <w:tab w:val="left" w:pos="0"/>
          <w:tab w:val="left" w:pos="840"/>
          <w:tab w:val="left" w:pos="993"/>
        </w:tabs>
        <w:adjustRightInd w:val="0"/>
        <w:snapToGrid w:val="0"/>
        <w:spacing w:line="500" w:lineRule="exact"/>
        <w:ind w:left="0" w:firstLine="560" w:firstLineChars="200"/>
        <w:rPr>
          <w:rFonts w:hint="eastAsia" w:ascii="宋体" w:hAnsi="宋体" w:eastAsia="宋体" w:cs="宋体"/>
          <w:color w:val="000000" w:themeColor="text1"/>
          <w:sz w:val="28"/>
          <w14:textFill>
            <w14:solidFill>
              <w14:schemeClr w14:val="tx1"/>
            </w14:solidFill>
          </w14:textFill>
        </w:rPr>
      </w:pPr>
      <w:r>
        <w:rPr>
          <w:rFonts w:hint="eastAsia" w:ascii="宋体" w:hAnsi="宋体" w:eastAsia="宋体" w:cs="宋体"/>
          <w:color w:val="000000" w:themeColor="text1"/>
          <w:sz w:val="28"/>
          <w14:textFill>
            <w14:solidFill>
              <w14:schemeClr w14:val="tx1"/>
            </w14:solidFill>
          </w14:textFill>
        </w:rPr>
        <w:t>气象</w:t>
      </w:r>
    </w:p>
    <w:p w14:paraId="4F0E6714">
      <w:pPr>
        <w:tabs>
          <w:tab w:val="left" w:pos="0"/>
          <w:tab w:val="left" w:pos="840"/>
          <w:tab w:val="left" w:pos="993"/>
        </w:tabs>
        <w:adjustRightInd w:val="0"/>
        <w:snapToGrid w:val="0"/>
        <w:spacing w:line="500" w:lineRule="exact"/>
        <w:ind w:firstLine="560" w:firstLineChars="200"/>
        <w:rPr>
          <w:rFonts w:hint="eastAsia" w:ascii="宋体" w:hAnsi="宋体" w:eastAsia="宋体" w:cs="宋体"/>
          <w:color w:val="000000" w:themeColor="text1"/>
          <w:sz w:val="28"/>
          <w14:textFill>
            <w14:solidFill>
              <w14:schemeClr w14:val="tx1"/>
            </w14:solidFill>
          </w14:textFill>
        </w:rPr>
      </w:pPr>
      <w:r>
        <w:rPr>
          <w:rFonts w:hint="eastAsia" w:ascii="宋体" w:hAnsi="宋体" w:eastAsia="宋体" w:cs="宋体"/>
          <w:color w:val="000000" w:themeColor="text1"/>
          <w:sz w:val="28"/>
          <w14:textFill>
            <w14:solidFill>
              <w14:schemeClr w14:val="tx1"/>
            </w14:solidFill>
          </w14:textFill>
        </w:rPr>
        <w:t>1）大风：厂区所在位置场地开阔，</w:t>
      </w:r>
      <w:r>
        <w:rPr>
          <w:rFonts w:hint="eastAsia" w:ascii="宋体" w:hAnsi="宋体" w:eastAsia="宋体" w:cs="宋体"/>
          <w:color w:val="000000" w:themeColor="text1"/>
          <w:sz w:val="28"/>
          <w:szCs w:val="28"/>
          <w14:textFill>
            <w14:solidFill>
              <w14:schemeClr w14:val="tx1"/>
            </w14:solidFill>
          </w14:textFill>
        </w:rPr>
        <w:t>春季风大</w:t>
      </w:r>
      <w:r>
        <w:rPr>
          <w:rFonts w:hint="eastAsia" w:ascii="宋体" w:hAnsi="宋体" w:eastAsia="宋体" w:cs="宋体"/>
          <w:color w:val="000000" w:themeColor="text1"/>
          <w:sz w:val="28"/>
          <w14:textFill>
            <w14:solidFill>
              <w14:schemeClr w14:val="tx1"/>
            </w14:solidFill>
          </w14:textFill>
        </w:rPr>
        <w:t>。大风可能导致厂区内建构筑物坍塌；造成高处未佩戴安全防护用品的人员发生高处坠落事故；或导致高处堆放的零散物件坠落，对地面的人员造成物体打击伤害；还可能导致扬尘，造成视线不清，从而引发机械伤害、车辆伤害等事故的发生。</w:t>
      </w:r>
    </w:p>
    <w:p w14:paraId="76955616">
      <w:pPr>
        <w:tabs>
          <w:tab w:val="left" w:pos="0"/>
          <w:tab w:val="left" w:pos="840"/>
          <w:tab w:val="left" w:pos="993"/>
        </w:tabs>
        <w:adjustRightInd w:val="0"/>
        <w:snapToGrid w:val="0"/>
        <w:spacing w:line="500" w:lineRule="exact"/>
        <w:ind w:firstLine="560" w:firstLineChars="200"/>
        <w:rPr>
          <w:rFonts w:hint="eastAsia" w:ascii="宋体" w:hAnsi="宋体" w:eastAsia="宋体" w:cs="宋体"/>
          <w:color w:val="000000" w:themeColor="text1"/>
          <w:sz w:val="28"/>
          <w14:textFill>
            <w14:solidFill>
              <w14:schemeClr w14:val="tx1"/>
            </w14:solidFill>
          </w14:textFill>
        </w:rPr>
      </w:pPr>
      <w:r>
        <w:rPr>
          <w:rFonts w:hint="eastAsia" w:ascii="宋体" w:hAnsi="宋体" w:eastAsia="宋体" w:cs="宋体"/>
          <w:color w:val="000000" w:themeColor="text1"/>
          <w:sz w:val="28"/>
          <w14:textFill>
            <w14:solidFill>
              <w14:schemeClr w14:val="tx1"/>
            </w14:solidFill>
          </w14:textFill>
        </w:rPr>
        <w:t>2）高温：高温天气对人体健康的主要影响是产生中暑以及诱心脑血管管疾病导致死亡。该项目在运行过程中，</w:t>
      </w:r>
      <w:r>
        <w:rPr>
          <w:rFonts w:hint="eastAsia" w:ascii="宋体" w:hAnsi="宋体" w:eastAsia="宋体" w:cs="宋体"/>
          <w:color w:val="000000" w:themeColor="text1"/>
          <w:sz w:val="28"/>
          <w:szCs w:val="28"/>
          <w14:textFill>
            <w14:solidFill>
              <w14:schemeClr w14:val="tx1"/>
            </w14:solidFill>
          </w14:textFill>
        </w:rPr>
        <w:t>极端最高气温</w:t>
      </w:r>
      <w:r>
        <w:rPr>
          <w:rFonts w:hint="eastAsia" w:ascii="宋体" w:hAnsi="宋体" w:eastAsia="宋体" w:cs="宋体"/>
          <w:color w:val="000000" w:themeColor="text1"/>
          <w:sz w:val="28"/>
          <w:szCs w:val="28"/>
          <w:lang w:val="en-US" w:eastAsia="zh-CN"/>
          <w14:textFill>
            <w14:solidFill>
              <w14:schemeClr w14:val="tx1"/>
            </w14:solidFill>
          </w14:textFill>
        </w:rPr>
        <w:t>34</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eastAsia="宋体" w:cs="宋体"/>
          <w:color w:val="000000" w:themeColor="text1"/>
          <w:sz w:val="28"/>
          <w14:textFill>
            <w14:solidFill>
              <w14:schemeClr w14:val="tx1"/>
            </w14:solidFill>
          </w14:textFill>
        </w:rPr>
        <w:t>在夏季高温天气下，可能造成作业人员发生中暑的危险。</w:t>
      </w:r>
    </w:p>
    <w:p w14:paraId="5A147271">
      <w:pPr>
        <w:tabs>
          <w:tab w:val="left" w:pos="0"/>
          <w:tab w:val="left" w:pos="840"/>
          <w:tab w:val="left" w:pos="993"/>
        </w:tabs>
        <w:adjustRightInd w:val="0"/>
        <w:snapToGrid w:val="0"/>
        <w:spacing w:line="500" w:lineRule="exact"/>
        <w:ind w:firstLine="560" w:firstLineChars="200"/>
        <w:rPr>
          <w:rFonts w:hint="eastAsia" w:ascii="宋体" w:hAnsi="宋体" w:eastAsia="宋体" w:cs="宋体"/>
          <w:color w:val="000000" w:themeColor="text1"/>
          <w:sz w:val="28"/>
          <w14:textFill>
            <w14:solidFill>
              <w14:schemeClr w14:val="tx1"/>
            </w14:solidFill>
          </w14:textFill>
        </w:rPr>
      </w:pPr>
      <w:r>
        <w:rPr>
          <w:rFonts w:hint="eastAsia" w:ascii="宋体" w:hAnsi="宋体" w:eastAsia="宋体" w:cs="宋体"/>
          <w:color w:val="000000" w:themeColor="text1"/>
          <w:sz w:val="28"/>
          <w14:textFill>
            <w14:solidFill>
              <w14:schemeClr w14:val="tx1"/>
            </w14:solidFill>
          </w14:textFill>
        </w:rPr>
        <w:t>3）暴雨：暴雨是主要气象灾害之一。长时间的暴雨容易产生积水或径流淹没低洼地段，造成洪涝灾害。厂区设备可能受潮、房顶漏雨，地面积水导致电气设备、线路、开关装置短路，发生漏电伤人事故。</w:t>
      </w:r>
    </w:p>
    <w:p w14:paraId="5D773AFB">
      <w:pPr>
        <w:tabs>
          <w:tab w:val="left" w:pos="0"/>
          <w:tab w:val="left" w:pos="840"/>
          <w:tab w:val="left" w:pos="993"/>
        </w:tabs>
        <w:adjustRightInd w:val="0"/>
        <w:snapToGrid w:val="0"/>
        <w:spacing w:line="500" w:lineRule="exact"/>
        <w:ind w:firstLine="560" w:firstLineChars="200"/>
        <w:rPr>
          <w:rFonts w:hint="eastAsia" w:ascii="宋体" w:hAnsi="宋体" w:eastAsia="宋体" w:cs="宋体"/>
          <w:color w:val="000000" w:themeColor="text1"/>
          <w:sz w:val="28"/>
          <w14:textFill>
            <w14:solidFill>
              <w14:schemeClr w14:val="tx1"/>
            </w14:solidFill>
          </w14:textFill>
        </w:rPr>
      </w:pPr>
      <w:r>
        <w:rPr>
          <w:rFonts w:hint="eastAsia" w:ascii="宋体" w:hAnsi="宋体" w:eastAsia="宋体" w:cs="宋体"/>
          <w:color w:val="000000" w:themeColor="text1"/>
          <w:sz w:val="28"/>
          <w14:textFill>
            <w14:solidFill>
              <w14:schemeClr w14:val="tx1"/>
            </w14:solidFill>
          </w14:textFill>
        </w:rPr>
        <w:t>4）雷击：雷电事故有可能对建筑物和电气设备造成破坏。</w:t>
      </w:r>
    </w:p>
    <w:p w14:paraId="421E9888">
      <w:pPr>
        <w:numPr>
          <w:ilvl w:val="0"/>
          <w:numId w:val="4"/>
        </w:numPr>
        <w:tabs>
          <w:tab w:val="left" w:pos="0"/>
          <w:tab w:val="left" w:pos="840"/>
          <w:tab w:val="left" w:pos="993"/>
        </w:tabs>
        <w:adjustRightInd w:val="0"/>
        <w:snapToGrid w:val="0"/>
        <w:spacing w:line="500" w:lineRule="exact"/>
        <w:ind w:left="0" w:firstLine="560" w:firstLineChars="200"/>
        <w:rPr>
          <w:rFonts w:hint="eastAsia" w:ascii="宋体" w:hAnsi="宋体" w:eastAsia="宋体" w:cs="宋体"/>
          <w:color w:val="000000" w:themeColor="text1"/>
          <w:sz w:val="28"/>
          <w14:textFill>
            <w14:solidFill>
              <w14:schemeClr w14:val="tx1"/>
            </w14:solidFill>
          </w14:textFill>
        </w:rPr>
      </w:pPr>
      <w:r>
        <w:rPr>
          <w:rFonts w:hint="eastAsia" w:ascii="宋体" w:hAnsi="宋体" w:eastAsia="宋体" w:cs="宋体"/>
          <w:color w:val="000000" w:themeColor="text1"/>
          <w:sz w:val="28"/>
          <w14:textFill>
            <w14:solidFill>
              <w14:schemeClr w14:val="tx1"/>
            </w14:solidFill>
          </w14:textFill>
        </w:rPr>
        <w:t>地质条件方面危险、有害因素分析</w:t>
      </w:r>
    </w:p>
    <w:p w14:paraId="2ACE8215">
      <w:pPr>
        <w:tabs>
          <w:tab w:val="left" w:pos="0"/>
          <w:tab w:val="left" w:pos="840"/>
          <w:tab w:val="left" w:pos="993"/>
        </w:tabs>
        <w:adjustRightInd w:val="0"/>
        <w:snapToGrid w:val="0"/>
        <w:spacing w:line="500" w:lineRule="exact"/>
        <w:ind w:firstLine="560" w:firstLineChars="200"/>
        <w:rPr>
          <w:rFonts w:hint="eastAsia" w:ascii="宋体" w:hAnsi="宋体" w:eastAsia="宋体" w:cs="宋体"/>
          <w:color w:val="000000" w:themeColor="text1"/>
          <w:sz w:val="28"/>
          <w14:textFill>
            <w14:solidFill>
              <w14:schemeClr w14:val="tx1"/>
            </w14:solidFill>
          </w14:textFill>
        </w:rPr>
      </w:pPr>
      <w:r>
        <w:rPr>
          <w:rFonts w:hint="eastAsia" w:ascii="宋体" w:hAnsi="宋体" w:eastAsia="宋体" w:cs="宋体"/>
          <w:color w:val="000000" w:themeColor="text1"/>
          <w:sz w:val="28"/>
          <w14:textFill>
            <w14:solidFill>
              <w14:schemeClr w14:val="tx1"/>
            </w14:solidFill>
          </w14:textFill>
        </w:rPr>
        <w:t>（1）地质</w:t>
      </w:r>
    </w:p>
    <w:p w14:paraId="4F612FF4">
      <w:pPr>
        <w:tabs>
          <w:tab w:val="left" w:pos="0"/>
          <w:tab w:val="left" w:pos="840"/>
          <w:tab w:val="left" w:pos="993"/>
        </w:tabs>
        <w:adjustRightInd w:val="0"/>
        <w:snapToGrid w:val="0"/>
        <w:spacing w:line="500" w:lineRule="exact"/>
        <w:ind w:firstLine="560" w:firstLineChars="200"/>
        <w:rPr>
          <w:rFonts w:hint="eastAsia" w:ascii="宋体" w:hAnsi="宋体" w:eastAsia="宋体" w:cs="宋体"/>
          <w:color w:val="000000" w:themeColor="text1"/>
          <w:sz w:val="28"/>
          <w14:textFill>
            <w14:solidFill>
              <w14:schemeClr w14:val="tx1"/>
            </w14:solidFill>
          </w14:textFill>
        </w:rPr>
      </w:pPr>
      <w:r>
        <w:rPr>
          <w:rFonts w:hint="eastAsia" w:ascii="宋体" w:hAnsi="宋体" w:eastAsia="宋体" w:cs="宋体"/>
          <w:color w:val="000000" w:themeColor="text1"/>
          <w:sz w:val="28"/>
          <w14:textFill>
            <w14:solidFill>
              <w14:schemeClr w14:val="tx1"/>
            </w14:solidFill>
          </w14:textFill>
        </w:rPr>
        <w:t>地质灾害主要由地形地貌、地层岩性，地质构造、地下水、地震、暴雨等因素等引发。如生产过程中施工不当，也可破坏斜坡平衡，引发滑坡、崩塌等地质灾害。可能会因为地质不良或未根据地质情况采取相应的措施，造成建构筑物坍塌、地基塌陷、基础不均匀沉降等危险，基础不均匀下沉会导致设备损坏、管线破裂，发生坍塌、触电等事故。</w:t>
      </w:r>
    </w:p>
    <w:p w14:paraId="5E7972B0">
      <w:pPr>
        <w:tabs>
          <w:tab w:val="left" w:pos="0"/>
          <w:tab w:val="left" w:pos="840"/>
          <w:tab w:val="left" w:pos="993"/>
        </w:tabs>
        <w:adjustRightInd w:val="0"/>
        <w:snapToGrid w:val="0"/>
        <w:spacing w:line="500" w:lineRule="exact"/>
        <w:ind w:firstLine="560" w:firstLineChars="200"/>
        <w:rPr>
          <w:rFonts w:hint="eastAsia" w:ascii="宋体" w:hAnsi="宋体" w:eastAsia="宋体" w:cs="宋体"/>
          <w:color w:val="000000" w:themeColor="text1"/>
          <w:sz w:val="28"/>
          <w14:textFill>
            <w14:solidFill>
              <w14:schemeClr w14:val="tx1"/>
            </w14:solidFill>
          </w14:textFill>
        </w:rPr>
      </w:pPr>
      <w:r>
        <w:rPr>
          <w:rFonts w:hint="eastAsia" w:ascii="宋体" w:hAnsi="宋体" w:eastAsia="宋体" w:cs="宋体"/>
          <w:color w:val="000000" w:themeColor="text1"/>
          <w:sz w:val="28"/>
          <w14:textFill>
            <w14:solidFill>
              <w14:schemeClr w14:val="tx1"/>
            </w14:solidFill>
          </w14:textFill>
        </w:rPr>
        <w:t>（2）水文地质方面</w:t>
      </w:r>
    </w:p>
    <w:p w14:paraId="7431BBFA">
      <w:pPr>
        <w:tabs>
          <w:tab w:val="left" w:pos="0"/>
          <w:tab w:val="left" w:pos="840"/>
          <w:tab w:val="left" w:pos="993"/>
        </w:tabs>
        <w:adjustRightInd w:val="0"/>
        <w:snapToGrid w:val="0"/>
        <w:spacing w:line="500" w:lineRule="exact"/>
        <w:ind w:firstLine="560" w:firstLineChars="200"/>
        <w:rPr>
          <w:rFonts w:hint="eastAsia" w:ascii="宋体" w:hAnsi="宋体" w:eastAsia="宋体" w:cs="宋体"/>
          <w:color w:val="000000" w:themeColor="text1"/>
          <w:sz w:val="28"/>
          <w14:textFill>
            <w14:solidFill>
              <w14:schemeClr w14:val="tx1"/>
            </w14:solidFill>
          </w14:textFill>
        </w:rPr>
      </w:pPr>
      <w:r>
        <w:rPr>
          <w:rFonts w:hint="eastAsia" w:ascii="宋体" w:hAnsi="宋体" w:eastAsia="宋体" w:cs="宋体"/>
          <w:color w:val="000000" w:themeColor="text1"/>
          <w:sz w:val="28"/>
          <w14:textFill>
            <w14:solidFill>
              <w14:schemeClr w14:val="tx1"/>
            </w14:solidFill>
          </w14:textFill>
        </w:rPr>
        <w:t>1）地下水位：地下水位的变化，对工程建筑的危害影响较大，如地下水位上升，可引起浅基础地基承载力的降低，在有地震砂土液化的地区会引起液化的加剧，岩土体产生变形、滑移、崩塌失稳等不良的地质作用，继而可导致建构筑物下沉、位移、倾斜甚至坍塌；</w:t>
      </w:r>
    </w:p>
    <w:p w14:paraId="33055132">
      <w:pPr>
        <w:tabs>
          <w:tab w:val="left" w:pos="0"/>
          <w:tab w:val="left" w:pos="840"/>
          <w:tab w:val="left" w:pos="993"/>
        </w:tabs>
        <w:adjustRightInd w:val="0"/>
        <w:snapToGrid w:val="0"/>
        <w:spacing w:line="500" w:lineRule="exact"/>
        <w:ind w:firstLine="560" w:firstLineChars="200"/>
        <w:rPr>
          <w:rFonts w:hint="eastAsia" w:ascii="宋体" w:hAnsi="宋体" w:eastAsia="宋体" w:cs="宋体"/>
          <w:color w:val="000000" w:themeColor="text1"/>
          <w:sz w:val="28"/>
          <w14:textFill>
            <w14:solidFill>
              <w14:schemeClr w14:val="tx1"/>
            </w14:solidFill>
          </w14:textFill>
        </w:rPr>
      </w:pPr>
      <w:r>
        <w:rPr>
          <w:rFonts w:hint="eastAsia" w:ascii="宋体" w:hAnsi="宋体" w:eastAsia="宋体" w:cs="宋体"/>
          <w:color w:val="000000" w:themeColor="text1"/>
          <w:sz w:val="28"/>
          <w14:textFill>
            <w14:solidFill>
              <w14:schemeClr w14:val="tx1"/>
            </w14:solidFill>
          </w14:textFill>
        </w:rPr>
        <w:t>2）地下水侵蚀：地下水侵蚀性的影响主要体现在水对混凝土、可溶性石材、管道以及金属材料的侵蚀和危害。突出表现在地下水的侵蚀性和地下水中的化学性质的积极作用，在工程上带来较大的危害，侵蚀性在或快或慢的进行，可改变各种建筑材料的使用预期，造成建构筑物使用寿命的降低；</w:t>
      </w:r>
    </w:p>
    <w:p w14:paraId="6E08A9E0">
      <w:pPr>
        <w:tabs>
          <w:tab w:val="left" w:pos="0"/>
          <w:tab w:val="left" w:pos="840"/>
          <w:tab w:val="left" w:pos="993"/>
        </w:tabs>
        <w:adjustRightInd w:val="0"/>
        <w:snapToGrid w:val="0"/>
        <w:spacing w:line="500" w:lineRule="exact"/>
        <w:ind w:firstLine="560" w:firstLineChars="200"/>
        <w:rPr>
          <w:rFonts w:hint="eastAsia" w:ascii="宋体" w:hAnsi="宋体" w:eastAsia="宋体" w:cs="宋体"/>
          <w:color w:val="000000" w:themeColor="text1"/>
          <w:sz w:val="28"/>
          <w14:textFill>
            <w14:solidFill>
              <w14:schemeClr w14:val="tx1"/>
            </w14:solidFill>
          </w14:textFill>
        </w:rPr>
      </w:pPr>
      <w:r>
        <w:rPr>
          <w:rFonts w:hint="eastAsia" w:ascii="宋体" w:hAnsi="宋体" w:eastAsia="宋体" w:cs="宋体"/>
          <w:color w:val="000000" w:themeColor="text1"/>
          <w:sz w:val="28"/>
          <w14:textFill>
            <w14:solidFill>
              <w14:schemeClr w14:val="tx1"/>
            </w14:solidFill>
          </w14:textFill>
        </w:rPr>
        <w:t>3）过度开采地下水：若厂区或周边企业违规自设水井开采地下水，地下水的过度开采经常造成地面沉陷，塌陷的地面给工程造成极大的危害，可致使场地地质状况下降，导致建构筑物下沉、倾斜甚至坍塌，给人员带来安全隐患。</w:t>
      </w:r>
    </w:p>
    <w:p w14:paraId="5D69F7DA">
      <w:pPr>
        <w:tabs>
          <w:tab w:val="left" w:pos="0"/>
          <w:tab w:val="left" w:pos="840"/>
          <w:tab w:val="left" w:pos="993"/>
        </w:tabs>
        <w:adjustRightInd w:val="0"/>
        <w:snapToGrid w:val="0"/>
        <w:spacing w:line="500" w:lineRule="exact"/>
        <w:ind w:left="560"/>
        <w:rPr>
          <w:rFonts w:hint="eastAsia" w:ascii="宋体" w:hAnsi="宋体" w:eastAsia="宋体" w:cs="宋体"/>
          <w:color w:val="000000" w:themeColor="text1"/>
          <w:sz w:val="28"/>
          <w14:textFill>
            <w14:solidFill>
              <w14:schemeClr w14:val="tx1"/>
            </w14:solidFill>
          </w14:textFill>
        </w:rPr>
      </w:pPr>
      <w:r>
        <w:rPr>
          <w:rFonts w:hint="eastAsia" w:ascii="宋体" w:hAnsi="宋体" w:eastAsia="宋体" w:cs="宋体"/>
          <w:color w:val="000000" w:themeColor="text1"/>
          <w:sz w:val="28"/>
          <w14:textFill>
            <w14:solidFill>
              <w14:schemeClr w14:val="tx1"/>
            </w14:solidFill>
          </w14:textFill>
        </w:rPr>
        <w:t>（3）地震</w:t>
      </w:r>
    </w:p>
    <w:p w14:paraId="45563B3D">
      <w:pPr>
        <w:tabs>
          <w:tab w:val="left" w:pos="0"/>
          <w:tab w:val="left" w:pos="840"/>
          <w:tab w:val="left" w:pos="993"/>
        </w:tabs>
        <w:adjustRightInd w:val="0"/>
        <w:snapToGrid w:val="0"/>
        <w:spacing w:line="500" w:lineRule="exact"/>
        <w:ind w:firstLine="560" w:firstLineChars="200"/>
        <w:rPr>
          <w:rFonts w:hint="eastAsia" w:ascii="宋体" w:hAnsi="宋体" w:eastAsia="宋体" w:cs="宋体"/>
          <w:color w:val="000000" w:themeColor="text1"/>
          <w:sz w:val="28"/>
          <w14:textFill>
            <w14:solidFill>
              <w14:schemeClr w14:val="tx1"/>
            </w14:solidFill>
          </w14:textFill>
        </w:rPr>
      </w:pPr>
      <w:r>
        <w:rPr>
          <w:rFonts w:hint="eastAsia" w:ascii="宋体" w:hAnsi="宋体" w:eastAsia="宋体" w:cs="宋体"/>
          <w:color w:val="000000" w:themeColor="text1"/>
          <w:sz w:val="28"/>
          <w14:textFill>
            <w14:solidFill>
              <w14:schemeClr w14:val="tx1"/>
            </w14:solidFill>
          </w14:textFill>
        </w:rPr>
        <w:t>如各建构筑物抗震设防等级不满足要求，地震可破坏建筑物基础，造成建筑物坍塌，造成人员、财产重大损失。</w:t>
      </w:r>
    </w:p>
    <w:p w14:paraId="182B7339">
      <w:pPr>
        <w:numPr>
          <w:ilvl w:val="0"/>
          <w:numId w:val="4"/>
        </w:numPr>
        <w:tabs>
          <w:tab w:val="left" w:pos="0"/>
          <w:tab w:val="left" w:pos="840"/>
          <w:tab w:val="left" w:pos="993"/>
        </w:tabs>
        <w:adjustRightInd w:val="0"/>
        <w:snapToGrid w:val="0"/>
        <w:spacing w:line="500" w:lineRule="exact"/>
        <w:ind w:left="0" w:firstLine="560" w:firstLineChars="200"/>
        <w:rPr>
          <w:rFonts w:hint="eastAsia" w:ascii="宋体" w:hAnsi="宋体" w:eastAsia="宋体" w:cs="宋体"/>
          <w:color w:val="000000" w:themeColor="text1"/>
          <w:sz w:val="28"/>
          <w14:textFill>
            <w14:solidFill>
              <w14:schemeClr w14:val="tx1"/>
            </w14:solidFill>
          </w14:textFill>
        </w:rPr>
      </w:pPr>
      <w:r>
        <w:rPr>
          <w:rFonts w:hint="eastAsia" w:ascii="宋体" w:hAnsi="宋体" w:eastAsia="宋体" w:cs="宋体"/>
          <w:color w:val="000000" w:themeColor="text1"/>
          <w:sz w:val="28"/>
          <w14:textFill>
            <w14:solidFill>
              <w14:schemeClr w14:val="tx1"/>
            </w14:solidFill>
          </w14:textFill>
        </w:rPr>
        <w:t>周边环境因素对企业的影响分析</w:t>
      </w:r>
    </w:p>
    <w:p w14:paraId="55EFFFF0">
      <w:pPr>
        <w:adjustRightInd w:val="0"/>
        <w:snapToGrid w:val="0"/>
        <w:spacing w:line="500" w:lineRule="exact"/>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（1）厂外企业发生不可控的安全生产事故，容易影响到本公司厂房和设备设施的安全，引发建（构）筑物坍塌、火灾等事故。事故会造成人员损伤和财产损失，终止生产运行。</w:t>
      </w:r>
      <w:r>
        <w:rPr>
          <w:rFonts w:hint="eastAsia" w:ascii="宋体" w:hAnsi="宋体" w:eastAsia="宋体" w:cs="宋体"/>
          <w:color w:val="000000" w:themeColor="text1"/>
          <w:sz w:val="28"/>
          <w:szCs w:val="28"/>
          <w:lang w:val="en-US" w:eastAsia="zh-CN"/>
          <w14:textFill>
            <w14:solidFill>
              <w14:schemeClr w14:val="tx1"/>
            </w14:solidFill>
          </w14:textFill>
        </w:rPr>
        <w:t>如厂区东西两侧企业发生火灾爆炸等。</w:t>
      </w:r>
    </w:p>
    <w:p w14:paraId="733A76CC">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（2）本公司内部其他相关方事故及本公司周边外单位事故可能影响到本公司内部生产安全，影响范围主要为本公司与周边单位相邻区域。</w:t>
      </w:r>
    </w:p>
    <w:p w14:paraId="24EC5D6F">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332" w:name="_Toc11851"/>
      <w:bookmarkStart w:id="333" w:name="_Toc16423"/>
      <w:bookmarkStart w:id="334" w:name="_Toc7008"/>
      <w:bookmarkStart w:id="335" w:name="_Toc26286"/>
      <w:bookmarkStart w:id="336" w:name="_Toc61474416"/>
      <w:bookmarkStart w:id="337" w:name="_Toc17415"/>
      <w:bookmarkStart w:id="338" w:name="_Toc1063"/>
      <w:bookmarkStart w:id="339" w:name="_Toc30001394"/>
      <w:bookmarkStart w:id="340" w:name="_Toc2332"/>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3.5.2总平面布置危险性分析</w:t>
      </w:r>
      <w:bookmarkEnd w:id="332"/>
      <w:bookmarkEnd w:id="333"/>
      <w:bookmarkEnd w:id="334"/>
      <w:bookmarkEnd w:id="335"/>
      <w:bookmarkEnd w:id="336"/>
      <w:bookmarkEnd w:id="337"/>
      <w:bookmarkEnd w:id="338"/>
      <w:bookmarkEnd w:id="339"/>
      <w:bookmarkEnd w:id="340"/>
    </w:p>
    <w:p w14:paraId="701A57AF">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项目总体布置应全面考虑自然条件、社会环境、安全卫生设施、交通道路、建筑物间的防火间距、枢纽规划和环境绿化等对劳动安全和工业卫生都有直接影响的因素，应统一规划，合理安排。</w:t>
      </w:r>
    </w:p>
    <w:p w14:paraId="5A16126C">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总平面布置可能对项目造成危害的主要是防火间距、风向、道路、采光、通风、布置等方面。总平面布置不合理可能会导致火灾、物体打击、机械伤害、车辆伤害、触电、坍塌等危险。引发事故的原因主要有：</w:t>
      </w:r>
    </w:p>
    <w:p w14:paraId="3CFF9548">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1、设备、设施安全通道预留不足，或相关通道阻塞，可导致设备检修、巡检不便，发生机械伤害、灼烫、触电等类型事故。</w:t>
      </w:r>
    </w:p>
    <w:p w14:paraId="3AB164B6">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2、如建（构）筑物之间通道阻塞致使防火间距预留不足，如发生火灾等事故，可能导致事故范围和等级扩大。</w:t>
      </w:r>
      <w:r>
        <w:rPr>
          <w:rFonts w:hint="eastAsia" w:ascii="宋体" w:hAnsi="宋体" w:eastAsia="宋体" w:cs="宋体"/>
          <w:color w:val="000000" w:themeColor="text1"/>
          <w:sz w:val="28"/>
          <w:szCs w:val="28"/>
          <w:lang w:val="en-US" w:eastAsia="zh-CN"/>
          <w14:textFill>
            <w14:solidFill>
              <w14:schemeClr w14:val="tx1"/>
            </w14:solidFill>
          </w14:textFill>
        </w:rPr>
        <w:t>当周边的设施或者建筑发生火灾、坍塌等事故时，可能会对厂内建筑物、设施造成一定影响；厂内建筑物发生火灾时，可能造成周边设施或建构筑物造成火</w:t>
      </w:r>
      <w:r>
        <w:rPr>
          <w:rFonts w:hint="eastAsia" w:ascii="宋体" w:hAnsi="宋体" w:eastAsia="宋体" w:cs="宋体"/>
          <w:color w:val="000000"/>
          <w:kern w:val="0"/>
          <w:sz w:val="28"/>
          <w:szCs w:val="28"/>
          <w:lang w:val="en-US" w:eastAsia="zh-CN" w:bidi="ar"/>
        </w:rPr>
        <w:t>灾的影响。</w:t>
      </w:r>
    </w:p>
    <w:p w14:paraId="20909247">
      <w:pPr>
        <w:adjustRightInd w:val="0"/>
        <w:snapToGrid w:val="0"/>
        <w:spacing w:line="500" w:lineRule="exact"/>
        <w:ind w:firstLine="560" w:firstLineChars="200"/>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3、设备布置过于拥挤，作业区域空间狭小，未设防护挡板等可导致人员受到机械伤害，物体打击伤害</w:t>
      </w:r>
      <w:r>
        <w:rPr>
          <w:rFonts w:hint="eastAsia" w:ascii="宋体" w:hAnsi="宋体" w:eastAsia="宋体" w:cs="宋体"/>
          <w:snapToGrid w:val="0"/>
          <w:color w:val="000000" w:themeColor="text1"/>
          <w:kern w:val="0"/>
          <w:sz w:val="28"/>
          <w:szCs w:val="28"/>
          <w14:textFill>
            <w14:solidFill>
              <w14:schemeClr w14:val="tx1"/>
            </w14:solidFill>
          </w14:textFill>
        </w:rPr>
        <w:t>。</w:t>
      </w:r>
    </w:p>
    <w:p w14:paraId="076D4F73">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w:t>
      </w:r>
      <w:r>
        <w:rPr>
          <w:rFonts w:hint="eastAsia" w:ascii="宋体" w:hAnsi="宋体" w:eastAsia="宋体" w:cs="宋体"/>
          <w:color w:val="000000" w:themeColor="text1"/>
          <w:sz w:val="28"/>
          <w:szCs w:val="28"/>
          <w:lang w:val="en-US" w:eastAsia="zh-CN"/>
          <w14:textFill>
            <w14:solidFill>
              <w14:schemeClr w14:val="tx1"/>
            </w14:solidFill>
          </w14:textFill>
        </w:rPr>
        <w:t>厂区</w:t>
      </w:r>
      <w:r>
        <w:rPr>
          <w:rFonts w:hint="eastAsia" w:ascii="宋体" w:hAnsi="宋体" w:eastAsia="宋体" w:cs="宋体"/>
          <w:color w:val="000000" w:themeColor="text1"/>
          <w:sz w:val="28"/>
          <w:szCs w:val="28"/>
          <w14:textFill>
            <w14:solidFill>
              <w14:schemeClr w14:val="tx1"/>
            </w14:solidFill>
          </w14:textFill>
        </w:rPr>
        <w:t>出入口存在死角或宽度不足，未设置交通警示标志等，可能引发车辆伤害。</w:t>
      </w:r>
    </w:p>
    <w:p w14:paraId="1B40D260">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厂区出入口与园区道路相连接，若厂外道路发生交通事故、车辆火灾爆炸等可能使本项目人员、运输车辆无法正常出行，因救火、疏散等原因，还可能导致厂区周边道路发生交通阻塞。</w:t>
      </w:r>
    </w:p>
    <w:p w14:paraId="431BB7C4">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341" w:name="_Toc31881"/>
      <w:bookmarkStart w:id="342" w:name="_Toc20477"/>
      <w:bookmarkStart w:id="343" w:name="_Toc8862"/>
      <w:bookmarkStart w:id="344" w:name="_Toc21084"/>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3.5.3公用工程和辅助设施的危险、有害因素辨识</w:t>
      </w:r>
      <w:bookmarkEnd w:id="341"/>
      <w:bookmarkEnd w:id="342"/>
      <w:bookmarkEnd w:id="343"/>
      <w:bookmarkEnd w:id="344"/>
    </w:p>
    <w:p w14:paraId="4CF33747">
      <w:pPr>
        <w:pStyle w:val="5"/>
        <w:keepNext w:val="0"/>
        <w:keepLines w:val="0"/>
        <w:pageBreakBefore w:val="0"/>
        <w:widowControl w:val="0"/>
        <w:kinsoku/>
        <w:wordWrap/>
        <w:overflowPunct/>
        <w:topLinePunct w:val="0"/>
        <w:autoSpaceDE/>
        <w:autoSpaceDN/>
        <w:bidi w:val="0"/>
        <w:adjustRightInd/>
        <w:snapToGrid w:val="0"/>
        <w:spacing w:line="520" w:lineRule="exact"/>
        <w:ind w:firstLine="0" w:firstLineChars="0"/>
        <w:jc w:val="both"/>
        <w:textAlignment w:val="auto"/>
        <w:rPr>
          <w:rFonts w:hint="eastAsia" w:ascii="宋体" w:hAnsi="宋体" w:eastAsia="宋体" w:cs="宋体"/>
          <w:color w:val="000000" w:themeColor="text1"/>
          <w:kern w:val="0"/>
          <w14:textFill>
            <w14:solidFill>
              <w14:schemeClr w14:val="tx1"/>
            </w14:solidFill>
          </w14:textFill>
        </w:rPr>
      </w:pPr>
      <w:r>
        <w:rPr>
          <w:rFonts w:hint="eastAsia" w:ascii="宋体" w:hAnsi="宋体" w:eastAsia="宋体" w:cs="宋体"/>
          <w:color w:val="000000" w:themeColor="text1"/>
          <w:kern w:val="0"/>
          <w14:textFill>
            <w14:solidFill>
              <w14:schemeClr w14:val="tx1"/>
            </w14:solidFill>
          </w14:textFill>
        </w:rPr>
        <w:t>3.5.</w:t>
      </w:r>
      <w:r>
        <w:rPr>
          <w:rFonts w:hint="eastAsia" w:ascii="宋体" w:hAnsi="宋体" w:eastAsia="宋体" w:cs="宋体"/>
          <w:color w:val="000000" w:themeColor="text1"/>
          <w:kern w:val="0"/>
          <w:lang w:val="en-US" w:eastAsia="zh-CN"/>
          <w14:textFill>
            <w14:solidFill>
              <w14:schemeClr w14:val="tx1"/>
            </w14:solidFill>
          </w14:textFill>
        </w:rPr>
        <w:t>3</w:t>
      </w:r>
      <w:r>
        <w:rPr>
          <w:rFonts w:hint="eastAsia" w:ascii="宋体" w:hAnsi="宋体" w:eastAsia="宋体" w:cs="宋体"/>
          <w:color w:val="000000" w:themeColor="text1"/>
          <w:kern w:val="0"/>
          <w14:textFill>
            <w14:solidFill>
              <w14:schemeClr w14:val="tx1"/>
            </w14:solidFill>
          </w14:textFill>
        </w:rPr>
        <w:t>.1供配电系统危险性分析</w:t>
      </w:r>
    </w:p>
    <w:p w14:paraId="7ECDA404">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该项目电气设备主要包括：</w:t>
      </w:r>
      <w:r>
        <w:rPr>
          <w:rFonts w:hint="eastAsia" w:ascii="宋体" w:hAnsi="宋体" w:eastAsia="宋体" w:cs="宋体"/>
          <w:color w:val="000000" w:themeColor="text1"/>
          <w:highlight w:val="none"/>
          <w14:textFill>
            <w14:solidFill>
              <w14:schemeClr w14:val="tx1"/>
            </w14:solidFill>
          </w14:textFill>
        </w:rPr>
        <w:t>变压器、</w:t>
      </w:r>
      <w:r>
        <w:rPr>
          <w:rFonts w:hint="eastAsia" w:ascii="宋体" w:hAnsi="宋体" w:eastAsia="宋体" w:cs="宋体"/>
          <w:color w:val="000000" w:themeColor="text1"/>
          <w14:textFill>
            <w14:solidFill>
              <w14:schemeClr w14:val="tx1"/>
            </w14:solidFill>
          </w14:textFill>
        </w:rPr>
        <w:t>电力线路、配电柜、照明灯具、用电设备等。这些电气设备主要存在：触电及电气火灾等危险。</w:t>
      </w:r>
    </w:p>
    <w:p w14:paraId="47CA3422">
      <w:pPr>
        <w:pStyle w:val="42"/>
        <w:adjustRightInd w:val="0"/>
        <w:snapToGrid w:val="0"/>
        <w:rPr>
          <w:rFonts w:hint="eastAsia" w:ascii="宋体" w:hAnsi="宋体" w:eastAsia="宋体" w:cs="宋体"/>
          <w:color w:val="000000" w:themeColor="text1"/>
          <w:highlight w:val="yellow"/>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变压器危险、有害因素分析</w:t>
      </w:r>
    </w:p>
    <w:p w14:paraId="50934934">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变压器是利用电磁感应原理，把交流电能转变为不同电压、电流等参数的另一种电能的设备，发事故的原因主要有：</w:t>
      </w:r>
    </w:p>
    <w:p w14:paraId="3D701FC2">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（1）变压器长期过载，会引起线圈发热，使绝缘逐渐老化，造成匝间短路、相间短路或对地短路，引起变压器燃烧爆炸。</w:t>
      </w:r>
    </w:p>
    <w:p w14:paraId="53230619">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（2）变压器绝缘油在储存、运输或运行维护中不慎使水分、杂质或其他油污等混入油中后，会使绝缘强度大幅度降低。当其绝缘强度降低到一定值时在试验过程中就会发生短路。</w:t>
      </w:r>
    </w:p>
    <w:p w14:paraId="4A4A0350">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（3）硅钢片之间绝缘老化，或者夹紧铁芯的螺栓套管损坏，使铁芯产生很大的涡流，引起发热而使温度升高，也将加速绝缘的老化。</w:t>
      </w:r>
    </w:p>
    <w:p w14:paraId="393E82C8">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（4）在吊芯检修时，常常由于不慎将线圈的绝缘和瓷套管损坏瓷套管损坏后，如继续运行，轻则闪络，重则短路。</w:t>
      </w:r>
    </w:p>
    <w:p w14:paraId="5375A574">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线圈内部的接头、线圈之间的连接点和引至高、低压瓷套管的接点及分接开关上各接点，如接触不良会产生局部过热，破坏线圈绝缘，发生短路或断路。此时所产生高温的电弧，同样会使绝缘油迅速分解，产生大量气体，使压力骤增，破坏力极大，后果也十分严重。</w:t>
      </w:r>
    </w:p>
    <w:p w14:paraId="40F60202">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（6）导线接触不良的原因有：螺栓松动、焊接不牢、分接开关接点损坏等。</w:t>
      </w:r>
    </w:p>
    <w:p w14:paraId="7F9AB16C">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（7）当变压器负载发生短路时，变压器将承受相当大的短路电流如保护系统失灵或整定值过大，就有可能烧毁变压器。</w:t>
      </w:r>
    </w:p>
    <w:p w14:paraId="0CC1516D">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（8）变压器未采取隔离、防护措施，致使工作人员意外接触带电体。</w:t>
      </w:r>
    </w:p>
    <w:p w14:paraId="0AB8EE86">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（9）不严格执行工作票制度，如违章作业，操作失误，未穿戴绝缘的劳动服等。</w:t>
      </w:r>
    </w:p>
    <w:p w14:paraId="5C4E51CE">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（10）作业人员未取得电工资质证，缺乏用电常识。</w:t>
      </w:r>
    </w:p>
    <w:p w14:paraId="4929314A">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（11）作业人员缺乏自我保护意识等。</w:t>
      </w:r>
    </w:p>
    <w:p w14:paraId="6FC94365">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（12）其他可能导致事故的原因。</w:t>
      </w:r>
    </w:p>
    <w:p w14:paraId="018FCD6E">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电气线路危险、有害因素分析</w:t>
      </w:r>
    </w:p>
    <w:p w14:paraId="1FB46981">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电气线路是电力系统的重要组成部分，一般为架空线路、电缆线路，其主要存在火灾和触电危险。引发事故的原因主要有：</w:t>
      </w:r>
    </w:p>
    <w:p w14:paraId="39FF4754">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（1）厂外进线的电杆倒折、电线断落或搭在易燃物上，易造成架空线路短路，出现电火花、电弧。</w:t>
      </w:r>
    </w:p>
    <w:p w14:paraId="15F974F8">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（2）电杆杆距过大，线间距过小或布线过松，没有拉紧，在大风和外力作用下，容易碰在一起造成短路，或者布线时把导线拉得过紧也易发生导线断裂事故，引起火灾或触电事故。</w:t>
      </w:r>
    </w:p>
    <w:p w14:paraId="60EB2BE4">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（3）架空线路遭到雷击，使线路绝缘损坏，并产生下频短路电弧从而使线路跳闸，影响正常供电。</w:t>
      </w:r>
    </w:p>
    <w:p w14:paraId="3EBA5294">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（4）电缆本身在制造时有缺陷，在敷设时保护铅皮损坏或在运行中电缆绝缘受到机械损伤，引起电缆之间或铅皮之间的绝缘击穿而发生电弧。电弧高温能引燃电缆内的绝缘材料和电缆外层的麻布等。</w:t>
      </w:r>
    </w:p>
    <w:p w14:paraId="3191F2F7">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（5）埋地电缆长期受水、酸碱性土壤腐蚀使保护层破坏，绝缘强度降低，引起电缆短路起火。</w:t>
      </w:r>
    </w:p>
    <w:p w14:paraId="2359F123">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（6）长时间运行中，由于过负荷、过热等原因使电缆绝缘加速老化、干枯，绝缘强度降低，引起电缆相间或对地击穿短路起火。</w:t>
      </w:r>
    </w:p>
    <w:p w14:paraId="25F08018">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（7）电缆外护套破损或密封不良，使电缆发生水渗浸受潮，导致绝缘击穿短路。</w:t>
      </w:r>
    </w:p>
    <w:p w14:paraId="360636D0">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（8）过电压使电缆绝缘击穿发生短路起火。</w:t>
      </w:r>
    </w:p>
    <w:p w14:paraId="77D4008A">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（9）安装时电缆的曲率半径过小，致使绝缘折断受损发生短路。</w:t>
      </w:r>
    </w:p>
    <w:p w14:paraId="574128CE">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（10）电缆终端接头和中间接头接触不良发生短路事故，引起电缆着火。</w:t>
      </w:r>
    </w:p>
    <w:p w14:paraId="2825C78E">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（11）开关设备及其他电气设备短路或接触电阻过大产生高温起火将附近电缆引燃、安装施工和检修时高温焊渣等掉到电缆上引起着火或其他可燃、易燃物品着火后将附近电缆引燃。</w:t>
      </w:r>
    </w:p>
    <w:p w14:paraId="316A1EC5">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（12）电缆绝缘材料腐蚀受损或机械受损等脱落后，人员赤身接触导电线。</w:t>
      </w:r>
    </w:p>
    <w:p w14:paraId="6FDD3D1A">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（13）作业人员缺乏自我保护意识等。</w:t>
      </w:r>
    </w:p>
    <w:p w14:paraId="6DE49E10">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（14） 其他可能导致事故的原因。</w:t>
      </w:r>
    </w:p>
    <w:p w14:paraId="150C0F93">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其他电气设备危险、有害因素分析</w:t>
      </w:r>
    </w:p>
    <w:p w14:paraId="52F52C11">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该项目其他电气设备包括配电箱(柜)、照明系统等，主要存在火灾和触电危险。引发事故的原因主要有：</w:t>
      </w:r>
    </w:p>
    <w:p w14:paraId="078EB86C">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 电气设备及线路的日常管理、维护不当，电气设备、线路老化、绝缘破损、漏电且无接地接零保护。</w:t>
      </w:r>
    </w:p>
    <w:p w14:paraId="1326EBFC">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（2）作业人员缺乏用电常识。</w:t>
      </w:r>
    </w:p>
    <w:p w14:paraId="2A0C41C1">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（3）条件不允许而带电作业或施工中误合电闸送电</w:t>
      </w:r>
    </w:p>
    <w:p w14:paraId="78FCE4A6">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（4）无漏电保护器或漏电保护器失效。</w:t>
      </w:r>
    </w:p>
    <w:p w14:paraId="4B63CA34">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（5）超标使用保险丝、空气开关等。</w:t>
      </w:r>
    </w:p>
    <w:p w14:paraId="2863306D">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（6）断路器失效、设备无接地接零或失效</w:t>
      </w:r>
    </w:p>
    <w:p w14:paraId="3A832093">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（7）电器开关损坏、漏电。</w:t>
      </w:r>
    </w:p>
    <w:p w14:paraId="1F12E918">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（8）不严格执行工作票制度，违章作业，操作失误等。</w:t>
      </w:r>
    </w:p>
    <w:p w14:paraId="7F42B6E7">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（9）其他可能导致事故的原因。</w:t>
      </w:r>
    </w:p>
    <w:p w14:paraId="1E7484A1">
      <w:pPr>
        <w:pStyle w:val="5"/>
        <w:keepNext w:val="0"/>
        <w:keepLines w:val="0"/>
        <w:pageBreakBefore w:val="0"/>
        <w:widowControl w:val="0"/>
        <w:kinsoku/>
        <w:wordWrap/>
        <w:overflowPunct/>
        <w:topLinePunct w:val="0"/>
        <w:autoSpaceDE/>
        <w:autoSpaceDN/>
        <w:bidi w:val="0"/>
        <w:adjustRightInd/>
        <w:snapToGrid w:val="0"/>
        <w:spacing w:line="520" w:lineRule="exact"/>
        <w:ind w:firstLine="0" w:firstLineChars="0"/>
        <w:jc w:val="both"/>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kern w:val="0"/>
          <w14:textFill>
            <w14:solidFill>
              <w14:schemeClr w14:val="tx1"/>
            </w14:solidFill>
          </w14:textFill>
        </w:rPr>
        <w:t>3.</w:t>
      </w:r>
      <w:r>
        <w:rPr>
          <w:rFonts w:hint="eastAsia" w:ascii="宋体" w:hAnsi="宋体" w:eastAsia="宋体" w:cs="宋体"/>
          <w:color w:val="000000" w:themeColor="text1"/>
          <w:kern w:val="0"/>
          <w:lang w:val="en-US" w:eastAsia="zh-CN"/>
          <w14:textFill>
            <w14:solidFill>
              <w14:schemeClr w14:val="tx1"/>
            </w14:solidFill>
          </w14:textFill>
        </w:rPr>
        <w:t>5</w:t>
      </w:r>
      <w:r>
        <w:rPr>
          <w:rFonts w:hint="eastAsia" w:ascii="宋体" w:hAnsi="宋体" w:eastAsia="宋体" w:cs="宋体"/>
          <w:color w:val="000000" w:themeColor="text1"/>
          <w:kern w:val="0"/>
          <w14:textFill>
            <w14:solidFill>
              <w14:schemeClr w14:val="tx1"/>
            </w14:solidFill>
          </w14:textFill>
        </w:rPr>
        <w:t>.</w:t>
      </w:r>
      <w:r>
        <w:rPr>
          <w:rFonts w:hint="eastAsia" w:ascii="宋体" w:hAnsi="宋体" w:eastAsia="宋体" w:cs="宋体"/>
          <w:color w:val="000000" w:themeColor="text1"/>
          <w:kern w:val="0"/>
          <w:lang w:val="en-US" w:eastAsia="zh-CN"/>
          <w14:textFill>
            <w14:solidFill>
              <w14:schemeClr w14:val="tx1"/>
            </w14:solidFill>
          </w14:textFill>
        </w:rPr>
        <w:t>3</w:t>
      </w:r>
      <w:r>
        <w:rPr>
          <w:rFonts w:hint="eastAsia" w:ascii="宋体" w:hAnsi="宋体" w:eastAsia="宋体" w:cs="宋体"/>
          <w:color w:val="000000" w:themeColor="text1"/>
          <w:kern w:val="0"/>
          <w14:textFill>
            <w14:solidFill>
              <w14:schemeClr w14:val="tx1"/>
            </w14:solidFill>
          </w14:textFill>
        </w:rPr>
        <w:t>.2给排水危险、有害因素分析</w:t>
      </w:r>
    </w:p>
    <w:p w14:paraId="2CC689C3">
      <w:pPr>
        <w:pStyle w:val="42"/>
        <w:adjustRightInd w:val="0"/>
        <w:snapToGrid w:val="0"/>
        <w:ind w:firstLine="562"/>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lang w:val="en-US" w:eastAsia="zh-CN"/>
          <w14:textFill>
            <w14:solidFill>
              <w14:schemeClr w14:val="tx1"/>
            </w14:solidFill>
          </w14:textFill>
        </w:rPr>
        <w:t>1.</w:t>
      </w:r>
      <w:r>
        <w:rPr>
          <w:rFonts w:hint="eastAsia" w:ascii="宋体" w:hAnsi="宋体" w:eastAsia="宋体" w:cs="宋体"/>
          <w:b/>
          <w:bCs/>
          <w:color w:val="000000" w:themeColor="text1"/>
          <w14:textFill>
            <w14:solidFill>
              <w14:schemeClr w14:val="tx1"/>
            </w14:solidFill>
          </w14:textFill>
        </w:rPr>
        <w:t>触电危险性分析</w:t>
      </w:r>
    </w:p>
    <w:p w14:paraId="6F4B7877">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控制柜、动力装置及其他机电设备受潮，导致绝缘性下降，未按要求穿戴劳动防护用品和违章作业，易发生触电事故。</w:t>
      </w:r>
    </w:p>
    <w:p w14:paraId="7888A1A3">
      <w:pPr>
        <w:pStyle w:val="42"/>
        <w:adjustRightInd w:val="0"/>
        <w:snapToGrid w:val="0"/>
        <w:ind w:firstLine="562"/>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lang w:val="en-US" w:eastAsia="zh-CN"/>
          <w14:textFill>
            <w14:solidFill>
              <w14:schemeClr w14:val="tx1"/>
            </w14:solidFill>
          </w14:textFill>
        </w:rPr>
        <w:t>2.</w:t>
      </w:r>
      <w:r>
        <w:rPr>
          <w:rFonts w:hint="eastAsia" w:ascii="宋体" w:hAnsi="宋体" w:eastAsia="宋体" w:cs="宋体"/>
          <w:b/>
          <w:bCs/>
          <w:color w:val="000000" w:themeColor="text1"/>
          <w14:textFill>
            <w14:solidFill>
              <w14:schemeClr w14:val="tx1"/>
            </w14:solidFill>
          </w14:textFill>
        </w:rPr>
        <w:t>机械伤害危险性分析</w:t>
      </w:r>
    </w:p>
    <w:p w14:paraId="3E2A7054">
      <w:pPr>
        <w:pStyle w:val="42"/>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消防</w:t>
      </w:r>
      <w:r>
        <w:rPr>
          <w:rFonts w:hint="eastAsia" w:ascii="宋体" w:hAnsi="宋体" w:eastAsia="宋体" w:cs="宋体"/>
          <w:color w:val="000000" w:themeColor="text1"/>
          <w14:textFill>
            <w14:solidFill>
              <w14:schemeClr w14:val="tx1"/>
            </w14:solidFill>
          </w14:textFill>
        </w:rPr>
        <w:t>水泵在使用过程中，可能因防护罩强度不足、缺失、违章操作等原因导致机械伤害事故的发生。</w:t>
      </w:r>
    </w:p>
    <w:p w14:paraId="3A2F9EE7">
      <w:pPr>
        <w:pStyle w:val="42"/>
        <w:adjustRightInd w:val="0"/>
        <w:snapToGrid w:val="0"/>
        <w:ind w:firstLine="562"/>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lang w:val="en-US" w:eastAsia="zh-CN"/>
          <w14:textFill>
            <w14:solidFill>
              <w14:schemeClr w14:val="tx1"/>
            </w14:solidFill>
          </w14:textFill>
        </w:rPr>
        <w:t>3.</w:t>
      </w:r>
      <w:r>
        <w:rPr>
          <w:rFonts w:hint="eastAsia" w:ascii="宋体" w:hAnsi="宋体" w:eastAsia="宋体" w:cs="宋体"/>
          <w:b/>
          <w:bCs/>
          <w:color w:val="000000" w:themeColor="text1"/>
          <w14:textFill>
            <w14:solidFill>
              <w14:schemeClr w14:val="tx1"/>
            </w14:solidFill>
          </w14:textFill>
        </w:rPr>
        <w:t>其他危险性分析</w:t>
      </w:r>
    </w:p>
    <w:p w14:paraId="2E1364E9">
      <w:pPr>
        <w:pStyle w:val="42"/>
        <w:adjustRightInd w:val="0"/>
        <w:snapToGrid w:val="0"/>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除了以上列举的危险、有害因素外，该项目中还存在场地湿滑造成人员不慎摔伤以及泵运行时产生噪声等危害</w:t>
      </w:r>
      <w:r>
        <w:rPr>
          <w:rFonts w:hint="eastAsia" w:ascii="宋体" w:hAnsi="宋体" w:eastAsia="宋体" w:cs="宋体"/>
          <w:color w:val="000000" w:themeColor="text1"/>
          <w:lang w:eastAsia="zh-CN"/>
          <w14:textFill>
            <w14:solidFill>
              <w14:schemeClr w14:val="tx1"/>
            </w14:solidFill>
          </w14:textFill>
        </w:rPr>
        <w:t>。</w:t>
      </w:r>
    </w:p>
    <w:p w14:paraId="1CE916C5">
      <w:pPr>
        <w:pStyle w:val="5"/>
        <w:keepNext w:val="0"/>
        <w:keepLines w:val="0"/>
        <w:pageBreakBefore w:val="0"/>
        <w:widowControl w:val="0"/>
        <w:kinsoku/>
        <w:wordWrap/>
        <w:overflowPunct/>
        <w:topLinePunct w:val="0"/>
        <w:autoSpaceDE/>
        <w:autoSpaceDN/>
        <w:bidi w:val="0"/>
        <w:adjustRightInd/>
        <w:snapToGrid w:val="0"/>
        <w:spacing w:line="520" w:lineRule="exact"/>
        <w:ind w:firstLine="0" w:firstLineChars="0"/>
        <w:jc w:val="both"/>
        <w:textAlignment w:val="auto"/>
        <w:rPr>
          <w:rFonts w:hint="eastAsia" w:ascii="宋体" w:hAnsi="宋体" w:eastAsia="宋体" w:cs="宋体"/>
          <w:color w:val="000000" w:themeColor="text1"/>
          <w:kern w:val="0"/>
          <w:lang w:val="en-US" w:eastAsia="zh-CN"/>
          <w14:textFill>
            <w14:solidFill>
              <w14:schemeClr w14:val="tx1"/>
            </w14:solidFill>
          </w14:textFill>
        </w:rPr>
      </w:pPr>
      <w:bookmarkStart w:id="345" w:name="_Toc6655"/>
      <w:bookmarkStart w:id="346" w:name="_Toc19656"/>
      <w:r>
        <w:rPr>
          <w:rFonts w:hint="eastAsia" w:ascii="宋体" w:hAnsi="宋体" w:eastAsia="宋体" w:cs="宋体"/>
          <w:color w:val="000000" w:themeColor="text1"/>
          <w:kern w:val="0"/>
          <w14:textFill>
            <w14:solidFill>
              <w14:schemeClr w14:val="tx1"/>
            </w14:solidFill>
          </w14:textFill>
        </w:rPr>
        <w:t>3.</w:t>
      </w:r>
      <w:r>
        <w:rPr>
          <w:rFonts w:hint="eastAsia" w:ascii="宋体" w:hAnsi="宋体" w:eastAsia="宋体" w:cs="宋体"/>
          <w:color w:val="000000" w:themeColor="text1"/>
          <w:kern w:val="0"/>
          <w:lang w:val="en-US" w:eastAsia="zh-CN"/>
          <w14:textFill>
            <w14:solidFill>
              <w14:schemeClr w14:val="tx1"/>
            </w14:solidFill>
          </w14:textFill>
        </w:rPr>
        <w:t>5</w:t>
      </w:r>
      <w:r>
        <w:rPr>
          <w:rFonts w:hint="eastAsia" w:ascii="宋体" w:hAnsi="宋体" w:eastAsia="宋体" w:cs="宋体"/>
          <w:color w:val="000000" w:themeColor="text1"/>
          <w:kern w:val="0"/>
          <w14:textFill>
            <w14:solidFill>
              <w14:schemeClr w14:val="tx1"/>
            </w14:solidFill>
          </w14:textFill>
        </w:rPr>
        <w:t>.</w:t>
      </w:r>
      <w:r>
        <w:rPr>
          <w:rFonts w:hint="eastAsia" w:ascii="宋体" w:hAnsi="宋体" w:eastAsia="宋体" w:cs="宋体"/>
          <w:color w:val="000000" w:themeColor="text1"/>
          <w:kern w:val="0"/>
          <w:lang w:val="en-US" w:eastAsia="zh-CN"/>
          <w14:textFill>
            <w14:solidFill>
              <w14:schemeClr w14:val="tx1"/>
            </w14:solidFill>
          </w14:textFill>
        </w:rPr>
        <w:t>3</w:t>
      </w:r>
      <w:r>
        <w:rPr>
          <w:rFonts w:hint="eastAsia" w:ascii="宋体" w:hAnsi="宋体" w:eastAsia="宋体" w:cs="宋体"/>
          <w:color w:val="000000" w:themeColor="text1"/>
          <w:kern w:val="0"/>
          <w14:textFill>
            <w14:solidFill>
              <w14:schemeClr w14:val="tx1"/>
            </w14:solidFill>
          </w14:textFill>
        </w:rPr>
        <w:t>.</w:t>
      </w:r>
      <w:r>
        <w:rPr>
          <w:rFonts w:hint="eastAsia" w:ascii="宋体" w:hAnsi="宋体" w:eastAsia="宋体" w:cs="宋体"/>
          <w:color w:val="000000" w:themeColor="text1"/>
          <w:kern w:val="0"/>
          <w:lang w:val="en-US" w:eastAsia="zh-CN"/>
          <w14:textFill>
            <w14:solidFill>
              <w14:schemeClr w14:val="tx1"/>
            </w14:solidFill>
          </w14:textFill>
        </w:rPr>
        <w:t>3</w:t>
      </w:r>
      <w:r>
        <w:rPr>
          <w:rFonts w:hint="eastAsia" w:ascii="宋体" w:hAnsi="宋体" w:eastAsia="宋体" w:cs="宋体"/>
          <w:color w:val="000000" w:themeColor="text1"/>
          <w:kern w:val="0"/>
          <w14:textFill>
            <w14:solidFill>
              <w14:schemeClr w14:val="tx1"/>
            </w14:solidFill>
          </w14:textFill>
        </w:rPr>
        <w:t>消防系统</w:t>
      </w:r>
      <w:bookmarkEnd w:id="345"/>
      <w:r>
        <w:rPr>
          <w:rFonts w:hint="eastAsia" w:ascii="宋体" w:hAnsi="宋体" w:eastAsia="宋体" w:cs="宋体"/>
          <w:color w:val="000000" w:themeColor="text1"/>
          <w:kern w:val="0"/>
          <w14:textFill>
            <w14:solidFill>
              <w14:schemeClr w14:val="tx1"/>
            </w14:solidFill>
          </w14:textFill>
        </w:rPr>
        <w:t>危险、有害因素分析</w:t>
      </w:r>
      <w:bookmarkEnd w:id="346"/>
    </w:p>
    <w:p w14:paraId="6ACC3BA2">
      <w:pPr>
        <w:keepNext w:val="0"/>
        <w:keepLines w:val="0"/>
        <w:pageBreakBefore w:val="0"/>
        <w:widowControl w:val="0"/>
        <w:kinsoku/>
        <w:wordWrap/>
        <w:overflowPunct/>
        <w:topLinePunct w:val="0"/>
        <w:autoSpaceDE/>
        <w:autoSpaceDN/>
        <w:bidi w:val="0"/>
        <w:adjustRightInd/>
        <w:spacing w:line="500" w:lineRule="exact"/>
        <w:ind w:left="240" w:leftChars="100" w:firstLine="560" w:firstLineChars="200"/>
        <w:textAlignment w:val="auto"/>
        <w:rPr>
          <w:rFonts w:hint="eastAsia" w:ascii="宋体" w:hAnsi="宋体" w:eastAsia="宋体" w:cs="宋体"/>
          <w:color w:val="000000" w:themeColor="text1"/>
          <w:kern w:val="2"/>
          <w:sz w:val="28"/>
          <w:szCs w:val="28"/>
          <w:lang w:val="en-US" w:eastAsia="zh-CN" w:bidi="ar-SA"/>
          <w14:textFill>
            <w14:solidFill>
              <w14:schemeClr w14:val="tx1"/>
            </w14:solidFill>
          </w14:textFill>
        </w:rPr>
      </w:pPr>
      <w:r>
        <w:rPr>
          <w:rFonts w:hint="eastAsia" w:ascii="宋体" w:hAnsi="宋体" w:eastAsia="宋体" w:cs="宋体"/>
          <w:color w:val="000000" w:themeColor="text1"/>
          <w:kern w:val="2"/>
          <w:sz w:val="28"/>
          <w:szCs w:val="28"/>
          <w:lang w:val="en-US" w:eastAsia="zh-CN" w:bidi="ar-SA"/>
          <w14:textFill>
            <w14:solidFill>
              <w14:schemeClr w14:val="tx1"/>
            </w14:solidFill>
          </w14:textFill>
        </w:rPr>
        <w:t>本项目的消防设施主要有室内消火栓、手提式干粉灭火器等。</w:t>
      </w:r>
    </w:p>
    <w:p w14:paraId="72E6AF35">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Fonts w:hint="eastAsia" w:ascii="宋体" w:hAnsi="宋体" w:eastAsia="宋体" w:cs="宋体"/>
          <w:color w:val="000000" w:themeColor="text1"/>
          <w:kern w:val="2"/>
          <w:sz w:val="28"/>
          <w:szCs w:val="28"/>
          <w:lang w:val="en-US" w:eastAsia="zh-CN" w:bidi="ar-SA"/>
          <w14:textFill>
            <w14:solidFill>
              <w14:schemeClr w14:val="tx1"/>
            </w14:solidFill>
          </w14:textFill>
        </w:rPr>
      </w:pPr>
      <w:r>
        <w:rPr>
          <w:rFonts w:hint="eastAsia" w:ascii="宋体" w:hAnsi="宋体" w:eastAsia="宋体" w:cs="宋体"/>
          <w:color w:val="auto"/>
          <w:kern w:val="2"/>
          <w:sz w:val="28"/>
          <w:szCs w:val="28"/>
          <w:highlight w:val="none"/>
          <w:lang w:val="en-US" w:eastAsia="zh-CN" w:bidi="ar-SA"/>
        </w:rPr>
        <w:t>消防泵站</w:t>
      </w:r>
      <w:r>
        <w:rPr>
          <w:rFonts w:hint="eastAsia" w:ascii="宋体" w:hAnsi="宋体" w:eastAsia="宋体" w:cs="宋体"/>
          <w:color w:val="000000" w:themeColor="text1"/>
          <w:kern w:val="2"/>
          <w:sz w:val="28"/>
          <w:szCs w:val="28"/>
          <w:lang w:val="en-US" w:eastAsia="zh-CN" w:bidi="ar-SA"/>
          <w14:textFill>
            <w14:solidFill>
              <w14:schemeClr w14:val="tx1"/>
            </w14:solidFill>
          </w14:textFill>
        </w:rPr>
        <w:t>供水存在缺陷，如压力不足，水量不足等会影响事故救援，导致事故危害扩大。</w:t>
      </w:r>
    </w:p>
    <w:p w14:paraId="62A9FB6F">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Fonts w:hint="eastAsia" w:ascii="宋体" w:hAnsi="宋体" w:eastAsia="宋体" w:cs="宋体"/>
          <w:color w:val="000000" w:themeColor="text1"/>
          <w:kern w:val="2"/>
          <w:sz w:val="28"/>
          <w:szCs w:val="28"/>
          <w:lang w:val="en-US" w:eastAsia="zh-CN" w:bidi="ar-SA"/>
          <w14:textFill>
            <w14:solidFill>
              <w14:schemeClr w14:val="tx1"/>
            </w14:solidFill>
          </w14:textFill>
        </w:rPr>
      </w:pPr>
      <w:r>
        <w:rPr>
          <w:rFonts w:hint="eastAsia" w:ascii="宋体" w:hAnsi="宋体" w:eastAsia="宋体" w:cs="宋体"/>
          <w:color w:val="000000" w:themeColor="text1"/>
          <w:kern w:val="2"/>
          <w:sz w:val="28"/>
          <w:szCs w:val="28"/>
          <w:lang w:val="en-US" w:eastAsia="zh-CN" w:bidi="ar-SA"/>
          <w14:textFill>
            <w14:solidFill>
              <w14:schemeClr w14:val="tx1"/>
            </w14:solidFill>
          </w14:textFill>
        </w:rPr>
        <w:t>干粉灭火器在配电室等相对狭小空间使用时，细小干粉会对人员造成粉尘伤害。</w:t>
      </w:r>
    </w:p>
    <w:p w14:paraId="040C64C5">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Fonts w:hint="eastAsia" w:ascii="宋体" w:hAnsi="宋体" w:eastAsia="宋体" w:cs="宋体"/>
          <w:color w:val="000000" w:themeColor="text1"/>
          <w:kern w:val="2"/>
          <w:sz w:val="28"/>
          <w:szCs w:val="28"/>
          <w:lang w:val="en-US" w:eastAsia="zh-CN" w:bidi="ar-SA"/>
          <w14:textFill>
            <w14:solidFill>
              <w14:schemeClr w14:val="tx1"/>
            </w14:solidFill>
          </w14:textFill>
        </w:rPr>
      </w:pPr>
    </w:p>
    <w:p w14:paraId="7AF1EE84">
      <w:pPr>
        <w:pStyle w:val="5"/>
        <w:keepNext w:val="0"/>
        <w:keepLines w:val="0"/>
        <w:pageBreakBefore w:val="0"/>
        <w:widowControl w:val="0"/>
        <w:kinsoku/>
        <w:wordWrap/>
        <w:overflowPunct/>
        <w:topLinePunct w:val="0"/>
        <w:autoSpaceDE/>
        <w:autoSpaceDN/>
        <w:bidi w:val="0"/>
        <w:adjustRightInd/>
        <w:snapToGrid w:val="0"/>
        <w:spacing w:line="520" w:lineRule="exact"/>
        <w:ind w:firstLine="0" w:firstLineChars="0"/>
        <w:jc w:val="both"/>
        <w:textAlignment w:val="auto"/>
        <w:rPr>
          <w:rFonts w:hint="eastAsia" w:ascii="宋体" w:hAnsi="宋体" w:eastAsia="宋体" w:cs="宋体"/>
          <w:color w:val="000000" w:themeColor="text1"/>
          <w:kern w:val="0"/>
          <w:lang w:val="en-US" w:eastAsia="zh-CN"/>
          <w14:textFill>
            <w14:solidFill>
              <w14:schemeClr w14:val="tx1"/>
            </w14:solidFill>
          </w14:textFill>
        </w:rPr>
      </w:pPr>
      <w:bookmarkStart w:id="347" w:name="_Toc19882"/>
      <w:r>
        <w:rPr>
          <w:rFonts w:hint="eastAsia" w:ascii="宋体" w:hAnsi="宋体" w:eastAsia="宋体" w:cs="宋体"/>
          <w:color w:val="000000" w:themeColor="text1"/>
          <w:kern w:val="0"/>
          <w14:textFill>
            <w14:solidFill>
              <w14:schemeClr w14:val="tx1"/>
            </w14:solidFill>
          </w14:textFill>
        </w:rPr>
        <w:t>3.</w:t>
      </w:r>
      <w:r>
        <w:rPr>
          <w:rFonts w:hint="eastAsia" w:ascii="宋体" w:hAnsi="宋体" w:eastAsia="宋体" w:cs="宋体"/>
          <w:color w:val="000000" w:themeColor="text1"/>
          <w:kern w:val="0"/>
          <w:lang w:val="en-US" w:eastAsia="zh-CN"/>
          <w14:textFill>
            <w14:solidFill>
              <w14:schemeClr w14:val="tx1"/>
            </w14:solidFill>
          </w14:textFill>
        </w:rPr>
        <w:t>5</w:t>
      </w:r>
      <w:r>
        <w:rPr>
          <w:rFonts w:hint="eastAsia" w:ascii="宋体" w:hAnsi="宋体" w:eastAsia="宋体" w:cs="宋体"/>
          <w:color w:val="000000" w:themeColor="text1"/>
          <w:kern w:val="0"/>
          <w14:textFill>
            <w14:solidFill>
              <w14:schemeClr w14:val="tx1"/>
            </w14:solidFill>
          </w14:textFill>
        </w:rPr>
        <w:t>.</w:t>
      </w:r>
      <w:r>
        <w:rPr>
          <w:rFonts w:hint="eastAsia" w:ascii="宋体" w:hAnsi="宋体" w:eastAsia="宋体" w:cs="宋体"/>
          <w:color w:val="000000" w:themeColor="text1"/>
          <w:kern w:val="0"/>
          <w:lang w:val="en-US" w:eastAsia="zh-CN"/>
          <w14:textFill>
            <w14:solidFill>
              <w14:schemeClr w14:val="tx1"/>
            </w14:solidFill>
          </w14:textFill>
        </w:rPr>
        <w:t>3</w:t>
      </w:r>
      <w:r>
        <w:rPr>
          <w:rFonts w:hint="eastAsia" w:ascii="宋体" w:hAnsi="宋体" w:eastAsia="宋体" w:cs="宋体"/>
          <w:color w:val="000000" w:themeColor="text1"/>
          <w:kern w:val="0"/>
          <w14:textFill>
            <w14:solidFill>
              <w14:schemeClr w14:val="tx1"/>
            </w14:solidFill>
          </w14:textFill>
        </w:rPr>
        <w:t>.</w:t>
      </w:r>
      <w:r>
        <w:rPr>
          <w:rFonts w:hint="eastAsia" w:ascii="宋体" w:hAnsi="宋体" w:eastAsia="宋体" w:cs="宋体"/>
          <w:color w:val="000000" w:themeColor="text1"/>
          <w:kern w:val="0"/>
          <w:lang w:val="en-US" w:eastAsia="zh-CN"/>
          <w14:textFill>
            <w14:solidFill>
              <w14:schemeClr w14:val="tx1"/>
            </w14:solidFill>
          </w14:textFill>
        </w:rPr>
        <w:t>4</w:t>
      </w:r>
      <w:r>
        <w:rPr>
          <w:rFonts w:hint="eastAsia" w:ascii="宋体" w:hAnsi="宋体" w:eastAsia="宋体" w:cs="宋体"/>
          <w:color w:val="000000" w:themeColor="text1"/>
          <w:kern w:val="0"/>
          <w14:textFill>
            <w14:solidFill>
              <w14:schemeClr w14:val="tx1"/>
            </w14:solidFill>
          </w14:textFill>
        </w:rPr>
        <w:t>厂内运输危险</w:t>
      </w:r>
      <w:r>
        <w:rPr>
          <w:rFonts w:hint="eastAsia" w:ascii="宋体" w:hAnsi="宋体" w:eastAsia="宋体" w:cs="宋体"/>
          <w:color w:val="000000" w:themeColor="text1"/>
          <w:kern w:val="0"/>
          <w:lang w:eastAsia="zh-CN"/>
          <w14:textFill>
            <w14:solidFill>
              <w14:schemeClr w14:val="tx1"/>
            </w14:solidFill>
          </w14:textFill>
        </w:rPr>
        <w:t>、</w:t>
      </w:r>
      <w:r>
        <w:rPr>
          <w:rFonts w:hint="eastAsia" w:ascii="宋体" w:hAnsi="宋体" w:eastAsia="宋体" w:cs="宋体"/>
          <w:color w:val="000000" w:themeColor="text1"/>
          <w:kern w:val="0"/>
          <w14:textFill>
            <w14:solidFill>
              <w14:schemeClr w14:val="tx1"/>
            </w14:solidFill>
          </w14:textFill>
        </w:rPr>
        <w:t>有害因素</w:t>
      </w:r>
      <w:r>
        <w:rPr>
          <w:rFonts w:hint="eastAsia" w:ascii="宋体" w:hAnsi="宋体" w:eastAsia="宋体" w:cs="宋体"/>
          <w:color w:val="000000" w:themeColor="text1"/>
          <w:kern w:val="0"/>
          <w:lang w:val="en-US" w:eastAsia="zh-CN"/>
          <w14:textFill>
            <w14:solidFill>
              <w14:schemeClr w14:val="tx1"/>
            </w14:solidFill>
          </w14:textFill>
        </w:rPr>
        <w:t>分析</w:t>
      </w:r>
      <w:bookmarkEnd w:id="347"/>
    </w:p>
    <w:p w14:paraId="6FBF9FEC">
      <w:pPr>
        <w:keepNext w:val="0"/>
        <w:keepLines w:val="0"/>
        <w:pageBreakBefore w:val="0"/>
        <w:widowControl w:val="0"/>
        <w:kinsoku/>
        <w:wordWrap/>
        <w:overflowPunct/>
        <w:topLinePunct w:val="0"/>
        <w:autoSpaceDE/>
        <w:autoSpaceDN/>
        <w:bidi w:val="0"/>
        <w:adjustRightInd/>
        <w:spacing w:line="5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厂内运输设备主要包括</w:t>
      </w:r>
      <w:r>
        <w:rPr>
          <w:rFonts w:hint="eastAsia" w:ascii="宋体" w:hAnsi="宋体" w:eastAsia="宋体" w:cs="宋体"/>
          <w:sz w:val="28"/>
          <w:szCs w:val="28"/>
          <w:lang w:val="en-US" w:eastAsia="zh-CN"/>
        </w:rPr>
        <w:t>行车、手动拖车、外来运输汽车</w:t>
      </w:r>
      <w:r>
        <w:rPr>
          <w:rFonts w:hint="eastAsia" w:ascii="宋体" w:hAnsi="宋体" w:eastAsia="宋体" w:cs="宋体"/>
          <w:sz w:val="28"/>
          <w:szCs w:val="28"/>
        </w:rPr>
        <w:t>等。主要存在的危险</w:t>
      </w:r>
      <w:r>
        <w:rPr>
          <w:rFonts w:hint="eastAsia" w:ascii="宋体" w:hAnsi="宋体" w:eastAsia="宋体" w:cs="宋体"/>
          <w:sz w:val="28"/>
          <w:szCs w:val="28"/>
          <w:lang w:eastAsia="zh-CN"/>
        </w:rPr>
        <w:t>、</w:t>
      </w:r>
      <w:r>
        <w:rPr>
          <w:rFonts w:hint="eastAsia" w:ascii="宋体" w:hAnsi="宋体" w:eastAsia="宋体" w:cs="宋体"/>
          <w:sz w:val="28"/>
          <w:szCs w:val="28"/>
        </w:rPr>
        <w:t>有害因素分析如下：</w:t>
      </w:r>
    </w:p>
    <w:p w14:paraId="678482A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在行车及外来运输汽车运输、装卸原材料和产品的过程中，可能存在起重伤害、高处坠落、车辆伤害、物体打击、坍塌等伤害。</w:t>
      </w:r>
    </w:p>
    <w:p w14:paraId="46594014">
      <w:pPr>
        <w:pStyle w:val="3"/>
        <w:keepNext/>
        <w:keepLines/>
        <w:pageBreakBefore w:val="0"/>
        <w:widowControl w:val="0"/>
        <w:kinsoku/>
        <w:wordWrap/>
        <w:overflowPunct/>
        <w:topLinePunct w:val="0"/>
        <w:autoSpaceDE/>
        <w:autoSpaceDN/>
        <w:bidi w:val="0"/>
        <w:adjustRightInd/>
        <w:snapToGrid w:val="0"/>
        <w:spacing w:before="0" w:after="0" w:line="520" w:lineRule="exact"/>
        <w:jc w:val="both"/>
        <w:textAlignment w:val="auto"/>
        <w:rPr>
          <w:rFonts w:hint="eastAsia" w:ascii="宋体" w:hAnsi="宋体" w:eastAsia="宋体" w:cs="宋体"/>
          <w:color w:val="000000" w:themeColor="text1"/>
          <w:kern w:val="0"/>
          <w:lang w:val="en-US" w:eastAsia="zh-CN"/>
          <w14:textFill>
            <w14:solidFill>
              <w14:schemeClr w14:val="tx1"/>
            </w14:solidFill>
          </w14:textFill>
        </w:rPr>
      </w:pPr>
      <w:bookmarkStart w:id="348" w:name="_Toc9050"/>
      <w:bookmarkStart w:id="349" w:name="_Toc24874"/>
      <w:bookmarkStart w:id="350" w:name="_Toc27787"/>
      <w:bookmarkStart w:id="351" w:name="_Toc18502"/>
      <w:r>
        <w:rPr>
          <w:rFonts w:hint="eastAsia" w:ascii="宋体" w:hAnsi="宋体" w:eastAsia="宋体" w:cs="宋体"/>
          <w:color w:val="000000" w:themeColor="text1"/>
          <w:kern w:val="0"/>
          <w:lang w:val="en-US" w:eastAsia="zh-CN"/>
          <w14:textFill>
            <w14:solidFill>
              <w14:schemeClr w14:val="tx1"/>
            </w14:solidFill>
          </w14:textFill>
        </w:rPr>
        <w:t>3.6主要危险、有害因素类别分析</w:t>
      </w:r>
      <w:bookmarkEnd w:id="348"/>
      <w:bookmarkEnd w:id="349"/>
      <w:bookmarkEnd w:id="350"/>
      <w:bookmarkEnd w:id="351"/>
    </w:p>
    <w:p w14:paraId="3CCD70AD">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rPr>
      </w:pPr>
      <w:r>
        <w:rPr>
          <w:rFonts w:hint="eastAsia" w:ascii="宋体" w:hAnsi="宋体" w:eastAsia="宋体" w:cs="宋体"/>
          <w:sz w:val="28"/>
          <w:szCs w:val="28"/>
        </w:rPr>
        <w:t>根据对</w:t>
      </w:r>
      <w:r>
        <w:rPr>
          <w:rFonts w:hint="eastAsia" w:ascii="宋体" w:hAnsi="宋体" w:eastAsia="宋体" w:cs="宋体"/>
          <w:sz w:val="28"/>
          <w:szCs w:val="28"/>
          <w:lang w:val="en-US" w:eastAsia="zh-CN"/>
        </w:rPr>
        <w:t>玉溪正宇智能科技有限公司</w:t>
      </w:r>
      <w:r>
        <w:rPr>
          <w:rFonts w:hint="eastAsia" w:ascii="宋体" w:hAnsi="宋体" w:eastAsia="宋体" w:cs="宋体"/>
          <w:sz w:val="28"/>
          <w:szCs w:val="28"/>
        </w:rPr>
        <w:t>原辅材料及产品的特性、有关资料的分析，参照《</w:t>
      </w:r>
      <w:r>
        <w:rPr>
          <w:rFonts w:hint="eastAsia" w:ascii="宋体" w:hAnsi="宋体" w:eastAsia="宋体" w:cs="宋体"/>
          <w:sz w:val="28"/>
          <w:szCs w:val="28"/>
          <w:lang w:eastAsia="zh-CN"/>
        </w:rPr>
        <w:t>生产过程危险和有害因素分类与代码</w:t>
      </w:r>
      <w:r>
        <w:rPr>
          <w:rFonts w:hint="eastAsia" w:ascii="宋体" w:hAnsi="宋体" w:eastAsia="宋体" w:cs="宋体"/>
          <w:sz w:val="28"/>
          <w:szCs w:val="28"/>
        </w:rPr>
        <w:t>》（GB/T13</w:t>
      </w:r>
      <w:r>
        <w:rPr>
          <w:rFonts w:hint="eastAsia" w:ascii="宋体" w:hAnsi="宋体" w:eastAsia="宋体" w:cs="宋体"/>
          <w:sz w:val="28"/>
          <w:szCs w:val="28"/>
          <w:lang w:val="en-US" w:eastAsia="zh-CN"/>
        </w:rPr>
        <w:t>861</w:t>
      </w:r>
      <w:r>
        <w:rPr>
          <w:rFonts w:hint="eastAsia" w:ascii="宋体" w:hAnsi="宋体" w:eastAsia="宋体" w:cs="宋体"/>
          <w:sz w:val="28"/>
          <w:szCs w:val="28"/>
        </w:rPr>
        <w:t>-20</w:t>
      </w:r>
      <w:r>
        <w:rPr>
          <w:rFonts w:hint="eastAsia" w:ascii="宋体" w:hAnsi="宋体" w:eastAsia="宋体" w:cs="宋体"/>
          <w:sz w:val="28"/>
          <w:szCs w:val="28"/>
          <w:lang w:val="en-US" w:eastAsia="zh-CN"/>
        </w:rPr>
        <w:t>22</w:t>
      </w:r>
      <w:r>
        <w:rPr>
          <w:rFonts w:hint="eastAsia" w:ascii="宋体" w:hAnsi="宋体" w:eastAsia="宋体" w:cs="宋体"/>
          <w:sz w:val="28"/>
          <w:szCs w:val="28"/>
        </w:rPr>
        <w:t>）、《企业</w:t>
      </w:r>
      <w:r>
        <w:rPr>
          <w:rFonts w:hint="eastAsia" w:ascii="宋体" w:hAnsi="宋体" w:eastAsia="宋体" w:cs="宋体"/>
          <w:sz w:val="28"/>
          <w:szCs w:val="28"/>
          <w:lang w:val="en-US" w:eastAsia="zh-CN"/>
        </w:rPr>
        <w:t>职工</w:t>
      </w:r>
      <w:r>
        <w:rPr>
          <w:rFonts w:hint="eastAsia" w:ascii="宋体" w:hAnsi="宋体" w:eastAsia="宋体" w:cs="宋体"/>
          <w:sz w:val="28"/>
          <w:szCs w:val="28"/>
        </w:rPr>
        <w:t>伤亡事故分类》（GB6441-86）中对事故类别的划分方法，以及项目的生产工艺特点，按照生产工序中设施、装置的特点，结合生产作业区域操作人员巡检及其生产活动范围，对</w:t>
      </w:r>
      <w:r>
        <w:rPr>
          <w:rFonts w:hint="eastAsia" w:ascii="宋体" w:hAnsi="宋体" w:eastAsia="宋体" w:cs="宋体"/>
          <w:sz w:val="28"/>
          <w:szCs w:val="28"/>
          <w:lang w:eastAsia="zh-CN"/>
        </w:rPr>
        <w:t>该</w:t>
      </w:r>
      <w:r>
        <w:rPr>
          <w:rFonts w:hint="eastAsia" w:ascii="宋体" w:hAnsi="宋体" w:eastAsia="宋体" w:cs="宋体"/>
          <w:sz w:val="28"/>
          <w:szCs w:val="28"/>
        </w:rPr>
        <w:t>项目生产工艺系统可能存在的危险、有害因素进行分析。</w:t>
      </w:r>
    </w:p>
    <w:p w14:paraId="35FB60B2">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352" w:name="_Toc10424"/>
      <w:bookmarkStart w:id="353" w:name="_Toc8961"/>
      <w:bookmarkStart w:id="354" w:name="_Toc8610"/>
      <w:bookmarkStart w:id="355" w:name="_Toc25525"/>
      <w:bookmarkStart w:id="356" w:name="_Toc13882"/>
      <w:bookmarkStart w:id="357" w:name="_Toc400308681"/>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3.6.1火灾危险性分析</w:t>
      </w:r>
      <w:bookmarkEnd w:id="352"/>
      <w:bookmarkEnd w:id="353"/>
      <w:bookmarkEnd w:id="354"/>
      <w:bookmarkEnd w:id="355"/>
      <w:bookmarkEnd w:id="356"/>
    </w:p>
    <w:p w14:paraId="14ACC268">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公司成品</w:t>
      </w:r>
      <w:r>
        <w:rPr>
          <w:rFonts w:hint="eastAsia" w:ascii="宋体" w:hAnsi="宋体" w:eastAsia="宋体" w:cs="宋体"/>
          <w:sz w:val="28"/>
          <w:szCs w:val="28"/>
        </w:rPr>
        <w:t>包装</w:t>
      </w:r>
      <w:r>
        <w:rPr>
          <w:rFonts w:hint="eastAsia" w:ascii="宋体" w:hAnsi="宋体" w:eastAsia="宋体" w:cs="宋体"/>
          <w:sz w:val="28"/>
          <w:szCs w:val="28"/>
          <w:lang w:val="en-US" w:eastAsia="zh-CN"/>
        </w:rPr>
        <w:t>木箱</w:t>
      </w:r>
      <w:r>
        <w:rPr>
          <w:rFonts w:hint="eastAsia" w:hAnsi="宋体" w:cs="宋体"/>
          <w:sz w:val="28"/>
          <w:szCs w:val="28"/>
          <w:lang w:val="en-US" w:eastAsia="zh-CN"/>
        </w:rPr>
        <w:t>、纸板</w:t>
      </w:r>
      <w:r>
        <w:rPr>
          <w:rFonts w:hint="eastAsia" w:ascii="宋体" w:hAnsi="宋体" w:eastAsia="宋体" w:cs="宋体"/>
          <w:sz w:val="28"/>
          <w:szCs w:val="28"/>
        </w:rPr>
        <w:t>为可燃物，若不严格执行消防安全管理制度，加强火源管理，严格动火作业，包装材料遇火源会发生燃烧。</w:t>
      </w:r>
    </w:p>
    <w:p w14:paraId="28AB368F">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生产过程中还可能发生电气火灾，电气设备或电气线路发生短路、接触不良、严重过载、散热失效、接地及漏电、机械故障、电压波动太大的情况下可能使温度升高，发生电气火灾，另外，正常工作或正常操作过程中以及事故状态下产生的电火花可能使可燃物发生燃烧</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引起火灾</w:t>
      </w:r>
      <w:r>
        <w:rPr>
          <w:rFonts w:hint="eastAsia" w:ascii="宋体" w:hAnsi="宋体" w:eastAsia="宋体" w:cs="宋体"/>
          <w:sz w:val="28"/>
          <w:szCs w:val="28"/>
        </w:rPr>
        <w:t>。</w:t>
      </w:r>
    </w:p>
    <w:p w14:paraId="7B8EF979">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1</w:t>
      </w:r>
      <w:r>
        <w:rPr>
          <w:rFonts w:hint="eastAsia" w:ascii="宋体" w:hAnsi="宋体" w:eastAsia="宋体" w:cs="宋体"/>
          <w:color w:val="000000" w:themeColor="text1"/>
          <w:spacing w:val="8"/>
          <w:sz w:val="28"/>
          <w:szCs w:val="28"/>
          <w:lang w:val="en-US"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电气火灾</w:t>
      </w:r>
    </w:p>
    <w:p w14:paraId="5D437F52">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一般电气火灾大多数皆因电气线路发生火灾造成，下面主要对造成电气线路发生短路的主要原因进行分析：</w:t>
      </w:r>
    </w:p>
    <w:p w14:paraId="10E6C61F">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电气线路中的导线由于各种原因造成相线与相线，相线与零线(地线)的连接，在回路中引起电流的瞬间骤然增大的现象叫短路。</w:t>
      </w:r>
    </w:p>
    <w:p w14:paraId="050164E7">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短路时由于电阻突然减小则电流将突然增大。因此，线路短路时在极短的时间内会发出很大的热量，这个热量不仅能使绝缘层燃烧而且能使金属熔化，引起邻近的易燃、可燃物质燃烧，从而造成火灾。</w:t>
      </w:r>
    </w:p>
    <w:p w14:paraId="6435F720">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发生短路的主要原因有：</w:t>
      </w:r>
    </w:p>
    <w:p w14:paraId="61FA7043">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（1）使用绝缘电线、电缆时，没有按具体环境选用，使绝缘受高温、潮湿或腐蚀等作用，失去了绝缘能力；</w:t>
      </w:r>
    </w:p>
    <w:p w14:paraId="40126A76">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（2）线路年久失修，绝缘层陈旧老化或受损，使线芯裸露；</w:t>
      </w:r>
    </w:p>
    <w:p w14:paraId="0F52F76C">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（3）电源过电压，使电线绝缘被击穿；</w:t>
      </w:r>
    </w:p>
    <w:p w14:paraId="32744D9C">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（4）安装、修理人员接错线路，或带电作业时造成人为碰线短路；</w:t>
      </w:r>
    </w:p>
    <w:p w14:paraId="1DC37BD5">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（5）裸电线安装位置不当，导电物体碰在电线上；线路上有金属物件或小动物跌落，发生电线之间的跨接；</w:t>
      </w:r>
    </w:p>
    <w:p w14:paraId="05EE0FA8">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（6）架空线路电线间距太小，档距过大，电线松弛，有可能发生两线相碰；架空电线与建筑物、树木距离太近，使电线与建筑物或树木接触；</w:t>
      </w:r>
    </w:p>
    <w:p w14:paraId="5B033489">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（7）电线机械强度不够，导致电线断落接触大地，或断落在另一根电线上；</w:t>
      </w:r>
    </w:p>
    <w:p w14:paraId="79585457">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（8）临时用电管理不善，维护不当造成过载、短路；</w:t>
      </w:r>
    </w:p>
    <w:p w14:paraId="2E1E7AED">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（9）高压架空线路的绝缘子耐压程度过低，引起线路的对地短路。</w:t>
      </w:r>
    </w:p>
    <w:p w14:paraId="714F0066">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lang w:val="en-US" w:eastAsia="zh-CN"/>
          <w14:textFill>
            <w14:solidFill>
              <w14:schemeClr w14:val="tx1"/>
            </w14:solidFill>
          </w14:textFill>
        </w:rPr>
        <w:t>2.公司原材料、产成品运输车辆</w:t>
      </w:r>
      <w:r>
        <w:rPr>
          <w:rFonts w:hint="eastAsia" w:ascii="宋体" w:hAnsi="宋体" w:eastAsia="宋体" w:cs="宋体"/>
          <w:color w:val="000000" w:themeColor="text1"/>
          <w:spacing w:val="8"/>
          <w:sz w:val="28"/>
          <w:szCs w:val="28"/>
          <w14:textFill>
            <w14:solidFill>
              <w14:schemeClr w14:val="tx1"/>
            </w14:solidFill>
          </w14:textFill>
        </w:rPr>
        <w:t>使用的柴油，若发生泄露，遇到点火源，也可能发生火灾事故。</w:t>
      </w:r>
    </w:p>
    <w:p w14:paraId="3C26CA77">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358" w:name="_Toc21829"/>
      <w:bookmarkStart w:id="359" w:name="_Toc17724"/>
      <w:bookmarkStart w:id="360" w:name="_Toc2028"/>
      <w:bookmarkStart w:id="361" w:name="_Toc28466"/>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3.6.2容器爆炸危险性分析</w:t>
      </w:r>
      <w:bookmarkEnd w:id="358"/>
      <w:bookmarkEnd w:id="359"/>
      <w:bookmarkEnd w:id="360"/>
      <w:bookmarkEnd w:id="361"/>
    </w:p>
    <w:p w14:paraId="7561EDED">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该项目可能发生容器爆炸的设备有空压机、储气罐，引发事故的原因主要有：</w:t>
      </w:r>
    </w:p>
    <w:p w14:paraId="475B97C6">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1</w:t>
      </w:r>
      <w:r>
        <w:rPr>
          <w:rFonts w:hint="eastAsia" w:ascii="宋体" w:hAnsi="宋体" w:eastAsia="宋体" w:cs="宋体"/>
          <w:color w:val="000000" w:themeColor="text1"/>
          <w:spacing w:val="8"/>
          <w:sz w:val="28"/>
          <w:szCs w:val="28"/>
          <w:lang w:val="en-US"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设计缺陷，如压力容器、设备材质不合理、耐压强度不足，抗震设防不足、安全附件不齐全或安全阀泄放能力不足等；</w:t>
      </w:r>
    </w:p>
    <w:p w14:paraId="631C288F">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2</w:t>
      </w:r>
      <w:r>
        <w:rPr>
          <w:rFonts w:hint="eastAsia" w:ascii="宋体" w:hAnsi="宋体" w:eastAsia="宋体" w:cs="宋体"/>
          <w:color w:val="000000" w:themeColor="text1"/>
          <w:spacing w:val="8"/>
          <w:sz w:val="28"/>
          <w:szCs w:val="28"/>
          <w:lang w:val="en-US"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制造缺陷，如制造单位不具备相应资质或质量不合格，特别是焊接质量差；</w:t>
      </w:r>
    </w:p>
    <w:p w14:paraId="2FB7B938">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3</w:t>
      </w:r>
      <w:r>
        <w:rPr>
          <w:rFonts w:hint="eastAsia" w:ascii="宋体" w:hAnsi="宋体" w:eastAsia="宋体" w:cs="宋体"/>
          <w:color w:val="000000" w:themeColor="text1"/>
          <w:spacing w:val="8"/>
          <w:sz w:val="28"/>
          <w:szCs w:val="28"/>
          <w:lang w:val="en-US"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施工、安装缺陷，如施工、安装单位不具备相应资质，未严格按设计要求施工，施工质量差，未进行耐压试验等；</w:t>
      </w:r>
    </w:p>
    <w:p w14:paraId="30C5EC42">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4</w:t>
      </w:r>
      <w:r>
        <w:rPr>
          <w:rFonts w:hint="eastAsia" w:ascii="宋体" w:hAnsi="宋体" w:eastAsia="宋体" w:cs="宋体"/>
          <w:color w:val="000000" w:themeColor="text1"/>
          <w:spacing w:val="8"/>
          <w:sz w:val="28"/>
          <w:szCs w:val="28"/>
          <w:lang w:val="en-US"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压力容器、设备长期使用后未按规定检修期进行检修、质量检测，或检修质量差造成强度下降；</w:t>
      </w:r>
    </w:p>
    <w:p w14:paraId="0973C191">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5</w:t>
      </w:r>
      <w:r>
        <w:rPr>
          <w:rFonts w:hint="eastAsia" w:ascii="宋体" w:hAnsi="宋体" w:eastAsia="宋体" w:cs="宋体"/>
          <w:color w:val="000000" w:themeColor="text1"/>
          <w:spacing w:val="8"/>
          <w:sz w:val="28"/>
          <w:szCs w:val="28"/>
          <w:lang w:val="en-US"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超过年限使用压力容器、设备；</w:t>
      </w:r>
    </w:p>
    <w:p w14:paraId="1AC0FC3B">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6</w:t>
      </w:r>
      <w:r>
        <w:rPr>
          <w:rFonts w:hint="eastAsia" w:ascii="宋体" w:hAnsi="宋体" w:eastAsia="宋体" w:cs="宋体"/>
          <w:color w:val="000000" w:themeColor="text1"/>
          <w:spacing w:val="8"/>
          <w:sz w:val="28"/>
          <w:szCs w:val="28"/>
          <w:lang w:val="en-US"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未定时排水，导致储罐超压，引起超压爆炸；</w:t>
      </w:r>
    </w:p>
    <w:p w14:paraId="054475BB">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7</w:t>
      </w:r>
      <w:r>
        <w:rPr>
          <w:rFonts w:hint="eastAsia" w:ascii="宋体" w:hAnsi="宋体" w:eastAsia="宋体" w:cs="宋体"/>
          <w:color w:val="000000" w:themeColor="text1"/>
          <w:spacing w:val="8"/>
          <w:sz w:val="28"/>
          <w:szCs w:val="28"/>
          <w:lang w:val="en-US"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压力容器、设备因腐蚀而使壁厚减薄，继续运行而强度不足；</w:t>
      </w:r>
    </w:p>
    <w:p w14:paraId="04FADD90">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8</w:t>
      </w:r>
      <w:r>
        <w:rPr>
          <w:rFonts w:hint="eastAsia" w:ascii="宋体" w:hAnsi="宋体" w:eastAsia="宋体" w:cs="宋体"/>
          <w:color w:val="000000" w:themeColor="text1"/>
          <w:spacing w:val="8"/>
          <w:sz w:val="28"/>
          <w:szCs w:val="28"/>
          <w:lang w:val="en-US"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设备上安装的安全附件不全或失效，引起爆炸事故；</w:t>
      </w:r>
    </w:p>
    <w:p w14:paraId="1D7017F9">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9</w:t>
      </w:r>
      <w:r>
        <w:rPr>
          <w:rFonts w:hint="eastAsia" w:ascii="宋体" w:hAnsi="宋体" w:eastAsia="宋体" w:cs="宋体"/>
          <w:color w:val="000000" w:themeColor="text1"/>
          <w:spacing w:val="8"/>
          <w:sz w:val="28"/>
          <w:szCs w:val="28"/>
          <w:lang w:val="en-US"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周围建筑、设备、设施起火或自身附件起火，使压力容器设备储罐受热，导致储罐发生物理爆炸。</w:t>
      </w:r>
    </w:p>
    <w:p w14:paraId="0CA84AFD">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362" w:name="_Toc18104"/>
      <w:bookmarkStart w:id="363" w:name="_Toc8287"/>
      <w:bookmarkStart w:id="364" w:name="_Toc9776"/>
      <w:bookmarkStart w:id="365" w:name="_Toc10262"/>
      <w:bookmarkStart w:id="366" w:name="_Toc9724"/>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3.6.3机械伤害危险性分析</w:t>
      </w:r>
      <w:bookmarkEnd w:id="362"/>
      <w:bookmarkEnd w:id="363"/>
      <w:bookmarkEnd w:id="364"/>
      <w:bookmarkEnd w:id="365"/>
      <w:bookmarkEnd w:id="366"/>
    </w:p>
    <w:p w14:paraId="621CA41A">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机械伤害指机械设备运动（静止）部件、工具直接与人体接触引起的夹击、碰撞、剪切、卷入、绞、碾、割、刺等伤害。当作业人员身体部位或衣物角或头发被卷入机械中，如无紧急停车装置或设备高速运转，人体很可能迅速被卷入设备，造成人员伤亡。</w:t>
      </w:r>
    </w:p>
    <w:p w14:paraId="03B52F42">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该项目在正常生产过程中，使用的机械设备</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如果传动部位没有可靠的安全防护装置，或设备有缺陷，违章作业等，易发生作业人员被切、绞、轧、挤、压、撞击等事故。在事故及检修等特殊情况下，也存在机械伤害的可能性。可能因为机械设备零、部件做旋转运动、直线运动等造成机械伤害，可能发生机械伤害的原因分析如下：</w:t>
      </w:r>
    </w:p>
    <w:p w14:paraId="40D9F17B">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1</w:t>
      </w:r>
      <w:r>
        <w:rPr>
          <w:rFonts w:hint="eastAsia" w:ascii="宋体" w:hAnsi="宋体" w:eastAsia="宋体" w:cs="宋体"/>
          <w:color w:val="000000" w:themeColor="text1"/>
          <w:spacing w:val="8"/>
          <w:sz w:val="28"/>
          <w:szCs w:val="28"/>
          <w:lang w:val="en-US"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无防护：如无防护罩、安全保护装置、报警装置、安全警示标志、护栏等安全防护措施或防护措施失；</w:t>
      </w:r>
    </w:p>
    <w:p w14:paraId="14470236">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2</w:t>
      </w:r>
      <w:r>
        <w:rPr>
          <w:rFonts w:hint="eastAsia" w:ascii="宋体" w:hAnsi="宋体" w:eastAsia="宋体" w:cs="宋体"/>
          <w:color w:val="000000" w:themeColor="text1"/>
          <w:spacing w:val="8"/>
          <w:sz w:val="28"/>
          <w:szCs w:val="28"/>
          <w:lang w:val="en-US"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防护不当：如防护罩未在适当位置，防护装置调整不当，安全距离不够等；</w:t>
      </w:r>
    </w:p>
    <w:p w14:paraId="6C4197EB">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3</w:t>
      </w:r>
      <w:r>
        <w:rPr>
          <w:rFonts w:hint="eastAsia" w:ascii="宋体" w:hAnsi="宋体" w:eastAsia="宋体" w:cs="宋体"/>
          <w:color w:val="000000" w:themeColor="text1"/>
          <w:spacing w:val="8"/>
          <w:sz w:val="28"/>
          <w:szCs w:val="28"/>
          <w:lang w:val="en-US"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机械设备设施存在缺陷：如设计不合理，结构不符合安全要求，制动装置有缺陷，安全间距不够，设备上有锋利倒棱等；</w:t>
      </w:r>
    </w:p>
    <w:p w14:paraId="2DF937A4">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4</w:t>
      </w:r>
      <w:r>
        <w:rPr>
          <w:rFonts w:hint="eastAsia" w:ascii="宋体" w:hAnsi="宋体" w:eastAsia="宋体" w:cs="宋体"/>
          <w:color w:val="000000" w:themeColor="text1"/>
          <w:spacing w:val="8"/>
          <w:sz w:val="28"/>
          <w:szCs w:val="28"/>
          <w:lang w:val="en-US"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人员违章作业或操作失误造成机械伤害；</w:t>
      </w:r>
    </w:p>
    <w:p w14:paraId="29600D29">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5</w:t>
      </w:r>
      <w:r>
        <w:rPr>
          <w:rFonts w:hint="eastAsia" w:ascii="宋体" w:hAnsi="宋体" w:eastAsia="宋体" w:cs="宋体"/>
          <w:color w:val="000000" w:themeColor="text1"/>
          <w:spacing w:val="8"/>
          <w:sz w:val="28"/>
          <w:szCs w:val="28"/>
          <w:lang w:val="en-US"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人员不按规定穿戴劳动保护用品；</w:t>
      </w:r>
    </w:p>
    <w:p w14:paraId="64FFC59C">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6</w:t>
      </w:r>
      <w:r>
        <w:rPr>
          <w:rFonts w:hint="eastAsia" w:ascii="宋体" w:hAnsi="宋体" w:eastAsia="宋体" w:cs="宋体"/>
          <w:color w:val="000000" w:themeColor="text1"/>
          <w:spacing w:val="8"/>
          <w:sz w:val="28"/>
          <w:szCs w:val="28"/>
          <w:lang w:val="en-US"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机械强度不够：如联轴器连接螺栓强度不够等；</w:t>
      </w:r>
    </w:p>
    <w:p w14:paraId="76D9BE67">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7</w:t>
      </w:r>
      <w:r>
        <w:rPr>
          <w:rFonts w:hint="eastAsia" w:ascii="宋体" w:hAnsi="宋体" w:eastAsia="宋体" w:cs="宋体"/>
          <w:color w:val="000000" w:themeColor="text1"/>
          <w:spacing w:val="8"/>
          <w:sz w:val="28"/>
          <w:szCs w:val="28"/>
          <w:lang w:val="en-US"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设备带“病”运转，超负荷运转等；</w:t>
      </w:r>
    </w:p>
    <w:p w14:paraId="5BC4D739">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8</w:t>
      </w:r>
      <w:r>
        <w:rPr>
          <w:rFonts w:hint="eastAsia" w:ascii="宋体" w:hAnsi="宋体" w:eastAsia="宋体" w:cs="宋体"/>
          <w:color w:val="000000" w:themeColor="text1"/>
          <w:spacing w:val="8"/>
          <w:sz w:val="28"/>
          <w:szCs w:val="28"/>
          <w:lang w:val="en-US"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在停车检修时，机器突然被误启动。</w:t>
      </w:r>
    </w:p>
    <w:p w14:paraId="5EF1D95A">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367" w:name="_Toc26865"/>
      <w:bookmarkStart w:id="368" w:name="_Toc1676"/>
      <w:bookmarkStart w:id="369" w:name="_Toc27502"/>
      <w:bookmarkStart w:id="370" w:name="_Toc24951"/>
      <w:bookmarkStart w:id="371" w:name="_Toc24059"/>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3.6.4高处坠落危险性分析</w:t>
      </w:r>
      <w:bookmarkEnd w:id="367"/>
      <w:bookmarkEnd w:id="368"/>
      <w:bookmarkEnd w:id="369"/>
      <w:bookmarkEnd w:id="370"/>
      <w:bookmarkEnd w:id="371"/>
    </w:p>
    <w:p w14:paraId="757A81C3">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bookmarkStart w:id="372" w:name="_Toc45703696"/>
      <w:bookmarkStart w:id="373" w:name="_Toc45510934"/>
      <w:bookmarkStart w:id="374" w:name="_Toc45511300"/>
      <w:bookmarkStart w:id="375" w:name="_Toc45700536"/>
      <w:bookmarkStart w:id="376" w:name="_Toc60128294"/>
      <w:bookmarkStart w:id="377" w:name="_Toc120607114"/>
      <w:bookmarkStart w:id="378" w:name="_Toc45677439"/>
      <w:r>
        <w:rPr>
          <w:rFonts w:hint="eastAsia" w:ascii="宋体" w:hAnsi="宋体" w:eastAsia="宋体" w:cs="宋体"/>
          <w:color w:val="000000" w:themeColor="text1"/>
          <w:spacing w:val="8"/>
          <w:sz w:val="28"/>
          <w:szCs w:val="28"/>
          <w14:textFill>
            <w14:solidFill>
              <w14:schemeClr w14:val="tx1"/>
            </w14:solidFill>
          </w14:textFill>
        </w:rPr>
        <w:t>在本项目中，凡在距离基准面垂直距离为2m以上的作业平台、巡视通道、楼梯等，在检修及巡视这些设备设施过程中，可能因下述原因，造成高处坠落。造成高处坠落事故的主要因素为：</w:t>
      </w:r>
    </w:p>
    <w:p w14:paraId="28D30465">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1</w:t>
      </w:r>
      <w:r>
        <w:rPr>
          <w:rFonts w:hint="eastAsia" w:ascii="宋体" w:hAnsi="宋体" w:eastAsia="宋体" w:cs="宋体"/>
          <w:color w:val="000000" w:themeColor="text1"/>
          <w:spacing w:val="8"/>
          <w:sz w:val="28"/>
          <w:szCs w:val="28"/>
          <w:lang w:val="en-US"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高处平台等处无安全防护栏等防护设施，或安全防护设施安装高度、承载力等不符合要求；</w:t>
      </w:r>
    </w:p>
    <w:p w14:paraId="0383F3DB">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2</w:t>
      </w:r>
      <w:r>
        <w:rPr>
          <w:rFonts w:hint="eastAsia" w:ascii="宋体" w:hAnsi="宋体" w:eastAsia="宋体" w:cs="宋体"/>
          <w:color w:val="000000" w:themeColor="text1"/>
          <w:spacing w:val="8"/>
          <w:sz w:val="28"/>
          <w:szCs w:val="28"/>
          <w:lang w:val="en-US"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高处作业时没有按要求佩戴安全带（绳）、安全帽或采取其他有效的安全保护措施；</w:t>
      </w:r>
    </w:p>
    <w:p w14:paraId="48026706">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3</w:t>
      </w:r>
      <w:r>
        <w:rPr>
          <w:rFonts w:hint="eastAsia" w:ascii="宋体" w:hAnsi="宋体" w:eastAsia="宋体" w:cs="宋体"/>
          <w:color w:val="000000" w:themeColor="text1"/>
          <w:spacing w:val="8"/>
          <w:sz w:val="28"/>
          <w:szCs w:val="28"/>
          <w:lang w:val="en-US"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高处作业立足处不是平面或只有很小的平面，致使作业者无法维持正常姿势；</w:t>
      </w:r>
    </w:p>
    <w:p w14:paraId="4C2E8C8E">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4</w:t>
      </w:r>
      <w:r>
        <w:rPr>
          <w:rFonts w:hint="eastAsia" w:ascii="宋体" w:hAnsi="宋体" w:eastAsia="宋体" w:cs="宋体"/>
          <w:color w:val="000000" w:themeColor="text1"/>
          <w:spacing w:val="8"/>
          <w:sz w:val="28"/>
          <w:szCs w:val="28"/>
          <w:lang w:val="en-US"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作业人员在高处进行作业时违章作业；</w:t>
      </w:r>
    </w:p>
    <w:p w14:paraId="1005D3F9">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5</w:t>
      </w:r>
      <w:r>
        <w:rPr>
          <w:rFonts w:hint="eastAsia" w:ascii="宋体" w:hAnsi="宋体" w:eastAsia="宋体" w:cs="宋体"/>
          <w:color w:val="000000" w:themeColor="text1"/>
          <w:spacing w:val="8"/>
          <w:sz w:val="28"/>
          <w:szCs w:val="28"/>
          <w:lang w:val="en-US"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作业人员疏忽大意，疲劳过度或酒后作业；</w:t>
      </w:r>
    </w:p>
    <w:p w14:paraId="226C0610">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6</w:t>
      </w:r>
      <w:r>
        <w:rPr>
          <w:rFonts w:hint="eastAsia" w:ascii="宋体" w:hAnsi="宋体" w:eastAsia="宋体" w:cs="宋体"/>
          <w:color w:val="000000" w:themeColor="text1"/>
          <w:spacing w:val="8"/>
          <w:sz w:val="28"/>
          <w:szCs w:val="28"/>
          <w:lang w:val="en-US"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在进行高处作业时，安全管理不到位；</w:t>
      </w:r>
    </w:p>
    <w:p w14:paraId="438CF1AE">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7</w:t>
      </w:r>
      <w:r>
        <w:rPr>
          <w:rFonts w:hint="eastAsia" w:ascii="宋体" w:hAnsi="宋体" w:eastAsia="宋体" w:cs="宋体"/>
          <w:color w:val="000000" w:themeColor="text1"/>
          <w:spacing w:val="8"/>
          <w:sz w:val="28"/>
          <w:szCs w:val="28"/>
          <w:lang w:val="en-US"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在雷暴雨、浓雾、六级以上大风等恶劣天气进行室外高处作业。</w:t>
      </w:r>
    </w:p>
    <w:p w14:paraId="2DD8F996">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379" w:name="_Toc13798"/>
      <w:bookmarkStart w:id="380" w:name="_Toc6721"/>
      <w:bookmarkStart w:id="381" w:name="_Toc22751"/>
      <w:bookmarkStart w:id="382" w:name="_Toc7357"/>
      <w:bookmarkStart w:id="383" w:name="_Toc23707"/>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3.6.5触电事故危险性素分析</w:t>
      </w:r>
      <w:bookmarkEnd w:id="379"/>
      <w:bookmarkEnd w:id="380"/>
      <w:bookmarkEnd w:id="381"/>
      <w:bookmarkEnd w:id="382"/>
      <w:bookmarkEnd w:id="383"/>
    </w:p>
    <w:p w14:paraId="6EE0CF41">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触电事故是指人体直接、间接和跨步电压触电（电击、电伤）所造成的伤害。该项目设置</w:t>
      </w:r>
      <w:r>
        <w:rPr>
          <w:rFonts w:hint="eastAsia" w:ascii="宋体" w:hAnsi="宋体" w:eastAsia="宋体" w:cs="宋体"/>
          <w:color w:val="000000" w:themeColor="text1"/>
          <w:spacing w:val="8"/>
          <w:sz w:val="28"/>
          <w:szCs w:val="28"/>
          <w:lang w:val="en-US" w:eastAsia="zh-CN"/>
          <w14:textFill>
            <w14:solidFill>
              <w14:schemeClr w14:val="tx1"/>
            </w14:solidFill>
          </w14:textFill>
        </w:rPr>
        <w:t>了</w:t>
      </w:r>
      <w:r>
        <w:rPr>
          <w:rFonts w:hint="eastAsia" w:ascii="宋体" w:hAnsi="宋体" w:eastAsia="宋体" w:cs="宋体"/>
          <w:color w:val="000000" w:themeColor="text1"/>
          <w:spacing w:val="8"/>
          <w:sz w:val="28"/>
          <w:szCs w:val="28"/>
          <w14:textFill>
            <w14:solidFill>
              <w14:schemeClr w14:val="tx1"/>
            </w14:solidFill>
          </w14:textFill>
        </w:rPr>
        <w:t>配电</w:t>
      </w:r>
      <w:r>
        <w:rPr>
          <w:rFonts w:hint="eastAsia" w:ascii="宋体" w:hAnsi="宋体" w:eastAsia="宋体" w:cs="宋体"/>
          <w:color w:val="000000" w:themeColor="text1"/>
          <w:spacing w:val="8"/>
          <w:sz w:val="28"/>
          <w:szCs w:val="28"/>
          <w:lang w:val="en-US" w:eastAsia="zh-CN"/>
          <w14:textFill>
            <w14:solidFill>
              <w14:schemeClr w14:val="tx1"/>
            </w14:solidFill>
          </w14:textFill>
        </w:rPr>
        <w:t>柜</w:t>
      </w:r>
      <w:r>
        <w:rPr>
          <w:rFonts w:hint="eastAsia" w:ascii="宋体" w:hAnsi="宋体" w:eastAsia="宋体" w:cs="宋体"/>
          <w:color w:val="000000" w:themeColor="text1"/>
          <w:spacing w:val="8"/>
          <w:sz w:val="28"/>
          <w:szCs w:val="28"/>
          <w14:textFill>
            <w14:solidFill>
              <w14:schemeClr w14:val="tx1"/>
            </w14:solidFill>
          </w14:textFill>
        </w:rPr>
        <w:t>、现场控制柜及各种电气设备（如变压器、电缆、开关、闸刀、插座）、用电设备，这些电器设备漏电易引发触电伤害事故，另外自动控制系统也可能引发触电事故。造成触电事故的主要因素：</w:t>
      </w:r>
    </w:p>
    <w:p w14:paraId="40E7C52F">
      <w:pPr>
        <w:numPr>
          <w:ilvl w:val="0"/>
          <w:numId w:val="5"/>
        </w:num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未办理操作票或不执行监护制度，不使用或使用不合格的绝缘工具和电器工具；</w:t>
      </w:r>
    </w:p>
    <w:p w14:paraId="454DD11A">
      <w:pPr>
        <w:numPr>
          <w:ilvl w:val="0"/>
          <w:numId w:val="5"/>
        </w:num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所有电器设备没有接零或接地保护；</w:t>
      </w:r>
    </w:p>
    <w:p w14:paraId="0002A744">
      <w:pPr>
        <w:numPr>
          <w:ilvl w:val="0"/>
          <w:numId w:val="5"/>
        </w:num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线路或电气设备工作完毕，未办理工作终结手续就对停电设备恢复送电；</w:t>
      </w:r>
    </w:p>
    <w:p w14:paraId="5687B253">
      <w:pPr>
        <w:numPr>
          <w:ilvl w:val="0"/>
          <w:numId w:val="5"/>
        </w:num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在带电设备附近作业，不符合安全间距或无监护措施；</w:t>
      </w:r>
    </w:p>
    <w:p w14:paraId="0B0145EA">
      <w:pPr>
        <w:numPr>
          <w:ilvl w:val="0"/>
          <w:numId w:val="5"/>
        </w:num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配电箱不符合安全要求；</w:t>
      </w:r>
    </w:p>
    <w:p w14:paraId="79E5D60F">
      <w:pPr>
        <w:numPr>
          <w:ilvl w:val="0"/>
          <w:numId w:val="5"/>
        </w:num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倒闸操作不核对设备名称、编号、位置状态；</w:t>
      </w:r>
    </w:p>
    <w:p w14:paraId="01F22009">
      <w:pPr>
        <w:numPr>
          <w:ilvl w:val="0"/>
          <w:numId w:val="5"/>
        </w:num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跨越安全围栏或超越安全警戒线；工作人员误碰带电设备；以及在带电设备附近使用钢卷尺等测量工具或携带金属超高物体在带电设备下行走；</w:t>
      </w:r>
    </w:p>
    <w:p w14:paraId="491EA77A">
      <w:pPr>
        <w:numPr>
          <w:ilvl w:val="0"/>
          <w:numId w:val="5"/>
        </w:num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私拉、乱拉电线；</w:t>
      </w:r>
    </w:p>
    <w:p w14:paraId="3C97EBF6">
      <w:pPr>
        <w:numPr>
          <w:ilvl w:val="0"/>
          <w:numId w:val="5"/>
        </w:num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用电保护系统失灵；</w:t>
      </w:r>
    </w:p>
    <w:p w14:paraId="1D01DA6D">
      <w:pPr>
        <w:numPr>
          <w:ilvl w:val="0"/>
          <w:numId w:val="5"/>
        </w:num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设备线路短路，机壳带电；</w:t>
      </w:r>
    </w:p>
    <w:p w14:paraId="6EA8A5A8">
      <w:pPr>
        <w:numPr>
          <w:ilvl w:val="0"/>
          <w:numId w:val="5"/>
        </w:num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在电缆沟、夹层或金属容器内工作不使用安全电压行灯照明；</w:t>
      </w:r>
    </w:p>
    <w:p w14:paraId="540EADC7">
      <w:pPr>
        <w:numPr>
          <w:ilvl w:val="0"/>
          <w:numId w:val="5"/>
        </w:num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在潮湿地区、金属容器内工作不穿绝缘鞋，无绝缘垫、无监护人等。</w:t>
      </w:r>
    </w:p>
    <w:p w14:paraId="4765AF05">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384" w:name="_Toc1462"/>
      <w:bookmarkStart w:id="385" w:name="_Toc6569"/>
      <w:bookmarkStart w:id="386" w:name="_Toc19953"/>
      <w:bookmarkStart w:id="387" w:name="_Toc20134"/>
      <w:bookmarkStart w:id="388" w:name="_Toc31185"/>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3.6.6物体打击危险性分析</w:t>
      </w:r>
      <w:bookmarkEnd w:id="384"/>
      <w:bookmarkEnd w:id="385"/>
      <w:bookmarkEnd w:id="386"/>
      <w:bookmarkEnd w:id="387"/>
      <w:bookmarkEnd w:id="388"/>
    </w:p>
    <w:p w14:paraId="10D476BD">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物体打击，是指物体在重力或其他外力的作用下产生运动，打击人体造成人身伤亡事故。对其导致物体打击的主要原因分析如下：</w:t>
      </w:r>
    </w:p>
    <w:p w14:paraId="3D6C72B8">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1</w:t>
      </w:r>
      <w:r>
        <w:rPr>
          <w:rFonts w:hint="eastAsia" w:ascii="宋体" w:hAnsi="宋体" w:eastAsia="宋体" w:cs="宋体"/>
          <w:color w:val="000000" w:themeColor="text1"/>
          <w:spacing w:val="8"/>
          <w:sz w:val="28"/>
          <w:szCs w:val="28"/>
          <w:lang w:val="en-US"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若高处的防护栏、安全盖板等安全设施缺失，在生产过程中、对设备进行维护和检修过程中，在高处的工具和材料从高处跌落，或人为向下抛掷物件，均易造成对人员的物体打击伤害。</w:t>
      </w:r>
    </w:p>
    <w:p w14:paraId="7D083012">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2</w:t>
      </w:r>
      <w:r>
        <w:rPr>
          <w:rFonts w:hint="eastAsia" w:ascii="宋体" w:hAnsi="宋体" w:eastAsia="宋体" w:cs="宋体"/>
          <w:color w:val="000000" w:themeColor="text1"/>
          <w:spacing w:val="8"/>
          <w:sz w:val="28"/>
          <w:szCs w:val="28"/>
          <w:lang w:val="en-US"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物料、物件摆放不稳，倾覆，也会对人体造成物体打击，造成人员伤亡事故。</w:t>
      </w:r>
    </w:p>
    <w:p w14:paraId="195E1424">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3</w:t>
      </w:r>
      <w:r>
        <w:rPr>
          <w:rFonts w:hint="eastAsia" w:ascii="宋体" w:hAnsi="宋体" w:eastAsia="宋体" w:cs="宋体"/>
          <w:color w:val="000000" w:themeColor="text1"/>
          <w:spacing w:val="8"/>
          <w:sz w:val="28"/>
          <w:szCs w:val="28"/>
          <w:lang w:val="en-US"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如果在高空平台、通道上堆物或者高空装置零件破损，可能会造成物料或装置部件坠落。</w:t>
      </w:r>
    </w:p>
    <w:p w14:paraId="0F52CF88">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4</w:t>
      </w:r>
      <w:r>
        <w:rPr>
          <w:rFonts w:hint="eastAsia" w:ascii="宋体" w:hAnsi="宋体" w:eastAsia="宋体" w:cs="宋体"/>
          <w:color w:val="000000" w:themeColor="text1"/>
          <w:spacing w:val="8"/>
          <w:sz w:val="28"/>
          <w:szCs w:val="28"/>
          <w:lang w:val="en-US"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高空抛物，未划定警戒线，无人监护。</w:t>
      </w:r>
    </w:p>
    <w:p w14:paraId="3ADDB63E">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389" w:name="_Toc7275"/>
      <w:bookmarkStart w:id="390" w:name="_Toc12840"/>
      <w:bookmarkStart w:id="391" w:name="_Toc12404"/>
      <w:bookmarkStart w:id="392" w:name="_Toc22305"/>
      <w:bookmarkStart w:id="393" w:name="_Toc28703"/>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3.6.7车辆伤害危险性分析</w:t>
      </w:r>
      <w:bookmarkEnd w:id="389"/>
      <w:bookmarkEnd w:id="390"/>
      <w:bookmarkEnd w:id="391"/>
      <w:bookmarkEnd w:id="392"/>
      <w:bookmarkEnd w:id="393"/>
    </w:p>
    <w:p w14:paraId="3FCF77B1">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该项目中的原料及成品主要通过车辆运输</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运输量较大，运送产品的机动车辆、货物运输的车辆如没有严格的交通管理措施，可能发生造成车辆伤害。车辆伤害事故的原因是多方面的，但主要是涉及人（驾驶员、行人、装卸工）、车（机动车与非机动车）、道路环境这三个综合因素。对产生车辆伤害的主要原因分析如下：</w:t>
      </w:r>
    </w:p>
    <w:p w14:paraId="4FFAB092">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1</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违章驾车</w:t>
      </w:r>
    </w:p>
    <w:p w14:paraId="30D846E7">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指事故的当事人，由于思想方面的原因而导致的错误操作行为，不按有关规定行驶，扰乱正常的企业内搬运秩序，致使事故发生。如酒后驾车，疲劳驾车，非驾驶员驾车，超速行驶，争道抢行，违章超车，违章装载等原因造成的车辆伤害事故。</w:t>
      </w:r>
    </w:p>
    <w:p w14:paraId="19351D88">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2</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疏忽大意</w:t>
      </w:r>
    </w:p>
    <w:p w14:paraId="42A0CD8B">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指当事人由于心理或生理方面的原因，没有及时、正确的观察和判断道路情况，而造成失误，如情绪急躁、精神分散、心理烦乱、身体不适等都可能造成注意力下降，反应迟钝，表现出嘹望观察不周，遇到情况采取措施不及时或不当；也有的只凭主观想象判断情况，或过高地估计自己的经验技术，过分自信，引起操作失误导致事故。</w:t>
      </w:r>
    </w:p>
    <w:p w14:paraId="19061075">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3</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车况不良</w:t>
      </w:r>
    </w:p>
    <w:p w14:paraId="3453D9F8">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车辆的安全装置如转向、制动、喇叭、照明；后视镜和转向指示灯等不齐全有效；车辆维护修理不及时，带“病”行驶。</w:t>
      </w:r>
    </w:p>
    <w:p w14:paraId="35F9A201">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4</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道路环境</w:t>
      </w:r>
    </w:p>
    <w:p w14:paraId="237C0131">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道路条件差、因建筑物或自然环境影响造成视线不良等。</w:t>
      </w:r>
    </w:p>
    <w:p w14:paraId="404604EF">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高位原料堆场斜坡、弯道等处未设置防滑措施和挡车装置，导致车辆倒退过界，发生翻车事故。</w:t>
      </w:r>
    </w:p>
    <w:p w14:paraId="67574487">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5</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管理因素</w:t>
      </w:r>
    </w:p>
    <w:p w14:paraId="643ED4D0">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车辆安全行驶制度不落实，管理规章制度或操作规程不健全，非驾驶员驾车，车辆维修不及时，交通信号、标志、设施缺陷。</w:t>
      </w:r>
    </w:p>
    <w:bookmarkEnd w:id="357"/>
    <w:bookmarkEnd w:id="372"/>
    <w:bookmarkEnd w:id="373"/>
    <w:bookmarkEnd w:id="374"/>
    <w:bookmarkEnd w:id="375"/>
    <w:bookmarkEnd w:id="376"/>
    <w:bookmarkEnd w:id="377"/>
    <w:bookmarkEnd w:id="378"/>
    <w:p w14:paraId="7A5A902E">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394" w:name="_Toc22876"/>
      <w:bookmarkStart w:id="395" w:name="_Toc10579"/>
      <w:bookmarkStart w:id="396" w:name="_Toc31207"/>
      <w:bookmarkStart w:id="397" w:name="_Toc6094"/>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3.6.8坍塌危险性分析</w:t>
      </w:r>
      <w:bookmarkEnd w:id="394"/>
      <w:bookmarkEnd w:id="395"/>
      <w:bookmarkEnd w:id="396"/>
      <w:bookmarkEnd w:id="397"/>
    </w:p>
    <w:p w14:paraId="6C2D4355">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厂区工程地质不符合要求，会造成建成的建、构筑物坍塌；建、构筑物设计不合理，或施工质量不合格，可能造成建、构筑物坍塌。该项目车间、仓库、原料堆场等场所若堆放的原料或成品过高，堆放不整齐，未划分相应的定置管理区域，则在周围作业时会发生坍塌事故；另外若物料靠墙堆放可能会导致建筑物坍塌。若人员被物料掩埋，甚至可能发生人员伤亡事故。</w:t>
      </w:r>
    </w:p>
    <w:p w14:paraId="714439BB">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398" w:name="_Toc7575"/>
      <w:bookmarkStart w:id="399" w:name="_Toc30161"/>
      <w:bookmarkStart w:id="400" w:name="_Toc15047"/>
      <w:bookmarkStart w:id="401" w:name="_Toc25511"/>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3.6.9 起重伤害危险性分析</w:t>
      </w:r>
      <w:bookmarkEnd w:id="398"/>
      <w:bookmarkEnd w:id="399"/>
      <w:bookmarkEnd w:id="400"/>
      <w:bookmarkEnd w:id="401"/>
    </w:p>
    <w:p w14:paraId="372FB3E4">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zh-CN" w:eastAsia="zh-CN"/>
          <w14:textFill>
            <w14:solidFill>
              <w14:schemeClr w14:val="tx1"/>
            </w14:solidFill>
          </w14:textFill>
        </w:rPr>
        <w:t>起重伤害是指从事各种起重作业时发生的伤害事故。生产过程中所用到的叉车、</w:t>
      </w:r>
      <w:r>
        <w:rPr>
          <w:rFonts w:hint="eastAsia" w:ascii="宋体" w:hAnsi="宋体" w:eastAsia="宋体" w:cs="宋体"/>
          <w:color w:val="000000" w:themeColor="text1"/>
          <w:sz w:val="28"/>
          <w:szCs w:val="28"/>
          <w:lang w:val="en-US" w:eastAsia="zh-CN"/>
          <w14:textFill>
            <w14:solidFill>
              <w14:schemeClr w14:val="tx1"/>
            </w14:solidFill>
          </w14:textFill>
        </w:rPr>
        <w:t>起重机</w:t>
      </w:r>
      <w:r>
        <w:rPr>
          <w:rFonts w:hint="eastAsia" w:ascii="宋体" w:hAnsi="宋体" w:eastAsia="宋体" w:cs="宋体"/>
          <w:color w:val="000000" w:themeColor="text1"/>
          <w:sz w:val="28"/>
          <w:szCs w:val="28"/>
          <w:lang w:val="zh-CN" w:eastAsia="zh-CN"/>
          <w14:textFill>
            <w14:solidFill>
              <w14:schemeClr w14:val="tx1"/>
            </w14:solidFill>
          </w14:textFill>
        </w:rPr>
        <w:t>会因自身缺陷、操作不当、架设不牢、联系不当等原因，发生吊物坠落、撞击、挤压等伤及人身的事故。</w:t>
      </w:r>
    </w:p>
    <w:p w14:paraId="754DE377">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本项目车间内设置有行车。</w:t>
      </w:r>
      <w:r>
        <w:rPr>
          <w:rFonts w:hint="eastAsia" w:ascii="宋体" w:hAnsi="宋体" w:eastAsia="宋体" w:cs="宋体"/>
          <w:color w:val="000000" w:themeColor="text1"/>
          <w:sz w:val="28"/>
          <w:szCs w:val="28"/>
          <w:lang w:val="zh-CN" w:eastAsia="zh-CN"/>
          <w14:textFill>
            <w14:solidFill>
              <w14:schemeClr w14:val="tx1"/>
            </w14:solidFill>
          </w14:textFill>
        </w:rPr>
        <w:t>发生起重伤害事故的原因主要有以下几点：</w:t>
      </w:r>
    </w:p>
    <w:p w14:paraId="4391D1F8">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lang w:val="zh-CN" w:eastAsia="zh-CN"/>
          <w14:textFill>
            <w14:solidFill>
              <w14:schemeClr w14:val="tx1"/>
            </w14:solidFill>
          </w14:textFill>
        </w:rPr>
      </w:pPr>
      <w:r>
        <w:rPr>
          <w:rFonts w:hint="eastAsia" w:ascii="宋体" w:hAnsi="宋体" w:eastAsia="宋体" w:cs="宋体"/>
          <w:color w:val="000000" w:themeColor="text1"/>
          <w:spacing w:val="8"/>
          <w:sz w:val="28"/>
          <w:szCs w:val="28"/>
          <w:lang w:val="en-US" w:eastAsia="zh-CN"/>
          <w14:textFill>
            <w14:solidFill>
              <w14:schemeClr w14:val="tx1"/>
            </w14:solidFill>
          </w14:textFill>
        </w:rPr>
        <w:t>1.</w:t>
      </w:r>
      <w:r>
        <w:rPr>
          <w:rFonts w:hint="eastAsia" w:ascii="宋体" w:hAnsi="宋体" w:eastAsia="宋体" w:cs="宋体"/>
          <w:color w:val="000000" w:themeColor="text1"/>
          <w:spacing w:val="8"/>
          <w:sz w:val="28"/>
          <w:szCs w:val="28"/>
          <w:lang w:val="zh-CN" w:eastAsia="zh-CN"/>
          <w14:textFill>
            <w14:solidFill>
              <w14:schemeClr w14:val="tx1"/>
            </w14:solidFill>
          </w14:textFill>
        </w:rPr>
        <w:t>脱钩</w:t>
      </w:r>
    </w:p>
    <w:p w14:paraId="168E5C86">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（1）起重工在吊运物体时，因现场无人指挥，吊物下降过快造成脱钩；</w:t>
      </w:r>
    </w:p>
    <w:p w14:paraId="6E803FC4">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lang w:val="en-US" w:eastAsia="zh-CN"/>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（2）吊运时起吊物体不稳，致使吊钩在空中悠荡，在悠荡过程中</w:t>
      </w:r>
      <w:r>
        <w:rPr>
          <w:rFonts w:hint="eastAsia" w:ascii="宋体" w:hAnsi="宋体" w:eastAsia="宋体" w:cs="宋体"/>
          <w:color w:val="000000" w:themeColor="text1"/>
          <w:spacing w:val="8"/>
          <w:sz w:val="28"/>
          <w:szCs w:val="28"/>
          <w:lang w:val="en-US" w:eastAsia="zh-CN"/>
          <w14:textFill>
            <w14:solidFill>
              <w14:schemeClr w14:val="tx1"/>
            </w14:solidFill>
          </w14:textFill>
        </w:rPr>
        <w:t>钩头由于离心惯性力甩出而引起脱钩；</w:t>
      </w:r>
    </w:p>
    <w:p w14:paraId="491B4028">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lang w:val="en-US" w:eastAsia="zh-CN"/>
          <w14:textFill>
            <w14:solidFill>
              <w14:schemeClr w14:val="tx1"/>
            </w14:solidFill>
          </w14:textFill>
        </w:rPr>
      </w:pPr>
      <w:r>
        <w:rPr>
          <w:rFonts w:hint="eastAsia" w:ascii="宋体" w:hAnsi="宋体" w:eastAsia="宋体" w:cs="宋体"/>
          <w:color w:val="000000" w:themeColor="text1"/>
          <w:spacing w:val="8"/>
          <w:sz w:val="28"/>
          <w:szCs w:val="28"/>
          <w:lang w:val="en-US" w:eastAsia="zh-CN"/>
          <w14:textFill>
            <w14:solidFill>
              <w14:schemeClr w14:val="tx1"/>
            </w14:solidFill>
          </w14:textFill>
        </w:rPr>
        <w:t>（3）行车因操作不稳，紧急起动、制动可能引起钩头惯性飞出；</w:t>
      </w:r>
    </w:p>
    <w:p w14:paraId="5C525B23">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lang w:val="en-US" w:eastAsia="zh-CN"/>
          <w14:textFill>
            <w14:solidFill>
              <w14:schemeClr w14:val="tx1"/>
            </w14:solidFill>
          </w14:textFill>
        </w:rPr>
      </w:pPr>
      <w:r>
        <w:rPr>
          <w:rFonts w:hint="eastAsia" w:ascii="宋体" w:hAnsi="宋体" w:eastAsia="宋体" w:cs="宋体"/>
          <w:color w:val="000000" w:themeColor="text1"/>
          <w:spacing w:val="8"/>
          <w:sz w:val="28"/>
          <w:szCs w:val="28"/>
          <w:lang w:val="en-US" w:eastAsia="zh-CN"/>
          <w14:textFill>
            <w14:solidFill>
              <w14:schemeClr w14:val="tx1"/>
            </w14:solidFill>
          </w14:textFill>
        </w:rPr>
        <w:t>（4）具有主、副钩头的行车吊运重物时，当另一不用钩头挂在吊索的小圈上时，因钩头粗不容易插牢在圈环内，在操作和振动、摆动时，由于离心惯性力的作用，而引起钩头脱出坠落伤人。</w:t>
      </w:r>
    </w:p>
    <w:p w14:paraId="3E42D465">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val="zh-CN" w:eastAsia="zh-CN"/>
          <w14:textFill>
            <w14:solidFill>
              <w14:schemeClr w14:val="tx1"/>
            </w14:solidFill>
          </w14:textFill>
        </w:rPr>
        <w:t>钢丝绳折断</w:t>
      </w:r>
    </w:p>
    <w:p w14:paraId="38CDDC83">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zh-CN" w:eastAsia="zh-CN"/>
          <w14:textFill>
            <w14:solidFill>
              <w14:schemeClr w14:val="tx1"/>
            </w14:solidFill>
          </w14:textFill>
        </w:rPr>
        <w:t>钢丝绳发生折断的原因很多，其主要和常见的原因是：操作前没有对钢丝绳进行安全技术检验或认真检查，对已断丝的钢丝绳没有按钢丝绳报废标准处理或降低负荷使用，吊运作业时严重超负荷等。</w:t>
      </w:r>
    </w:p>
    <w:p w14:paraId="36D064B3">
      <w:pPr>
        <w:numPr>
          <w:ilvl w:val="0"/>
          <w:numId w:val="0"/>
        </w:numPr>
        <w:snapToGrid w:val="0"/>
        <w:spacing w:line="500" w:lineRule="exact"/>
        <w:ind w:leftChars="200"/>
        <w:rPr>
          <w:rFonts w:hint="eastAsia" w:ascii="宋体" w:hAnsi="宋体" w:eastAsia="宋体" w:cs="宋体"/>
          <w:sz w:val="28"/>
          <w:szCs w:val="28"/>
        </w:rPr>
      </w:pPr>
      <w:r>
        <w:rPr>
          <w:rFonts w:hint="eastAsia" w:ascii="宋体" w:hAnsi="宋体" w:eastAsia="宋体" w:cs="宋体"/>
          <w:sz w:val="28"/>
          <w:szCs w:val="28"/>
          <w:lang w:val="en-US" w:eastAsia="zh-CN"/>
        </w:rPr>
        <w:t>3.</w:t>
      </w:r>
      <w:r>
        <w:rPr>
          <w:rFonts w:hint="eastAsia" w:ascii="宋体" w:hAnsi="宋体" w:eastAsia="宋体" w:cs="宋体"/>
          <w:sz w:val="28"/>
          <w:szCs w:val="28"/>
        </w:rPr>
        <w:t>安全防护装置缺乏或失灵</w:t>
      </w:r>
    </w:p>
    <w:p w14:paraId="048CC163">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zh-CN" w:eastAsia="zh-CN"/>
          <w14:textFill>
            <w14:solidFill>
              <w14:schemeClr w14:val="tx1"/>
            </w14:solidFill>
          </w14:textFill>
        </w:rPr>
        <w:t>起重机械的安全装置（制动器、缓冲器、行程限位器、起重量限制器、防护罩等）是各类起重机不可缺少的安全防护装置，当安全装置缺乏或失灵又未检修时，因操作不慎和超负荷等原因，将发生翻车、碰撞、钢丝绳折断等事故。起重机械上的齿轮和传动轴，没有设置安全罩或其它安全设施，会将人的衣服卷入。</w:t>
      </w:r>
    </w:p>
    <w:p w14:paraId="79F13489">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val="zh-CN" w:eastAsia="zh-CN"/>
          <w14:textFill>
            <w14:solidFill>
              <w14:schemeClr w14:val="tx1"/>
            </w14:solidFill>
          </w14:textFill>
        </w:rPr>
        <w:t>吊物坠落</w:t>
      </w:r>
    </w:p>
    <w:p w14:paraId="4DE93466">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zh-CN" w:eastAsia="zh-CN"/>
          <w14:textFill>
            <w14:solidFill>
              <w14:schemeClr w14:val="tx1"/>
            </w14:solidFill>
          </w14:textFill>
        </w:rPr>
        <w:t>起重机吊运物体时，由于其他原因，物体突然坠落，将地面的人员砸伤，造成严重人员伤亡事故，因为坠落的重物一般都是击中人的头部（立姿）或腰部（蹲姿）。</w:t>
      </w:r>
    </w:p>
    <w:p w14:paraId="4AE9EBD9">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lang w:val="zh-CN" w:eastAsia="zh-CN"/>
          <w14:textFill>
            <w14:solidFill>
              <w14:schemeClr w14:val="tx1"/>
            </w14:solidFill>
          </w14:textFill>
        </w:rPr>
        <w:t>碰撞致伤</w:t>
      </w:r>
    </w:p>
    <w:p w14:paraId="097A203F">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zh-CN" w:eastAsia="zh-CN"/>
          <w14:textFill>
            <w14:solidFill>
              <w14:schemeClr w14:val="tx1"/>
            </w14:solidFill>
          </w14:textFill>
        </w:rPr>
        <w:t>物体在吊运中，因碰撞或刹车等原因，使吊件在空中悠荡，吊件撞倒设备或积物而引起事故。</w:t>
      </w:r>
    </w:p>
    <w:p w14:paraId="38895F5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lang w:val="zh-CN" w:eastAsia="zh-CN"/>
          <w14:textFill>
            <w14:solidFill>
              <w14:schemeClr w14:val="tx1"/>
            </w14:solidFill>
          </w14:textFill>
        </w:rPr>
        <w:t>指挥信号不明或乱指挥</w:t>
      </w:r>
    </w:p>
    <w:p w14:paraId="566C680A">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zh-CN" w:eastAsia="zh-CN"/>
          <w14:textFill>
            <w14:solidFill>
              <w14:schemeClr w14:val="tx1"/>
            </w14:solidFill>
          </w14:textFill>
        </w:rPr>
        <w:t>现场起吊时，指挥者乱指挥或指挥信号不明，易使现场起重人员产生错误判断或错误操作，尤其当几台起重设备在同一场所操作时，因各自的指挥信号不同引起的错误操作往往会产生严重后果。</w:t>
      </w:r>
    </w:p>
    <w:p w14:paraId="0FEB3B4A">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7.</w:t>
      </w:r>
      <w:r>
        <w:rPr>
          <w:rFonts w:hint="eastAsia" w:ascii="宋体" w:hAnsi="宋体" w:eastAsia="宋体" w:cs="宋体"/>
          <w:sz w:val="28"/>
          <w:szCs w:val="28"/>
        </w:rPr>
        <w:t>工件紧固不牢</w:t>
      </w:r>
    </w:p>
    <w:p w14:paraId="41319A1A">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当起吊散装金属物体或工件时，若没有捆扎牢固，吊运或搬运过程中零星小件会脱落坠下，极易伤人</w:t>
      </w:r>
      <w:r>
        <w:rPr>
          <w:rFonts w:hint="eastAsia" w:ascii="宋体" w:hAnsi="宋体" w:eastAsia="宋体" w:cs="宋体"/>
          <w:sz w:val="28"/>
          <w:szCs w:val="28"/>
          <w:lang w:eastAsia="zh-CN"/>
        </w:rPr>
        <w:t>。</w:t>
      </w:r>
    </w:p>
    <w:p w14:paraId="2AFE0475">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8．光线阴暗看不清物体</w:t>
      </w:r>
    </w:p>
    <w:p w14:paraId="6DFDBC44">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如起重现场粉尘大，能见度差，晚间光线太暗或眩目刺眼，看不清物体和周围障碍物，可能导致指挥或操作失误而造成起重伤害事故的发生。</w:t>
      </w:r>
    </w:p>
    <w:p w14:paraId="3A2C6CA6">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9．起重设备带病运转</w:t>
      </w:r>
    </w:p>
    <w:p w14:paraId="5550DE2A">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起重设备带病运转，未定期进行检测检验或检测检验不合格，使用这类起重设备作业时极易导致设备和人身事故的发生。</w:t>
      </w:r>
    </w:p>
    <w:p w14:paraId="1A67E480">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10．开车前未发开车信号</w:t>
      </w:r>
    </w:p>
    <w:p w14:paraId="1EB5C3EA">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起重设备在开车前未预先发出开车信号，而导致起重伤害事故的发生。</w:t>
      </w:r>
    </w:p>
    <w:p w14:paraId="3E29B170">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11．人为事故因素</w:t>
      </w:r>
    </w:p>
    <w:p w14:paraId="7D891D19">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起重机械作业人员在操作时违规操作或作业人员未经专业技术培训取得相应的资证持证上岗，不具备操作的技能和安全知识，导致起重伤害事故的发生。</w:t>
      </w:r>
    </w:p>
    <w:p w14:paraId="0097B81F">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402" w:name="_Toc3634"/>
      <w:bookmarkStart w:id="403" w:name="_Toc9495"/>
      <w:bookmarkStart w:id="404" w:name="_Toc14933"/>
      <w:bookmarkStart w:id="405" w:name="_Toc20316"/>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3.6.10静电、雷电危险性分析</w:t>
      </w:r>
      <w:bookmarkEnd w:id="402"/>
      <w:bookmarkEnd w:id="403"/>
      <w:bookmarkEnd w:id="404"/>
      <w:bookmarkEnd w:id="405"/>
    </w:p>
    <w:p w14:paraId="176BE989">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1</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静电危害</w:t>
      </w:r>
    </w:p>
    <w:p w14:paraId="107D3389">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生产过程中，在配电</w:t>
      </w:r>
      <w:r>
        <w:rPr>
          <w:rFonts w:hint="eastAsia" w:ascii="宋体" w:hAnsi="宋体" w:eastAsia="宋体" w:cs="宋体"/>
          <w:color w:val="000000" w:themeColor="text1"/>
          <w:spacing w:val="8"/>
          <w:sz w:val="28"/>
          <w:szCs w:val="28"/>
          <w:lang w:val="en-US" w:eastAsia="zh-CN"/>
          <w14:textFill>
            <w14:solidFill>
              <w14:schemeClr w14:val="tx1"/>
            </w14:solidFill>
          </w14:textFill>
        </w:rPr>
        <w:t>柜</w:t>
      </w:r>
      <w:r>
        <w:rPr>
          <w:rFonts w:hint="eastAsia" w:ascii="宋体" w:hAnsi="宋体" w:eastAsia="宋体" w:cs="宋体"/>
          <w:color w:val="000000" w:themeColor="text1"/>
          <w:spacing w:val="8"/>
          <w:sz w:val="28"/>
          <w:szCs w:val="28"/>
          <w14:textFill>
            <w14:solidFill>
              <w14:schemeClr w14:val="tx1"/>
            </w14:solidFill>
          </w14:textFill>
        </w:rPr>
        <w:t>、厂房等有弱电、强电操作的环境处，都可能会出现静电放电和雷电放电现象，均可成为引起燃烧的点火源，导致火灾或其他因控制失灵产生的事故。</w:t>
      </w:r>
    </w:p>
    <w:p w14:paraId="32D04B95">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2</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雷电的危害</w:t>
      </w:r>
    </w:p>
    <w:p w14:paraId="3E229084">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雷电的破坏作用主要为三种：直接雷击破坏、感应雷破坏和雷电波侵入破坏。</w:t>
      </w:r>
    </w:p>
    <w:p w14:paraId="429720C9">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（1）直接雷击破坏</w:t>
      </w:r>
    </w:p>
    <w:p w14:paraId="21B2E84C">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lang w:eastAsia="zh-CN"/>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当雷电直接击在建筑物上，强大的雷电流使建 (构) 筑物水分受热汽化膨胀，从而产生很大的机械力，导致建筑物燃烧或爆炸。另外，当雷电击中接闪器，电流沿引下线向大地泻放时，这时对地电位升高，有可能向临近的物体跳击，称为雷电“反击”，从而造成火灾或人身伤亡</w:t>
      </w:r>
      <w:r>
        <w:rPr>
          <w:rFonts w:hint="eastAsia" w:ascii="宋体" w:hAnsi="宋体" w:eastAsia="宋体" w:cs="宋体"/>
          <w:color w:val="000000" w:themeColor="text1"/>
          <w:spacing w:val="8"/>
          <w:sz w:val="28"/>
          <w:szCs w:val="28"/>
          <w:lang w:eastAsia="zh-CN"/>
          <w14:textFill>
            <w14:solidFill>
              <w14:schemeClr w14:val="tx1"/>
            </w14:solidFill>
          </w14:textFill>
        </w:rPr>
        <w:t>。</w:t>
      </w:r>
    </w:p>
    <w:p w14:paraId="500F7E08">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（2）感应雷破坏</w:t>
      </w:r>
    </w:p>
    <w:p w14:paraId="1A0E023B">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感应雷破坏也称为二次破坏。由于雷电流变化梯度很大，会产生强大的交变磁场，使得周围的金属构件产生感应电流，这种电流可能向周围物体放电，如附近有可燃物就会引发火灾和爆炸，而感应到正在联机的导线上就会对设备产生强烈的破坏性。</w:t>
      </w:r>
    </w:p>
    <w:p w14:paraId="5ECCC111">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（3）雷电波侵入破坏</w:t>
      </w:r>
    </w:p>
    <w:p w14:paraId="1B8B2B41">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当雷电接近架空管线时，高压冲击波会沿架空管线侵入室内，造成高电流引入，这样可能引起设备损坏或人身伤亡事故。如果附近有可燃物，容易酿成火灾。</w:t>
      </w:r>
    </w:p>
    <w:p w14:paraId="787A9555">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当遇到雷雨天气时，全厂各建、构筑物、设备、管道和人员均可能受到雷击伤害。</w:t>
      </w:r>
    </w:p>
    <w:p w14:paraId="404C74E0">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406" w:name="_Toc19098"/>
      <w:bookmarkStart w:id="407" w:name="_Toc19873"/>
      <w:bookmarkStart w:id="408" w:name="_Toc7721"/>
      <w:bookmarkStart w:id="409" w:name="_Toc19695"/>
      <w:bookmarkStart w:id="410" w:name="_Toc5806"/>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3.6.11其他伤害危险性分析</w:t>
      </w:r>
      <w:bookmarkEnd w:id="406"/>
      <w:bookmarkEnd w:id="407"/>
      <w:bookmarkEnd w:id="408"/>
      <w:bookmarkEnd w:id="409"/>
      <w:bookmarkEnd w:id="410"/>
    </w:p>
    <w:p w14:paraId="00779A44">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1</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噪声危害</w:t>
      </w:r>
    </w:p>
    <w:p w14:paraId="106814DD">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噪声就是各种不同频率和强度的声音，呈无规律的杂乱组合，其波形呈无规则变化，听起来使人感到厌烦或音量过强而危害人体健康的声音。可分为：机械噪声、空气动力性噪声和电磁噪声。该项目产生的噪声主要是由空压机运行发出的声音，其次是电磁噪声。</w:t>
      </w:r>
    </w:p>
    <w:p w14:paraId="2EC43A37">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噪声能引起听觉功能敏感度下降甚至造成耳聋，或引起神经衰弱心血管疾病及消化系统等疾病的高发，使误操作率上升。其主要危害是对听力系统的损害，强噪声作用下，可导致永久性听力下降，内耳感音细胞遭损伤，引起噪声性耳聋。引发噪声危害的原因主要有：</w:t>
      </w:r>
    </w:p>
    <w:p w14:paraId="2AD76ED8">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（1）机械设备运转不正常，造成噪声超标；</w:t>
      </w:r>
    </w:p>
    <w:p w14:paraId="0B313B7B">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（2）工作环境中噪声超标；</w:t>
      </w:r>
    </w:p>
    <w:p w14:paraId="2D11FC1A">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（3）人员未采取防护措施或防护措施失效；</w:t>
      </w:r>
    </w:p>
    <w:p w14:paraId="32EAB66A">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（4）高噪声设备未采取隔声、消声、吸声、隔振等安全措施；</w:t>
      </w:r>
    </w:p>
    <w:p w14:paraId="0DB8C749">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（5）人员长时间在噪声环境中劳动；</w:t>
      </w:r>
    </w:p>
    <w:p w14:paraId="4E4B7C93">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（6）安全资金投入不足、安全教育培训不够、个体防护不到位等。</w:t>
      </w:r>
    </w:p>
    <w:p w14:paraId="03108DEA">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bookmarkStart w:id="411" w:name="_Toc10588"/>
      <w:bookmarkStart w:id="412" w:name="_Toc4617"/>
      <w:r>
        <w:rPr>
          <w:rFonts w:hint="eastAsia" w:ascii="宋体" w:hAnsi="宋体" w:eastAsia="宋体" w:cs="宋体"/>
          <w:color w:val="000000" w:themeColor="text1"/>
          <w:spacing w:val="8"/>
          <w:sz w:val="28"/>
          <w:szCs w:val="28"/>
          <w:lang w:val="en-US" w:eastAsia="zh-CN"/>
          <w14:textFill>
            <w14:solidFill>
              <w14:schemeClr w14:val="tx1"/>
            </w14:solidFill>
          </w14:textFill>
        </w:rPr>
        <w:t>2.</w:t>
      </w:r>
      <w:r>
        <w:rPr>
          <w:rFonts w:hint="eastAsia" w:ascii="宋体" w:hAnsi="宋体" w:eastAsia="宋体" w:cs="宋体"/>
          <w:color w:val="000000" w:themeColor="text1"/>
          <w:spacing w:val="8"/>
          <w:sz w:val="28"/>
          <w:szCs w:val="28"/>
          <w14:textFill>
            <w14:solidFill>
              <w14:schemeClr w14:val="tx1"/>
            </w14:solidFill>
          </w14:textFill>
        </w:rPr>
        <w:t>其它</w:t>
      </w:r>
      <w:bookmarkEnd w:id="411"/>
      <w:bookmarkEnd w:id="412"/>
    </w:p>
    <w:p w14:paraId="46C26CE0">
      <w:pPr>
        <w:adjustRightInd w:val="0"/>
        <w:snapToGrid w:val="0"/>
        <w:spacing w:line="500" w:lineRule="exact"/>
        <w:ind w:firstLine="560" w:firstLineChars="200"/>
        <w:contextualSpacing/>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本项目在生产过程中，还存在着其它危险、有害因素，例如地震等自然灾害。其主要危险性如下：</w:t>
      </w:r>
    </w:p>
    <w:p w14:paraId="4CEF991E">
      <w:pPr>
        <w:adjustRightInd w:val="0"/>
        <w:snapToGrid w:val="0"/>
        <w:spacing w:line="500" w:lineRule="exact"/>
        <w:ind w:firstLine="560" w:firstLineChars="200"/>
        <w:contextualSpacing/>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地震是一种自然灾害，是不可抗拒的，甚至是毁灭性的因素。其对人造成伤亡或对建筑物及设备造成突发损害的因素；有害因素直接或间接影响人的身体健康，导致疾病或对建筑物和设备、环境造成损害的因素；</w:t>
      </w:r>
    </w:p>
    <w:p w14:paraId="383FB032">
      <w:pPr>
        <w:adjustRightInd w:val="0"/>
        <w:snapToGrid w:val="0"/>
        <w:spacing w:line="500" w:lineRule="exact"/>
        <w:ind w:firstLine="560" w:firstLineChars="200"/>
        <w:contextualSpacing/>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（2）不良地质：由于地质构造、岩浆活动等地质异常活动现象，易产生地震自然灾害；</w:t>
      </w:r>
    </w:p>
    <w:p w14:paraId="43EB98C8">
      <w:pPr>
        <w:adjustRightInd w:val="0"/>
        <w:snapToGrid w:val="0"/>
        <w:spacing w:line="500" w:lineRule="exact"/>
        <w:ind w:firstLine="560" w:firstLineChars="200"/>
        <w:contextualSpacing/>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（3）气温：人体有最适宜的环境温度，当其超过一定范围时，会产生不舒服感，气温极端会使人发生中暑和冻伤；</w:t>
      </w:r>
    </w:p>
    <w:p w14:paraId="379A0B45">
      <w:pPr>
        <w:adjustRightInd w:val="0"/>
        <w:snapToGrid w:val="0"/>
        <w:spacing w:line="500" w:lineRule="exact"/>
        <w:ind w:firstLine="560" w:firstLineChars="200"/>
        <w:contextualSpacing/>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（4）其他：暴雨和洪水威胁工厂安全，其作用范围大。</w:t>
      </w:r>
    </w:p>
    <w:p w14:paraId="7D582947">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413" w:name="_Toc10334"/>
      <w:bookmarkStart w:id="414" w:name="_Toc644"/>
      <w:bookmarkStart w:id="415" w:name="_Toc29447"/>
      <w:bookmarkStart w:id="416" w:name="_Toc12479"/>
      <w:bookmarkStart w:id="417" w:name="_Toc31330"/>
      <w:bookmarkStart w:id="418" w:name="_Toc26853"/>
      <w:bookmarkStart w:id="419" w:name="_Toc490690814"/>
      <w:bookmarkStart w:id="420" w:name="_Toc6933"/>
      <w:bookmarkStart w:id="421" w:name="_Toc30937"/>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3.6.12 灼烫危险性分析</w:t>
      </w:r>
      <w:bookmarkEnd w:id="413"/>
      <w:bookmarkEnd w:id="414"/>
      <w:bookmarkEnd w:id="415"/>
      <w:bookmarkEnd w:id="416"/>
      <w:bookmarkEnd w:id="417"/>
      <w:bookmarkEnd w:id="418"/>
      <w:bookmarkEnd w:id="419"/>
      <w:bookmarkEnd w:id="420"/>
      <w:bookmarkEnd w:id="421"/>
    </w:p>
    <w:p w14:paraId="59A85CA3">
      <w:pPr>
        <w:pStyle w:val="11"/>
        <w:keepNext w:val="0"/>
        <w:keepLines w:val="0"/>
        <w:pageBreakBefore w:val="0"/>
        <w:widowControl w:val="0"/>
        <w:kinsoku/>
        <w:wordWrap/>
        <w:overflowPunct/>
        <w:topLinePunct w:val="0"/>
        <w:autoSpaceDE/>
        <w:autoSpaceDN/>
        <w:bidi w:val="0"/>
        <w:adjustRightInd/>
        <w:snapToGrid/>
        <w:spacing w:line="500" w:lineRule="exact"/>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高温烫伤属于热损伤，是体表部分接触足够高温的干热或湿热所引起的局部和全身反应。本项目</w:t>
      </w:r>
      <w:r>
        <w:rPr>
          <w:rFonts w:hint="eastAsia" w:ascii="宋体" w:hAnsi="宋体" w:eastAsia="宋体" w:cs="宋体"/>
          <w:color w:val="auto"/>
          <w:sz w:val="28"/>
          <w:szCs w:val="28"/>
          <w:lang w:val="en-US" w:eastAsia="zh-CN"/>
        </w:rPr>
        <w:t>机床铸件加工工艺易</w:t>
      </w:r>
      <w:r>
        <w:rPr>
          <w:rFonts w:hint="eastAsia" w:ascii="宋体" w:hAnsi="宋体" w:eastAsia="宋体" w:cs="宋体"/>
          <w:color w:val="auto"/>
          <w:sz w:val="28"/>
          <w:szCs w:val="28"/>
        </w:rPr>
        <w:t>引发灼烫事故</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原因主要有：</w:t>
      </w:r>
    </w:p>
    <w:p w14:paraId="2E98BFDC">
      <w:pPr>
        <w:pStyle w:val="11"/>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560" w:firstLineChars="200"/>
        <w:textAlignment w:val="auto"/>
        <w:rPr>
          <w:rFonts w:hint="eastAsia" w:ascii="宋体" w:hAnsi="宋体" w:eastAsia="宋体" w:cs="宋体"/>
          <w:color w:val="000000" w:themeColor="text1"/>
          <w:sz w:val="28"/>
          <w:szCs w:val="28"/>
          <w:lang w:val="en-US" w:eastAsia="zh-CN" w:bidi="ar-SA"/>
          <w14:textFill>
            <w14:solidFill>
              <w14:schemeClr w14:val="tx1"/>
            </w14:solidFill>
          </w14:textFill>
        </w:rPr>
      </w:pPr>
      <w:r>
        <w:rPr>
          <w:rFonts w:hint="eastAsia" w:ascii="宋体" w:hAnsi="宋体" w:eastAsia="宋体" w:cs="宋体"/>
          <w:color w:val="000000" w:themeColor="text1"/>
          <w:sz w:val="28"/>
          <w:szCs w:val="28"/>
          <w:lang w:val="en-US" w:eastAsia="zh-CN" w:bidi="ar-SA"/>
          <w14:textFill>
            <w14:solidFill>
              <w14:schemeClr w14:val="tx1"/>
            </w14:solidFill>
          </w14:textFill>
        </w:rPr>
        <w:t>1.直接接触高温物体</w:t>
      </w:r>
    </w:p>
    <w:p w14:paraId="0633B95C">
      <w:pPr>
        <w:adjustRightInd w:val="0"/>
        <w:snapToGrid w:val="0"/>
        <w:spacing w:line="500" w:lineRule="exact"/>
        <w:ind w:firstLine="560" w:firstLineChars="200"/>
        <w:contextualSpacing/>
        <w:rPr>
          <w:rFonts w:hint="default" w:ascii="宋体" w:hAnsi="宋体" w:eastAsia="宋体" w:cs="宋体"/>
          <w:color w:val="000000" w:themeColor="text1"/>
          <w:sz w:val="28"/>
          <w:szCs w:val="28"/>
          <w:lang w:val="en-US" w:eastAsia="zh-CN" w:bidi="ar-SA"/>
          <w14:textFill>
            <w14:solidFill>
              <w14:schemeClr w14:val="tx1"/>
            </w14:solidFill>
          </w14:textFill>
        </w:rPr>
      </w:pPr>
      <w:r>
        <w:rPr>
          <w:rFonts w:hint="eastAsia" w:ascii="宋体" w:hAnsi="宋体" w:eastAsia="宋体" w:cs="宋体"/>
          <w:color w:val="000000" w:themeColor="text1"/>
          <w:sz w:val="28"/>
          <w:szCs w:val="28"/>
          <w:lang w:val="en-US" w:eastAsia="zh-CN" w:bidi="ar-SA"/>
          <w14:textFill>
            <w14:solidFill>
              <w14:schemeClr w14:val="tx1"/>
            </w14:solidFill>
          </w14:textFill>
        </w:rPr>
        <w:t>（1）切削加工产生的高温切屑：加工铸铁、不锈钢等材料时，切屑易飞散。车削、铣削、磨削等工艺中，金属切屑温度可达</w:t>
      </w:r>
      <w:r>
        <w:rPr>
          <w:rFonts w:hint="default" w:ascii="宋体" w:hAnsi="宋体" w:eastAsia="宋体" w:cs="宋体"/>
          <w:color w:val="000000" w:themeColor="text1"/>
          <w:sz w:val="28"/>
          <w:szCs w:val="28"/>
          <w:lang w:val="en-US" w:eastAsia="zh-CN" w:bidi="ar-SA"/>
          <w14:textFill>
            <w14:solidFill>
              <w14:schemeClr w14:val="tx1"/>
            </w14:solidFill>
          </w14:textFill>
        </w:rPr>
        <w:t>500~1000℃</w:t>
      </w:r>
      <w:r>
        <w:rPr>
          <w:rFonts w:hint="eastAsia" w:ascii="宋体" w:hAnsi="宋体" w:eastAsia="宋体" w:cs="宋体"/>
          <w:color w:val="000000" w:themeColor="text1"/>
          <w:sz w:val="28"/>
          <w:szCs w:val="28"/>
          <w:lang w:val="en-US" w:eastAsia="zh-CN" w:bidi="ar-SA"/>
          <w14:textFill>
            <w14:solidFill>
              <w14:schemeClr w14:val="tx1"/>
            </w14:solidFill>
          </w14:textFill>
        </w:rPr>
        <w:t>，</w:t>
      </w:r>
      <w:r>
        <w:rPr>
          <w:rFonts w:hint="default" w:ascii="宋体" w:hAnsi="宋体" w:eastAsia="宋体" w:cs="宋体"/>
          <w:color w:val="000000" w:themeColor="text1"/>
          <w:sz w:val="28"/>
          <w:szCs w:val="28"/>
          <w:lang w:val="en-US" w:eastAsia="zh-CN" w:bidi="ar-SA"/>
          <w14:textFill>
            <w14:solidFill>
              <w14:schemeClr w14:val="tx1"/>
            </w14:solidFill>
          </w14:textFill>
        </w:rPr>
        <w:t>飞溅后接触皮肤造成烫伤。</w:t>
      </w:r>
    </w:p>
    <w:p w14:paraId="0DEF3FE3">
      <w:pPr>
        <w:adjustRightInd w:val="0"/>
        <w:snapToGrid w:val="0"/>
        <w:spacing w:line="500" w:lineRule="exact"/>
        <w:ind w:firstLine="560" w:firstLineChars="200"/>
        <w:contextualSpacing/>
        <w:rPr>
          <w:rFonts w:hint="default" w:ascii="宋体" w:hAnsi="宋体" w:eastAsia="宋体" w:cs="宋体"/>
          <w:color w:val="000000" w:themeColor="text1"/>
          <w:sz w:val="28"/>
          <w:szCs w:val="28"/>
          <w:lang w:val="en-US" w:eastAsia="zh-CN" w:bidi="ar-SA"/>
          <w14:textFill>
            <w14:solidFill>
              <w14:schemeClr w14:val="tx1"/>
            </w14:solidFill>
          </w14:textFill>
        </w:rPr>
      </w:pPr>
      <w:r>
        <w:rPr>
          <w:rFonts w:hint="eastAsia" w:ascii="宋体" w:hAnsi="宋体" w:eastAsia="宋体" w:cs="宋体"/>
          <w:color w:val="000000" w:themeColor="text1"/>
          <w:sz w:val="28"/>
          <w:szCs w:val="28"/>
          <w:lang w:val="en-US" w:eastAsia="zh-CN" w:bidi="ar-SA"/>
          <w14:textFill>
            <w14:solidFill>
              <w14:schemeClr w14:val="tx1"/>
            </w14:solidFill>
          </w14:textFill>
        </w:rPr>
        <w:t>（2）高温工件或刀具：连续加工后工件或刀具表面温度极高（如钻头、砂轮），触摸易产生灼烫事故。</w:t>
      </w:r>
    </w:p>
    <w:p w14:paraId="719898B6">
      <w:pPr>
        <w:adjustRightInd w:val="0"/>
        <w:snapToGrid w:val="0"/>
        <w:spacing w:line="500" w:lineRule="exact"/>
        <w:ind w:firstLine="560" w:firstLineChars="200"/>
        <w:contextualSpacing/>
        <w:rPr>
          <w:rFonts w:hint="eastAsia" w:ascii="宋体" w:hAnsi="宋体" w:eastAsia="宋体" w:cs="宋体"/>
          <w:color w:val="000000" w:themeColor="text1"/>
          <w:sz w:val="28"/>
          <w:szCs w:val="28"/>
          <w:lang w:val="en-US" w:eastAsia="zh-CN" w:bidi="ar-SA"/>
          <w14:textFill>
            <w14:solidFill>
              <w14:schemeClr w14:val="tx1"/>
            </w14:solidFill>
          </w14:textFill>
        </w:rPr>
      </w:pPr>
      <w:r>
        <w:rPr>
          <w:rFonts w:hint="eastAsia" w:ascii="宋体" w:hAnsi="宋体" w:eastAsia="宋体" w:cs="宋体"/>
          <w:color w:val="000000" w:themeColor="text1"/>
          <w:sz w:val="28"/>
          <w:szCs w:val="28"/>
          <w:lang w:val="en-US" w:eastAsia="zh-CN" w:bidi="ar-SA"/>
          <w14:textFill>
            <w14:solidFill>
              <w14:schemeClr w14:val="tx1"/>
            </w14:solidFill>
          </w14:textFill>
        </w:rPr>
        <w:t>2.车间布局不合理</w:t>
      </w:r>
    </w:p>
    <w:p w14:paraId="62FF3C00">
      <w:pPr>
        <w:adjustRightInd w:val="0"/>
        <w:snapToGrid w:val="0"/>
        <w:spacing w:line="500" w:lineRule="exact"/>
        <w:ind w:firstLine="560" w:firstLineChars="200"/>
        <w:contextualSpacing/>
        <w:rPr>
          <w:rFonts w:hint="eastAsia" w:ascii="宋体" w:hAnsi="宋体" w:eastAsia="宋体" w:cs="宋体"/>
          <w:color w:val="000000" w:themeColor="text1"/>
          <w:sz w:val="28"/>
          <w:szCs w:val="28"/>
          <w:lang w:val="en-US" w:eastAsia="zh-CN" w:bidi="ar-SA"/>
          <w14:textFill>
            <w14:solidFill>
              <w14:schemeClr w14:val="tx1"/>
            </w14:solidFill>
          </w14:textFill>
        </w:rPr>
      </w:pPr>
      <w:r>
        <w:rPr>
          <w:rFonts w:hint="eastAsia" w:ascii="宋体" w:hAnsi="宋体" w:eastAsia="宋体" w:cs="宋体"/>
          <w:color w:val="000000" w:themeColor="text1"/>
          <w:sz w:val="28"/>
          <w:szCs w:val="28"/>
          <w:lang w:val="en-US" w:eastAsia="zh-CN" w:bidi="ar-SA"/>
          <w14:textFill>
            <w14:solidFill>
              <w14:schemeClr w14:val="tx1"/>
            </w14:solidFill>
          </w14:textFill>
        </w:rPr>
        <w:t>（1）</w:t>
      </w:r>
      <w:r>
        <w:rPr>
          <w:rFonts w:hint="default" w:ascii="宋体" w:hAnsi="宋体" w:eastAsia="宋体" w:cs="宋体"/>
          <w:color w:val="000000" w:themeColor="text1"/>
          <w:sz w:val="28"/>
          <w:szCs w:val="28"/>
          <w:lang w:val="en-US" w:eastAsia="zh-CN" w:bidi="ar-SA"/>
          <w14:textFill>
            <w14:solidFill>
              <w14:schemeClr w14:val="tx1"/>
            </w14:solidFill>
          </w14:textFill>
        </w:rPr>
        <w:t>高温设备间距过小，散热不畅。</w:t>
      </w:r>
    </w:p>
    <w:p w14:paraId="1E20F16A">
      <w:pPr>
        <w:adjustRightInd w:val="0"/>
        <w:snapToGrid w:val="0"/>
        <w:spacing w:line="500" w:lineRule="exact"/>
        <w:ind w:firstLine="560" w:firstLineChars="200"/>
        <w:contextualSpacing/>
        <w:rPr>
          <w:rFonts w:hint="default" w:ascii="宋体" w:hAnsi="宋体" w:eastAsia="宋体" w:cs="宋体"/>
          <w:color w:val="000000" w:themeColor="text1"/>
          <w:sz w:val="28"/>
          <w:szCs w:val="28"/>
          <w:lang w:val="en-US" w:eastAsia="zh-CN" w:bidi="ar-SA"/>
          <w14:textFill>
            <w14:solidFill>
              <w14:schemeClr w14:val="tx1"/>
            </w14:solidFill>
          </w14:textFill>
        </w:rPr>
      </w:pPr>
      <w:r>
        <w:rPr>
          <w:rFonts w:hint="eastAsia" w:ascii="宋体" w:hAnsi="宋体" w:eastAsia="宋体" w:cs="宋体"/>
          <w:color w:val="000000" w:themeColor="text1"/>
          <w:sz w:val="28"/>
          <w:szCs w:val="28"/>
          <w:lang w:val="en-US" w:eastAsia="zh-CN" w:bidi="ar-SA"/>
          <w14:textFill>
            <w14:solidFill>
              <w14:schemeClr w14:val="tx1"/>
            </w14:solidFill>
          </w14:textFill>
        </w:rPr>
        <w:t>（2）</w:t>
      </w:r>
      <w:r>
        <w:rPr>
          <w:rFonts w:hint="default" w:ascii="宋体" w:hAnsi="宋体" w:eastAsia="宋体" w:cs="宋体"/>
          <w:color w:val="000000" w:themeColor="text1"/>
          <w:sz w:val="28"/>
          <w:szCs w:val="28"/>
          <w:lang w:val="en-US" w:eastAsia="zh-CN" w:bidi="ar-SA"/>
          <w14:textFill>
            <w14:solidFill>
              <w14:schemeClr w14:val="tx1"/>
            </w14:solidFill>
          </w14:textFill>
        </w:rPr>
        <w:t>切屑堆积未及时清理，形成二次烫伤风险。</w:t>
      </w:r>
    </w:p>
    <w:p w14:paraId="68AAFD3A">
      <w:pPr>
        <w:adjustRightInd w:val="0"/>
        <w:snapToGrid w:val="0"/>
        <w:spacing w:line="500" w:lineRule="exact"/>
        <w:ind w:firstLine="560" w:firstLineChars="200"/>
        <w:contextualSpacing/>
        <w:rPr>
          <w:rFonts w:hint="default" w:hAnsi="宋体" w:cs="宋体"/>
          <w:color w:val="000000" w:themeColor="text1"/>
          <w:sz w:val="28"/>
          <w:szCs w:val="28"/>
          <w:lang w:val="en-US" w:eastAsia="zh-CN"/>
          <w14:textFill>
            <w14:solidFill>
              <w14:schemeClr w14:val="tx1"/>
            </w14:solidFill>
          </w14:textFill>
        </w:rPr>
      </w:pPr>
    </w:p>
    <w:p w14:paraId="047A6086">
      <w:pPr>
        <w:pStyle w:val="3"/>
        <w:keepNext/>
        <w:keepLines/>
        <w:pageBreakBefore w:val="0"/>
        <w:widowControl w:val="0"/>
        <w:kinsoku/>
        <w:wordWrap/>
        <w:overflowPunct/>
        <w:topLinePunct w:val="0"/>
        <w:autoSpaceDE/>
        <w:autoSpaceDN/>
        <w:bidi w:val="0"/>
        <w:adjustRightInd/>
        <w:snapToGrid w:val="0"/>
        <w:spacing w:before="0" w:after="0" w:line="520" w:lineRule="exact"/>
        <w:jc w:val="both"/>
        <w:textAlignment w:val="auto"/>
        <w:rPr>
          <w:rFonts w:hint="eastAsia" w:ascii="宋体" w:hAnsi="宋体" w:eastAsia="宋体" w:cs="宋体"/>
          <w:color w:val="000000" w:themeColor="text1"/>
          <w:kern w:val="0"/>
          <w:lang w:val="en-US" w:eastAsia="zh-CN"/>
          <w14:textFill>
            <w14:solidFill>
              <w14:schemeClr w14:val="tx1"/>
            </w14:solidFill>
          </w14:textFill>
        </w:rPr>
      </w:pPr>
      <w:bookmarkStart w:id="422" w:name="_Toc10634"/>
      <w:bookmarkStart w:id="423" w:name="_Toc11502"/>
      <w:bookmarkStart w:id="424" w:name="_Toc13018"/>
      <w:bookmarkStart w:id="425" w:name="_Toc186"/>
      <w:bookmarkStart w:id="426" w:name="_Toc25503"/>
      <w:bookmarkStart w:id="427" w:name="_Toc61474425"/>
      <w:bookmarkStart w:id="428" w:name="_Toc30001402"/>
      <w:r>
        <w:rPr>
          <w:rFonts w:hint="eastAsia" w:ascii="宋体" w:hAnsi="宋体" w:eastAsia="宋体" w:cs="宋体"/>
          <w:color w:val="000000" w:themeColor="text1"/>
          <w:kern w:val="0"/>
          <w:lang w:val="en-US" w:eastAsia="zh-CN"/>
          <w14:textFill>
            <w14:solidFill>
              <w14:schemeClr w14:val="tx1"/>
            </w14:solidFill>
          </w14:textFill>
        </w:rPr>
        <w:t>3.7特殊作业危险性分析</w:t>
      </w:r>
      <w:bookmarkEnd w:id="422"/>
      <w:bookmarkEnd w:id="423"/>
      <w:bookmarkEnd w:id="424"/>
      <w:bookmarkEnd w:id="425"/>
      <w:bookmarkEnd w:id="426"/>
    </w:p>
    <w:p w14:paraId="0BC63F59">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429" w:name="_Toc31820"/>
      <w:bookmarkStart w:id="430" w:name="_Toc11966"/>
      <w:bookmarkStart w:id="431" w:name="_Toc19644"/>
      <w:bookmarkStart w:id="432" w:name="_Toc10691"/>
      <w:bookmarkStart w:id="433" w:name="_Toc614"/>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3.7.1临时用电作业危险、有害因素分析</w:t>
      </w:r>
      <w:bookmarkEnd w:id="429"/>
      <w:bookmarkEnd w:id="430"/>
      <w:bookmarkEnd w:id="431"/>
      <w:bookmarkEnd w:id="432"/>
      <w:bookmarkEnd w:id="433"/>
    </w:p>
    <w:p w14:paraId="201C8A4A">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该项目在施工或检维修过程中会涉及临时用电作业，在此过程中可能因违章操作等原因而引发触电、电气火灾等危险。其引发事故主要原因分析如下：</w:t>
      </w:r>
    </w:p>
    <w:p w14:paraId="67AEE68F">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1</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临时用电线路未设置保护开关，或使用前未检查电气装置和保护设施的可靠性或为接地。</w:t>
      </w:r>
    </w:p>
    <w:p w14:paraId="11A39D8A">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2</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临时用电线路经过有高温、振动、腐蚀、积水等区域时有接头，且未采取相应的保护措施。</w:t>
      </w:r>
    </w:p>
    <w:p w14:paraId="24967156">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3</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临时用电架空线设置不规范，未采用绝缘铜芯线，且未架设在专用电杆或支架上。</w:t>
      </w:r>
    </w:p>
    <w:p w14:paraId="1C2202C8">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4</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在特别潮湿的场所或罐内等金属设备内作业时，临时照明行灯的电压不符合规范要求，超过12V。</w:t>
      </w:r>
    </w:p>
    <w:p w14:paraId="0F71B70E">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5</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用电结束后，未及时拆除临时用电线路。</w:t>
      </w:r>
    </w:p>
    <w:p w14:paraId="3BDBE990">
      <w:pPr>
        <w:adjustRightInd w:val="0"/>
        <w:snapToGrid w:val="0"/>
        <w:spacing w:line="500" w:lineRule="exact"/>
        <w:ind w:firstLine="592" w:firstLineChars="200"/>
        <w:contextualSpacing/>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6</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作业人员未持证上岗，违章作业等其他原因。</w:t>
      </w:r>
    </w:p>
    <w:p w14:paraId="58800378">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434" w:name="_Toc28586"/>
      <w:bookmarkStart w:id="435" w:name="_Toc22629"/>
      <w:bookmarkStart w:id="436" w:name="_Toc14572"/>
      <w:bookmarkStart w:id="437" w:name="_Toc4657"/>
      <w:bookmarkStart w:id="438" w:name="_Toc4091"/>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3.7.2动火作业危险、有害因素分析</w:t>
      </w:r>
      <w:bookmarkEnd w:id="434"/>
      <w:bookmarkEnd w:id="435"/>
      <w:bookmarkEnd w:id="436"/>
      <w:bookmarkEnd w:id="437"/>
      <w:bookmarkEnd w:id="438"/>
    </w:p>
    <w:p w14:paraId="1296E958">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在进行设备检修、安装过程常常需要进行电焊、气焊（割）、电钻、砂轮等进行可能产生火焰、火花和炽热表面的动火作业。本项目中，动火作业可能造成火灾、其他爆炸、灼烫等危险。</w:t>
      </w:r>
    </w:p>
    <w:p w14:paraId="734C7E48">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1</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动火作业未办理动火安全作业证，未对动火作业存在的危险有害因素进行充分辨识，未制定相应处理措施。</w:t>
      </w:r>
    </w:p>
    <w:p w14:paraId="5F2F2F6C">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2</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未配备监护人员或监护人员脱岗。</w:t>
      </w:r>
    </w:p>
    <w:p w14:paraId="4341AA5D">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3</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未设警戒线，未设监护人员，未设安全警示标志。</w:t>
      </w:r>
    </w:p>
    <w:p w14:paraId="567EEAA1">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4</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动火前未清除动火现场及周围的易燃物品，未配备足够适用的消防器材。</w:t>
      </w:r>
    </w:p>
    <w:p w14:paraId="6A9B9AD3">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5</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对于涉及液压油、真空泵油等易燃物、可燃物的管路、容器等在动火前未经过隔离、清洗、置换，取样分析。</w:t>
      </w:r>
    </w:p>
    <w:p w14:paraId="78D6F4D0">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6</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在有限空间动火时，未采取排风措施，有毒烟气聚集导致人员中毒。</w:t>
      </w:r>
    </w:p>
    <w:p w14:paraId="776A83AF">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7</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使用气焊、气割动火作业时，乙炔瓶、氧气瓶使用不规范。</w:t>
      </w:r>
    </w:p>
    <w:p w14:paraId="7E849F29">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8</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人员违章作业等。</w:t>
      </w:r>
    </w:p>
    <w:p w14:paraId="0A09F815">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439" w:name="_Toc30172"/>
      <w:bookmarkStart w:id="440" w:name="_Toc30904"/>
      <w:bookmarkStart w:id="441" w:name="_Toc28723"/>
      <w:bookmarkStart w:id="442" w:name="_Toc6208"/>
      <w:bookmarkStart w:id="443" w:name="_Toc655"/>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3.7.3高处作业危险、有害因素分析</w:t>
      </w:r>
      <w:bookmarkEnd w:id="439"/>
      <w:bookmarkEnd w:id="440"/>
      <w:bookmarkEnd w:id="441"/>
      <w:bookmarkEnd w:id="442"/>
      <w:bookmarkEnd w:id="443"/>
    </w:p>
    <w:p w14:paraId="2B1F3F10">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该项目在生产、运行过程中需要高处作业时，有可能发生高处坠落、物体打击等危险。其主要引发原因分析如下：</w:t>
      </w:r>
    </w:p>
    <w:p w14:paraId="638985FA">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1</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作业前未办理高处作业安全作业证，未对作业存在的危险有害因素进行充分辨识，未制定相应处理措施。</w:t>
      </w:r>
    </w:p>
    <w:p w14:paraId="6CAC0947">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2</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作业区未划分警戒区，未设监护人员，未设警示标志。</w:t>
      </w:r>
    </w:p>
    <w:p w14:paraId="669364E2">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3</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高处作业脚手架、梯子、防护围栏等质量不良，使用前未经检查。</w:t>
      </w:r>
    </w:p>
    <w:p w14:paraId="57346FC8">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4</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高处作业时作业人员未按要求佩戴安全带（绳）、疲劳过度或酒后作业、未采取安全防护措施和使用可靠的安全保护装置等。</w:t>
      </w:r>
    </w:p>
    <w:p w14:paraId="06981723">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5</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在6级以上大风、大雾天气进行高处作业。</w:t>
      </w:r>
    </w:p>
    <w:p w14:paraId="4123BAF2">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6</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高处作业人员患有职业禁忌，如高血压、心脏病、贫血病、疲劳过度、视力不佳等。</w:t>
      </w:r>
    </w:p>
    <w:p w14:paraId="25EC367B">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7</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高处作业下方未设防坠物措施，工具、零件、螺丝等坠下造成物体，高空抛物、物件设备摆放不稳，倾覆等易造成物体打击事故。</w:t>
      </w:r>
    </w:p>
    <w:p w14:paraId="68B1A4C4">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444" w:name="_Toc20771"/>
      <w:bookmarkStart w:id="445" w:name="_Toc17935"/>
      <w:bookmarkStart w:id="446" w:name="_Toc5906"/>
      <w:bookmarkStart w:id="447" w:name="_Toc1305"/>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3.7.4吊装作业</w:t>
      </w:r>
      <w:bookmarkEnd w:id="444"/>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危险、有害因素分析</w:t>
      </w:r>
      <w:bookmarkEnd w:id="445"/>
      <w:bookmarkEnd w:id="446"/>
      <w:bookmarkEnd w:id="447"/>
    </w:p>
    <w:p w14:paraId="35B2CFF8">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项目进行检修、设备安装等工程时需要进行吊装作业，在进行吊装作业时，可能发生起重伤害。</w:t>
      </w:r>
    </w:p>
    <w:p w14:paraId="5BFA25F5">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lang w:val="en-US" w:eastAsia="zh-CN"/>
          <w14:textFill>
            <w14:solidFill>
              <w14:schemeClr w14:val="tx1"/>
            </w14:solidFill>
          </w14:textFill>
        </w:rPr>
        <w:t>1.</w:t>
      </w:r>
      <w:r>
        <w:rPr>
          <w:rFonts w:hint="eastAsia" w:ascii="宋体" w:hAnsi="宋体" w:eastAsia="宋体" w:cs="宋体"/>
          <w:color w:val="000000" w:themeColor="text1"/>
          <w:spacing w:val="8"/>
          <w:sz w:val="28"/>
          <w:szCs w:val="28"/>
          <w14:textFill>
            <w14:solidFill>
              <w14:schemeClr w14:val="tx1"/>
            </w14:solidFill>
          </w14:textFill>
        </w:rPr>
        <w:t>未对吊装作业场所、环境进行充分的危险因素辨识，未经过办证审批；</w:t>
      </w:r>
    </w:p>
    <w:p w14:paraId="190D3C39">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lang w:val="en-US" w:eastAsia="zh-CN"/>
          <w14:textFill>
            <w14:solidFill>
              <w14:schemeClr w14:val="tx1"/>
            </w14:solidFill>
          </w14:textFill>
        </w:rPr>
        <w:t>2.</w:t>
      </w:r>
      <w:r>
        <w:rPr>
          <w:rFonts w:hint="eastAsia" w:ascii="宋体" w:hAnsi="宋体" w:eastAsia="宋体" w:cs="宋体"/>
          <w:color w:val="000000" w:themeColor="text1"/>
          <w:spacing w:val="8"/>
          <w:sz w:val="28"/>
          <w:szCs w:val="28"/>
          <w14:textFill>
            <w14:solidFill>
              <w14:schemeClr w14:val="tx1"/>
            </w14:solidFill>
          </w14:textFill>
        </w:rPr>
        <w:t>吊装作业人员无证作业；</w:t>
      </w:r>
    </w:p>
    <w:p w14:paraId="5CF22147">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lang w:val="en-US" w:eastAsia="zh-CN"/>
          <w14:textFill>
            <w14:solidFill>
              <w14:schemeClr w14:val="tx1"/>
            </w14:solidFill>
          </w14:textFill>
        </w:rPr>
        <w:t>3.</w:t>
      </w:r>
      <w:r>
        <w:rPr>
          <w:rFonts w:hint="eastAsia" w:ascii="宋体" w:hAnsi="宋体" w:eastAsia="宋体" w:cs="宋体"/>
          <w:color w:val="000000" w:themeColor="text1"/>
          <w:spacing w:val="8"/>
          <w:sz w:val="28"/>
          <w:szCs w:val="28"/>
          <w14:textFill>
            <w14:solidFill>
              <w14:schemeClr w14:val="tx1"/>
            </w14:solidFill>
          </w14:textFill>
        </w:rPr>
        <w:t>起吊前未对起重吊装机械、吊具等进行安全确认；</w:t>
      </w:r>
    </w:p>
    <w:p w14:paraId="55982725">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lang w:val="en-US" w:eastAsia="zh-CN"/>
          <w14:textFill>
            <w14:solidFill>
              <w14:schemeClr w14:val="tx1"/>
            </w14:solidFill>
          </w14:textFill>
        </w:rPr>
        <w:t>4.</w:t>
      </w:r>
      <w:r>
        <w:rPr>
          <w:rFonts w:hint="eastAsia" w:ascii="宋体" w:hAnsi="宋体" w:eastAsia="宋体" w:cs="宋体"/>
          <w:color w:val="000000" w:themeColor="text1"/>
          <w:spacing w:val="8"/>
          <w:sz w:val="28"/>
          <w:szCs w:val="28"/>
          <w14:textFill>
            <w14:solidFill>
              <w14:schemeClr w14:val="tx1"/>
            </w14:solidFill>
          </w14:textFill>
        </w:rPr>
        <w:t xml:space="preserve">吊装区域内未划定警戒区域，未设安全警示标志，未设专人监护； </w:t>
      </w:r>
    </w:p>
    <w:p w14:paraId="1E42BAB6">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lang w:val="en-US" w:eastAsia="zh-CN"/>
          <w14:textFill>
            <w14:solidFill>
              <w14:schemeClr w14:val="tx1"/>
            </w14:solidFill>
          </w14:textFill>
        </w:rPr>
        <w:t>5.</w:t>
      </w:r>
      <w:r>
        <w:rPr>
          <w:rFonts w:hint="eastAsia" w:ascii="宋体" w:hAnsi="宋体" w:eastAsia="宋体" w:cs="宋体"/>
          <w:color w:val="000000" w:themeColor="text1"/>
          <w:spacing w:val="8"/>
          <w:sz w:val="28"/>
          <w:szCs w:val="28"/>
          <w14:textFill>
            <w14:solidFill>
              <w14:schemeClr w14:val="tx1"/>
            </w14:solidFill>
          </w14:textFill>
        </w:rPr>
        <w:t>未设吊运指挥人员，指挥人员站立于起吊区域；</w:t>
      </w:r>
    </w:p>
    <w:p w14:paraId="42B53A33">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lang w:val="en-US" w:eastAsia="zh-CN"/>
          <w14:textFill>
            <w14:solidFill>
              <w14:schemeClr w14:val="tx1"/>
            </w14:solidFill>
          </w14:textFill>
        </w:rPr>
        <w:t>6.</w:t>
      </w:r>
      <w:r>
        <w:rPr>
          <w:rFonts w:hint="eastAsia" w:ascii="宋体" w:hAnsi="宋体" w:eastAsia="宋体" w:cs="宋体"/>
          <w:color w:val="000000" w:themeColor="text1"/>
          <w:spacing w:val="8"/>
          <w:sz w:val="28"/>
          <w:szCs w:val="28"/>
          <w14:textFill>
            <w14:solidFill>
              <w14:schemeClr w14:val="tx1"/>
            </w14:solidFill>
          </w14:textFill>
        </w:rPr>
        <w:t>人员违章作业。</w:t>
      </w:r>
    </w:p>
    <w:p w14:paraId="01E29080">
      <w:pPr>
        <w:pStyle w:val="3"/>
        <w:keepNext/>
        <w:keepLines/>
        <w:pageBreakBefore w:val="0"/>
        <w:widowControl w:val="0"/>
        <w:kinsoku/>
        <w:wordWrap/>
        <w:overflowPunct/>
        <w:topLinePunct w:val="0"/>
        <w:autoSpaceDE/>
        <w:autoSpaceDN/>
        <w:bidi w:val="0"/>
        <w:adjustRightInd/>
        <w:snapToGrid w:val="0"/>
        <w:spacing w:before="0" w:after="0" w:line="520" w:lineRule="exact"/>
        <w:jc w:val="both"/>
        <w:textAlignment w:val="auto"/>
        <w:rPr>
          <w:rFonts w:hint="eastAsia" w:ascii="宋体" w:hAnsi="宋体" w:eastAsia="宋体" w:cs="宋体"/>
          <w:color w:val="000000" w:themeColor="text1"/>
          <w:kern w:val="0"/>
          <w:lang w:val="en-US" w:eastAsia="zh-CN"/>
          <w14:textFill>
            <w14:solidFill>
              <w14:schemeClr w14:val="tx1"/>
            </w14:solidFill>
          </w14:textFill>
        </w:rPr>
      </w:pPr>
      <w:bookmarkStart w:id="448" w:name="_Toc20142"/>
      <w:bookmarkStart w:id="449" w:name="_Toc21969"/>
      <w:bookmarkStart w:id="450" w:name="_Toc12062"/>
      <w:bookmarkStart w:id="451" w:name="_Toc4999"/>
      <w:bookmarkStart w:id="452" w:name="_Toc6297"/>
      <w:r>
        <w:rPr>
          <w:rFonts w:hint="eastAsia" w:ascii="宋体" w:hAnsi="宋体" w:eastAsia="宋体" w:cs="宋体"/>
          <w:color w:val="000000" w:themeColor="text1"/>
          <w:kern w:val="0"/>
          <w:lang w:val="en-US" w:eastAsia="zh-CN"/>
          <w14:textFill>
            <w14:solidFill>
              <w14:schemeClr w14:val="tx1"/>
            </w14:solidFill>
          </w14:textFill>
        </w:rPr>
        <w:t>3.8设备检维修过程危险、有害因素分析</w:t>
      </w:r>
      <w:bookmarkEnd w:id="448"/>
      <w:bookmarkEnd w:id="449"/>
      <w:bookmarkEnd w:id="450"/>
      <w:bookmarkEnd w:id="451"/>
      <w:bookmarkEnd w:id="452"/>
    </w:p>
    <w:p w14:paraId="0699225C">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该项目检修、安装过程中可能会引发火灾、容器爆炸、高处坠落、物体打击、触电、机械伤害、</w:t>
      </w:r>
      <w:r>
        <w:rPr>
          <w:rFonts w:hint="eastAsia" w:ascii="宋体" w:hAnsi="宋体" w:eastAsia="宋体" w:cs="宋体"/>
          <w:color w:val="000000" w:themeColor="text1"/>
          <w:spacing w:val="8"/>
          <w:sz w:val="28"/>
          <w:szCs w:val="28"/>
          <w:lang w:val="en-US" w:eastAsia="zh-CN"/>
          <w14:textFill>
            <w14:solidFill>
              <w14:schemeClr w14:val="tx1"/>
            </w14:solidFill>
          </w14:textFill>
        </w:rPr>
        <w:t>起重伤害</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噪声危害等危险，其主要引发原因如下：</w:t>
      </w:r>
    </w:p>
    <w:p w14:paraId="029B77EB">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1</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在使用电钻、砂轮等进行可能产生火焰、火花和炽热表面的动火作业，如果控制不好，可能发生火灾爆炸事故。</w:t>
      </w:r>
      <w:r>
        <w:rPr>
          <w:rFonts w:hint="eastAsia" w:ascii="宋体" w:hAnsi="宋体" w:eastAsia="宋体" w:cs="宋体"/>
          <w:color w:val="000000" w:themeColor="text1"/>
          <w:spacing w:val="8"/>
          <w:sz w:val="28"/>
          <w:szCs w:val="28"/>
          <w:lang w:val="en-US" w:eastAsia="zh-CN"/>
          <w14:textFill>
            <w14:solidFill>
              <w14:schemeClr w14:val="tx1"/>
            </w14:solidFill>
          </w14:textFill>
        </w:rPr>
        <w:t>检维修作业</w:t>
      </w:r>
      <w:r>
        <w:rPr>
          <w:rFonts w:hint="eastAsia" w:ascii="宋体" w:hAnsi="宋体" w:eastAsia="宋体" w:cs="宋体"/>
          <w:sz w:val="28"/>
          <w:szCs w:val="28"/>
        </w:rPr>
        <w:t>过程中还可能发生电气火灾</w:t>
      </w:r>
      <w:r>
        <w:rPr>
          <w:rFonts w:hint="eastAsia" w:ascii="宋体" w:hAnsi="宋体" w:eastAsia="宋体" w:cs="宋体"/>
          <w:color w:val="000000" w:themeColor="text1"/>
          <w:spacing w:val="8"/>
          <w:sz w:val="28"/>
          <w:szCs w:val="28"/>
          <w14:textFill>
            <w14:solidFill>
              <w14:schemeClr w14:val="tx1"/>
            </w14:solidFill>
          </w14:textFill>
        </w:rPr>
        <w:t>。</w:t>
      </w:r>
    </w:p>
    <w:p w14:paraId="11776A44">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2</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检修作业平台未设置安全防护栏或防护网或失效；检修作业平台、脚手架强度不符合规范要求；未设置安全警示标识或失效；安排高处作业禁忌者从事高处作业；原有装置、设备强度与该项目装置不匹配，直接利用原有装置作安装、检修平台，并未对其承载能力进行论证；高处作业的临边、洞口等处未设置有效的防高坠措施；高处作业人员未系安全带或失效；作业人员缺乏安全知识；作业人员未执行检修安全操作规程等可能会引发高处坠落危险。</w:t>
      </w:r>
    </w:p>
    <w:p w14:paraId="154C3910">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3</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检修、安装作业时未设置安全防护网或安全警戒线或失效；未设置有效的安全警示标识；检修作业平台、设施及设备倒塌；作业人员未穿戴有效的劳动防护用品例如安全帽；未制定检修作业安全操作规程等可能会引发物体打击危险。</w:t>
      </w:r>
    </w:p>
    <w:p w14:paraId="1FA3572A">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4</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检修、安装过程时未采取有效的降尘措施或失效；作业人员未穿戴劳动防护用品例如戴防尘口罩、穿防尘服等；检修、安装作业前未清除、原有设备、装置中的粉尘等杂物；未制定安全检修方案或未执行；作业人员缺乏安全知识等可能会引发粉尘危害危险。</w:t>
      </w:r>
    </w:p>
    <w:p w14:paraId="16B20F36">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5</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检修过程中的检修用电线路布置混乱；发生漏电；检修作业场所潮湿；检修作业时未按规范要求使用安全电压；检修电工未持证上岗；检修人员缺乏安全知识；检修、安装作业时未将原有装置涉及的电气线路、电气设备理顺、未切断电源；检修作业人员未穿戴劳动防护用品或失效；检修作业人员缺乏安全知识等可能会引发触电危险。</w:t>
      </w:r>
    </w:p>
    <w:p w14:paraId="3670165D">
      <w:pPr>
        <w:adjustRightInd w:val="0"/>
        <w:snapToGrid w:val="0"/>
        <w:spacing w:line="500" w:lineRule="exact"/>
        <w:ind w:firstLine="592" w:firstLineChars="200"/>
        <w:contextualSpacing/>
        <w:rPr>
          <w:rFonts w:hint="eastAsia" w:ascii="宋体" w:hAnsi="宋体" w:eastAsia="宋体" w:cs="宋体"/>
          <w:color w:val="000000" w:themeColor="text1"/>
          <w:spacing w:val="8"/>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6</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检修过程中使用的机械、转动设施及设备设计、安装、施工缺陷；未设置机械防护装置或失效；其强度不符合规范要求；未定期进行维护、保养；功能与实际需求不匹配等可能会引发机械伤害危险。</w:t>
      </w:r>
    </w:p>
    <w:p w14:paraId="3E2BB081">
      <w:pPr>
        <w:adjustRightInd w:val="0"/>
        <w:snapToGrid w:val="0"/>
        <w:spacing w:line="500" w:lineRule="exact"/>
        <w:ind w:firstLine="592" w:firstLineChars="200"/>
        <w:contextualSpacing/>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color w:val="000000" w:themeColor="text1"/>
          <w:spacing w:val="8"/>
          <w:sz w:val="28"/>
          <w:szCs w:val="28"/>
          <w14:textFill>
            <w14:solidFill>
              <w14:schemeClr w14:val="tx1"/>
            </w14:solidFill>
          </w14:textFill>
        </w:rPr>
        <w:t>7</w:t>
      </w:r>
      <w:r>
        <w:rPr>
          <w:rFonts w:hint="eastAsia" w:ascii="宋体" w:hAnsi="宋体" w:eastAsia="宋体" w:cs="宋体"/>
          <w:color w:val="000000" w:themeColor="text1"/>
          <w:spacing w:val="8"/>
          <w:sz w:val="28"/>
          <w:szCs w:val="28"/>
          <w:lang w:eastAsia="zh-CN"/>
          <w14:textFill>
            <w14:solidFill>
              <w14:schemeClr w14:val="tx1"/>
            </w14:solidFill>
          </w14:textFill>
        </w:rPr>
        <w:t>.</w:t>
      </w:r>
      <w:r>
        <w:rPr>
          <w:rFonts w:hint="eastAsia" w:ascii="宋体" w:hAnsi="宋体" w:eastAsia="宋体" w:cs="宋体"/>
          <w:color w:val="000000" w:themeColor="text1"/>
          <w:spacing w:val="8"/>
          <w:sz w:val="28"/>
          <w:szCs w:val="28"/>
          <w14:textFill>
            <w14:solidFill>
              <w14:schemeClr w14:val="tx1"/>
            </w14:solidFill>
          </w14:textFill>
        </w:rPr>
        <w:t>检修、安装作业时，未对原有设施、装置采取有效的防护措施或失效；未考虑原有装置、设施强度直接搭建安装平台；作业人员缺乏安全知识等可能会毁坏原有建构筑物。</w:t>
      </w:r>
    </w:p>
    <w:p w14:paraId="34C60578">
      <w:pPr>
        <w:pStyle w:val="3"/>
        <w:keepNext/>
        <w:keepLines/>
        <w:pageBreakBefore w:val="0"/>
        <w:widowControl w:val="0"/>
        <w:kinsoku/>
        <w:wordWrap/>
        <w:overflowPunct/>
        <w:topLinePunct w:val="0"/>
        <w:autoSpaceDE/>
        <w:autoSpaceDN/>
        <w:bidi w:val="0"/>
        <w:adjustRightInd/>
        <w:snapToGrid w:val="0"/>
        <w:spacing w:before="0" w:after="0" w:line="520" w:lineRule="exact"/>
        <w:jc w:val="both"/>
        <w:textAlignment w:val="auto"/>
        <w:rPr>
          <w:rFonts w:hint="eastAsia" w:ascii="宋体" w:hAnsi="宋体" w:eastAsia="宋体" w:cs="宋体"/>
          <w:color w:val="000000" w:themeColor="text1"/>
          <w:kern w:val="0"/>
          <w:lang w:val="en-US" w:eastAsia="zh-CN"/>
          <w14:textFill>
            <w14:solidFill>
              <w14:schemeClr w14:val="tx1"/>
            </w14:solidFill>
          </w14:textFill>
        </w:rPr>
      </w:pPr>
      <w:bookmarkStart w:id="453" w:name="_Toc17629"/>
      <w:bookmarkStart w:id="454" w:name="_Toc32171"/>
      <w:bookmarkStart w:id="455" w:name="_Toc15256"/>
      <w:bookmarkStart w:id="456" w:name="_Toc31283"/>
      <w:r>
        <w:rPr>
          <w:rFonts w:hint="eastAsia" w:ascii="宋体" w:hAnsi="宋体" w:eastAsia="宋体" w:cs="宋体"/>
          <w:color w:val="000000" w:themeColor="text1"/>
          <w:kern w:val="0"/>
          <w:lang w:val="en-US" w:eastAsia="zh-CN"/>
          <w14:textFill>
            <w14:solidFill>
              <w14:schemeClr w14:val="tx1"/>
            </w14:solidFill>
          </w14:textFill>
        </w:rPr>
        <w:t>3.9安全管理危险性分析</w:t>
      </w:r>
      <w:bookmarkEnd w:id="427"/>
      <w:bookmarkEnd w:id="428"/>
      <w:bookmarkEnd w:id="453"/>
      <w:bookmarkEnd w:id="454"/>
      <w:bookmarkEnd w:id="455"/>
      <w:bookmarkEnd w:id="456"/>
    </w:p>
    <w:p w14:paraId="397AC897">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457" w:name="_Toc30001403"/>
      <w:bookmarkStart w:id="458" w:name="_Toc331963309"/>
      <w:bookmarkStart w:id="459" w:name="_Toc18572"/>
      <w:bookmarkStart w:id="460" w:name="_Toc61474426"/>
      <w:bookmarkStart w:id="461" w:name="_Toc17960"/>
      <w:bookmarkStart w:id="462" w:name="_Toc32395"/>
      <w:bookmarkStart w:id="463" w:name="_Toc6549"/>
      <w:bookmarkStart w:id="464" w:name="_Toc313453508"/>
      <w:bookmarkStart w:id="465" w:name="_Toc30918"/>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3.9.1安全管理组织体系方面危险性分析</w:t>
      </w:r>
      <w:bookmarkEnd w:id="457"/>
      <w:bookmarkEnd w:id="458"/>
      <w:bookmarkEnd w:id="459"/>
      <w:bookmarkEnd w:id="460"/>
      <w:bookmarkEnd w:id="461"/>
      <w:bookmarkEnd w:id="462"/>
      <w:bookmarkEnd w:id="463"/>
      <w:bookmarkEnd w:id="464"/>
      <w:bookmarkEnd w:id="465"/>
    </w:p>
    <w:p w14:paraId="66563E7E">
      <w:pPr>
        <w:tabs>
          <w:tab w:val="left" w:pos="3900"/>
        </w:tabs>
        <w:adjustRightInd w:val="0"/>
        <w:snapToGrid w:val="0"/>
        <w:spacing w:line="500" w:lineRule="exact"/>
        <w:ind w:firstLine="573"/>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安全管理组织体系是企业安全生产重要保障，安全生产管理的分级、协调等管理缺陷，可能因为安全管理组织体系缺陷引发事故，或事故进一步扩大。</w:t>
      </w:r>
    </w:p>
    <w:p w14:paraId="6E720095">
      <w:pPr>
        <w:tabs>
          <w:tab w:val="left" w:pos="3900"/>
        </w:tabs>
        <w:adjustRightInd w:val="0"/>
        <w:snapToGrid w:val="0"/>
        <w:spacing w:line="500" w:lineRule="exact"/>
        <w:ind w:firstLine="573"/>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1</w:t>
      </w:r>
      <w:r>
        <w:rPr>
          <w:rFonts w:hint="eastAsia" w:ascii="宋体" w:hAnsi="宋体" w:eastAsia="宋体" w:cs="宋体"/>
          <w:snapToGrid w:val="0"/>
          <w:color w:val="000000" w:themeColor="text1"/>
          <w:kern w:val="0"/>
          <w:sz w:val="28"/>
          <w:szCs w:val="28"/>
          <w:lang w:eastAsia="zh-CN"/>
          <w14:textFill>
            <w14:solidFill>
              <w14:schemeClr w14:val="tx1"/>
            </w14:solidFill>
          </w14:textFill>
        </w:rPr>
        <w:t>.</w:t>
      </w:r>
      <w:r>
        <w:rPr>
          <w:rFonts w:hint="eastAsia" w:ascii="宋体" w:hAnsi="宋体" w:eastAsia="宋体" w:cs="宋体"/>
          <w:snapToGrid w:val="0"/>
          <w:color w:val="000000" w:themeColor="text1"/>
          <w:kern w:val="0"/>
          <w:sz w:val="28"/>
          <w:szCs w:val="28"/>
          <w14:textFill>
            <w14:solidFill>
              <w14:schemeClr w14:val="tx1"/>
            </w14:solidFill>
          </w14:textFill>
        </w:rPr>
        <w:t>未按相关法律法规设置安全管理机构或配置安全管理人员，安全管理人员未参加安全培训，风险评价、事故调查分析、应急处理、安全检测和试验研究、系统安全评价能力不足；</w:t>
      </w:r>
    </w:p>
    <w:p w14:paraId="4336C136">
      <w:pPr>
        <w:tabs>
          <w:tab w:val="left" w:pos="3900"/>
        </w:tabs>
        <w:adjustRightInd w:val="0"/>
        <w:snapToGrid w:val="0"/>
        <w:spacing w:line="500" w:lineRule="exact"/>
        <w:ind w:firstLine="573"/>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2</w:t>
      </w:r>
      <w:r>
        <w:rPr>
          <w:rFonts w:hint="eastAsia" w:ascii="宋体" w:hAnsi="宋体" w:eastAsia="宋体" w:cs="宋体"/>
          <w:snapToGrid w:val="0"/>
          <w:color w:val="000000" w:themeColor="text1"/>
          <w:kern w:val="0"/>
          <w:sz w:val="28"/>
          <w:szCs w:val="28"/>
          <w:lang w:eastAsia="zh-CN"/>
          <w14:textFill>
            <w14:solidFill>
              <w14:schemeClr w14:val="tx1"/>
            </w14:solidFill>
          </w14:textFill>
        </w:rPr>
        <w:t>.</w:t>
      </w:r>
      <w:r>
        <w:rPr>
          <w:rFonts w:hint="eastAsia" w:ascii="宋体" w:hAnsi="宋体" w:eastAsia="宋体" w:cs="宋体"/>
          <w:snapToGrid w:val="0"/>
          <w:color w:val="000000" w:themeColor="text1"/>
          <w:kern w:val="0"/>
          <w:sz w:val="28"/>
          <w:szCs w:val="28"/>
          <w14:textFill>
            <w14:solidFill>
              <w14:schemeClr w14:val="tx1"/>
            </w14:solidFill>
          </w14:textFill>
        </w:rPr>
        <w:t>未定期召开的安全领导小组会议内容，未对企业安全工作进行具体、有效的落实；</w:t>
      </w:r>
    </w:p>
    <w:p w14:paraId="5FB810FA">
      <w:pPr>
        <w:tabs>
          <w:tab w:val="left" w:pos="3900"/>
        </w:tabs>
        <w:adjustRightInd w:val="0"/>
        <w:snapToGrid w:val="0"/>
        <w:spacing w:line="500" w:lineRule="exact"/>
        <w:ind w:firstLine="573"/>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3</w:t>
      </w:r>
      <w:r>
        <w:rPr>
          <w:rFonts w:hint="eastAsia" w:ascii="宋体" w:hAnsi="宋体" w:eastAsia="宋体" w:cs="宋体"/>
          <w:snapToGrid w:val="0"/>
          <w:color w:val="000000" w:themeColor="text1"/>
          <w:kern w:val="0"/>
          <w:sz w:val="28"/>
          <w:szCs w:val="28"/>
          <w:lang w:eastAsia="zh-CN"/>
          <w14:textFill>
            <w14:solidFill>
              <w14:schemeClr w14:val="tx1"/>
            </w14:solidFill>
          </w14:textFill>
        </w:rPr>
        <w:t>.</w:t>
      </w:r>
      <w:r>
        <w:rPr>
          <w:rFonts w:hint="eastAsia" w:ascii="宋体" w:hAnsi="宋体" w:eastAsia="宋体" w:cs="宋体"/>
          <w:snapToGrid w:val="0"/>
          <w:color w:val="000000" w:themeColor="text1"/>
          <w:kern w:val="0"/>
          <w:sz w:val="28"/>
          <w:szCs w:val="28"/>
          <w14:textFill>
            <w14:solidFill>
              <w14:schemeClr w14:val="tx1"/>
            </w14:solidFill>
          </w14:textFill>
        </w:rPr>
        <w:t>对从业人员的安全教育培训不足，如安全管理人员和基层操作人员未经过培训考核或培训学时不足，不具备相应的安全生产知识和上岗能力；员工素质低下，知识陈旧，观念落后，致使人员安全意识差、不安全行为数量增多；</w:t>
      </w:r>
    </w:p>
    <w:p w14:paraId="0C3C9155">
      <w:pPr>
        <w:tabs>
          <w:tab w:val="left" w:pos="3900"/>
        </w:tabs>
        <w:adjustRightInd w:val="0"/>
        <w:snapToGrid w:val="0"/>
        <w:spacing w:line="500" w:lineRule="exact"/>
        <w:ind w:firstLine="573"/>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4</w:t>
      </w:r>
      <w:r>
        <w:rPr>
          <w:rFonts w:hint="eastAsia" w:ascii="宋体" w:hAnsi="宋体" w:eastAsia="宋体" w:cs="宋体"/>
          <w:snapToGrid w:val="0"/>
          <w:color w:val="000000" w:themeColor="text1"/>
          <w:kern w:val="0"/>
          <w:sz w:val="28"/>
          <w:szCs w:val="28"/>
          <w:lang w:eastAsia="zh-CN"/>
          <w14:textFill>
            <w14:solidFill>
              <w14:schemeClr w14:val="tx1"/>
            </w14:solidFill>
          </w14:textFill>
        </w:rPr>
        <w:t>.</w:t>
      </w:r>
      <w:r>
        <w:rPr>
          <w:rFonts w:hint="eastAsia" w:ascii="宋体" w:hAnsi="宋体" w:eastAsia="宋体" w:cs="宋体"/>
          <w:snapToGrid w:val="0"/>
          <w:color w:val="000000" w:themeColor="text1"/>
          <w:kern w:val="0"/>
          <w:sz w:val="28"/>
          <w:szCs w:val="28"/>
          <w14:textFill>
            <w14:solidFill>
              <w14:schemeClr w14:val="tx1"/>
            </w14:solidFill>
          </w14:textFill>
        </w:rPr>
        <w:t>忽视对临时用工、外来参观、学习人员的安全教育培训等；</w:t>
      </w:r>
    </w:p>
    <w:p w14:paraId="1EBE2AEE">
      <w:pPr>
        <w:tabs>
          <w:tab w:val="left" w:pos="3900"/>
        </w:tabs>
        <w:adjustRightInd w:val="0"/>
        <w:snapToGrid w:val="0"/>
        <w:spacing w:line="500" w:lineRule="exact"/>
        <w:ind w:firstLine="573"/>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5</w:t>
      </w:r>
      <w:r>
        <w:rPr>
          <w:rFonts w:hint="eastAsia" w:ascii="宋体" w:hAnsi="宋体" w:eastAsia="宋体" w:cs="宋体"/>
          <w:snapToGrid w:val="0"/>
          <w:color w:val="000000" w:themeColor="text1"/>
          <w:kern w:val="0"/>
          <w:sz w:val="28"/>
          <w:szCs w:val="28"/>
          <w:lang w:eastAsia="zh-CN"/>
          <w14:textFill>
            <w14:solidFill>
              <w14:schemeClr w14:val="tx1"/>
            </w14:solidFill>
          </w14:textFill>
        </w:rPr>
        <w:t>.</w:t>
      </w:r>
      <w:r>
        <w:rPr>
          <w:rFonts w:hint="eastAsia" w:ascii="宋体" w:hAnsi="宋体" w:eastAsia="宋体" w:cs="宋体"/>
          <w:snapToGrid w:val="0"/>
          <w:color w:val="000000" w:themeColor="text1"/>
          <w:kern w:val="0"/>
          <w:sz w:val="28"/>
          <w:szCs w:val="28"/>
          <w14:textFill>
            <w14:solidFill>
              <w14:schemeClr w14:val="tx1"/>
            </w14:solidFill>
          </w14:textFill>
        </w:rPr>
        <w:t>安全管理人员未有效履行安全管理职责，发现问题，置之不理；</w:t>
      </w:r>
    </w:p>
    <w:p w14:paraId="1CF36965">
      <w:pPr>
        <w:tabs>
          <w:tab w:val="left" w:pos="3900"/>
        </w:tabs>
        <w:adjustRightInd w:val="0"/>
        <w:snapToGrid w:val="0"/>
        <w:spacing w:line="500" w:lineRule="exact"/>
        <w:ind w:firstLine="573"/>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6</w:t>
      </w:r>
      <w:r>
        <w:rPr>
          <w:rFonts w:hint="eastAsia" w:ascii="宋体" w:hAnsi="宋体" w:eastAsia="宋体" w:cs="宋体"/>
          <w:snapToGrid w:val="0"/>
          <w:color w:val="000000" w:themeColor="text1"/>
          <w:kern w:val="0"/>
          <w:sz w:val="28"/>
          <w:szCs w:val="28"/>
          <w:lang w:eastAsia="zh-CN"/>
          <w14:textFill>
            <w14:solidFill>
              <w14:schemeClr w14:val="tx1"/>
            </w14:solidFill>
          </w14:textFill>
        </w:rPr>
        <w:t>.</w:t>
      </w:r>
      <w:r>
        <w:rPr>
          <w:rFonts w:hint="eastAsia" w:ascii="宋体" w:hAnsi="宋体" w:eastAsia="宋体" w:cs="宋体"/>
          <w:snapToGrid w:val="0"/>
          <w:color w:val="000000" w:themeColor="text1"/>
          <w:kern w:val="0"/>
          <w:sz w:val="28"/>
          <w:szCs w:val="28"/>
          <w14:textFill>
            <w14:solidFill>
              <w14:schemeClr w14:val="tx1"/>
            </w14:solidFill>
          </w14:textFill>
        </w:rPr>
        <w:t>人员职权交叉，造成管理混乱；</w:t>
      </w:r>
    </w:p>
    <w:p w14:paraId="1A2076B5">
      <w:pPr>
        <w:tabs>
          <w:tab w:val="left" w:pos="3900"/>
        </w:tabs>
        <w:adjustRightInd w:val="0"/>
        <w:snapToGrid w:val="0"/>
        <w:spacing w:line="500" w:lineRule="exact"/>
        <w:ind w:firstLine="573"/>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7</w:t>
      </w:r>
      <w:r>
        <w:rPr>
          <w:rFonts w:hint="eastAsia" w:ascii="宋体" w:hAnsi="宋体" w:eastAsia="宋体" w:cs="宋体"/>
          <w:snapToGrid w:val="0"/>
          <w:color w:val="000000" w:themeColor="text1"/>
          <w:kern w:val="0"/>
          <w:sz w:val="28"/>
          <w:szCs w:val="28"/>
          <w:lang w:eastAsia="zh-CN"/>
          <w14:textFill>
            <w14:solidFill>
              <w14:schemeClr w14:val="tx1"/>
            </w14:solidFill>
          </w14:textFill>
        </w:rPr>
        <w:t>.</w:t>
      </w:r>
      <w:r>
        <w:rPr>
          <w:rFonts w:hint="eastAsia" w:ascii="宋体" w:hAnsi="宋体" w:eastAsia="宋体" w:cs="宋体"/>
          <w:snapToGrid w:val="0"/>
          <w:color w:val="000000" w:themeColor="text1"/>
          <w:kern w:val="0"/>
          <w:sz w:val="28"/>
          <w:szCs w:val="28"/>
          <w14:textFill>
            <w14:solidFill>
              <w14:schemeClr w14:val="tx1"/>
            </w14:solidFill>
          </w14:textFill>
        </w:rPr>
        <w:t>职工日常活动随意，下班后（夜间）随意进入生产区域等；</w:t>
      </w:r>
    </w:p>
    <w:p w14:paraId="5615CA8A">
      <w:pPr>
        <w:tabs>
          <w:tab w:val="left" w:pos="3900"/>
        </w:tabs>
        <w:adjustRightInd w:val="0"/>
        <w:snapToGrid w:val="0"/>
        <w:spacing w:line="500" w:lineRule="exact"/>
        <w:ind w:firstLine="573"/>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8</w:t>
      </w:r>
      <w:r>
        <w:rPr>
          <w:rFonts w:hint="eastAsia" w:ascii="宋体" w:hAnsi="宋体" w:eastAsia="宋体" w:cs="宋体"/>
          <w:snapToGrid w:val="0"/>
          <w:color w:val="000000" w:themeColor="text1"/>
          <w:kern w:val="0"/>
          <w:sz w:val="28"/>
          <w:szCs w:val="28"/>
          <w:lang w:eastAsia="zh-CN"/>
          <w14:textFill>
            <w14:solidFill>
              <w14:schemeClr w14:val="tx1"/>
            </w14:solidFill>
          </w14:textFill>
        </w:rPr>
        <w:t>.</w:t>
      </w:r>
      <w:r>
        <w:rPr>
          <w:rFonts w:hint="eastAsia" w:ascii="宋体" w:hAnsi="宋体" w:eastAsia="宋体" w:cs="宋体"/>
          <w:snapToGrid w:val="0"/>
          <w:color w:val="000000" w:themeColor="text1"/>
          <w:kern w:val="0"/>
          <w:sz w:val="28"/>
          <w:szCs w:val="28"/>
          <w14:textFill>
            <w14:solidFill>
              <w14:schemeClr w14:val="tx1"/>
            </w14:solidFill>
          </w14:textFill>
        </w:rPr>
        <w:t>未与相关方签订安全管理协议，或安全管理协议中未明确双方安全管理职责，权利和义务等内容，造成相关方管理混乱。</w:t>
      </w:r>
    </w:p>
    <w:p w14:paraId="13233242">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466" w:name="_Toc313453509"/>
      <w:bookmarkStart w:id="467" w:name="_Toc30001404"/>
      <w:bookmarkStart w:id="468" w:name="_Toc331963310"/>
      <w:bookmarkStart w:id="469" w:name="_Toc4485"/>
      <w:bookmarkStart w:id="470" w:name="_Toc2351"/>
      <w:bookmarkStart w:id="471" w:name="_Toc6528"/>
      <w:bookmarkStart w:id="472" w:name="_Toc61474427"/>
      <w:bookmarkStart w:id="473" w:name="_Toc25343"/>
      <w:bookmarkStart w:id="474" w:name="_Toc27608"/>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3.9.2安全管理制度方面危险性分析</w:t>
      </w:r>
      <w:bookmarkEnd w:id="466"/>
      <w:bookmarkEnd w:id="467"/>
      <w:bookmarkEnd w:id="468"/>
      <w:bookmarkEnd w:id="469"/>
      <w:bookmarkEnd w:id="470"/>
      <w:bookmarkEnd w:id="471"/>
      <w:bookmarkEnd w:id="472"/>
      <w:bookmarkEnd w:id="473"/>
      <w:bookmarkEnd w:id="474"/>
    </w:p>
    <w:p w14:paraId="1AEB1849">
      <w:pPr>
        <w:tabs>
          <w:tab w:val="left" w:pos="945"/>
          <w:tab w:val="left" w:pos="3900"/>
        </w:tabs>
        <w:adjustRightInd w:val="0"/>
        <w:snapToGrid w:val="0"/>
        <w:spacing w:line="500" w:lineRule="exact"/>
        <w:ind w:firstLine="573"/>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安全管理制度是为加强企业生产工作的劳动保护、改善劳动条件，保护劳动者在生产过程中的安全和健康，促进企业的发展，根据有关劳动保护的法令、法规等有关规定，结合企业的实际情况制订的规定；可能因为安全管理制度不健全，引发事故，其主要原因有：</w:t>
      </w:r>
    </w:p>
    <w:p w14:paraId="04CD868F">
      <w:pPr>
        <w:tabs>
          <w:tab w:val="left" w:pos="945"/>
          <w:tab w:val="left" w:pos="3900"/>
        </w:tabs>
        <w:adjustRightInd w:val="0"/>
        <w:snapToGrid w:val="0"/>
        <w:spacing w:line="500" w:lineRule="exact"/>
        <w:ind w:firstLine="573"/>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1</w:t>
      </w:r>
      <w:r>
        <w:rPr>
          <w:rFonts w:hint="eastAsia" w:ascii="宋体" w:hAnsi="宋体" w:eastAsia="宋体" w:cs="宋体"/>
          <w:snapToGrid w:val="0"/>
          <w:color w:val="000000" w:themeColor="text1"/>
          <w:kern w:val="0"/>
          <w:sz w:val="28"/>
          <w:szCs w:val="28"/>
          <w:lang w:eastAsia="zh-CN"/>
          <w14:textFill>
            <w14:solidFill>
              <w14:schemeClr w14:val="tx1"/>
            </w14:solidFill>
          </w14:textFill>
        </w:rPr>
        <w:t>.</w:t>
      </w:r>
      <w:r>
        <w:rPr>
          <w:rFonts w:hint="eastAsia" w:ascii="宋体" w:hAnsi="宋体" w:eastAsia="宋体" w:cs="宋体"/>
          <w:snapToGrid w:val="0"/>
          <w:color w:val="000000" w:themeColor="text1"/>
          <w:kern w:val="0"/>
          <w:sz w:val="28"/>
          <w:szCs w:val="28"/>
          <w14:textFill>
            <w14:solidFill>
              <w14:schemeClr w14:val="tx1"/>
            </w14:solidFill>
          </w14:textFill>
        </w:rPr>
        <w:t>未根据自身特点制定、完善安全生产责任制、安全生产管理制度，造成工作中无章可循，生产次序混乱；</w:t>
      </w:r>
    </w:p>
    <w:p w14:paraId="7CD5ADE5">
      <w:pPr>
        <w:tabs>
          <w:tab w:val="left" w:pos="945"/>
          <w:tab w:val="left" w:pos="3900"/>
        </w:tabs>
        <w:adjustRightInd w:val="0"/>
        <w:snapToGrid w:val="0"/>
        <w:spacing w:line="500" w:lineRule="exact"/>
        <w:ind w:firstLine="573"/>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2</w:t>
      </w:r>
      <w:r>
        <w:rPr>
          <w:rFonts w:hint="eastAsia" w:ascii="宋体" w:hAnsi="宋体" w:eastAsia="宋体" w:cs="宋体"/>
          <w:snapToGrid w:val="0"/>
          <w:color w:val="000000" w:themeColor="text1"/>
          <w:kern w:val="0"/>
          <w:sz w:val="28"/>
          <w:szCs w:val="28"/>
          <w:lang w:eastAsia="zh-CN"/>
          <w14:textFill>
            <w14:solidFill>
              <w14:schemeClr w14:val="tx1"/>
            </w14:solidFill>
          </w14:textFill>
        </w:rPr>
        <w:t>.</w:t>
      </w:r>
      <w:r>
        <w:rPr>
          <w:rFonts w:hint="eastAsia" w:ascii="宋体" w:hAnsi="宋体" w:eastAsia="宋体" w:cs="宋体"/>
          <w:snapToGrid w:val="0"/>
          <w:color w:val="000000" w:themeColor="text1"/>
          <w:kern w:val="0"/>
          <w:sz w:val="28"/>
          <w:szCs w:val="28"/>
          <w14:textFill>
            <w14:solidFill>
              <w14:schemeClr w14:val="tx1"/>
            </w14:solidFill>
          </w14:textFill>
        </w:rPr>
        <w:t>各岗位或职能部门职责不明确；安全生产责任制未落实到每个环节、每个岗位、每个人；</w:t>
      </w:r>
    </w:p>
    <w:p w14:paraId="6688E591">
      <w:pPr>
        <w:tabs>
          <w:tab w:val="left" w:pos="945"/>
          <w:tab w:val="left" w:pos="3900"/>
        </w:tabs>
        <w:adjustRightInd w:val="0"/>
        <w:snapToGrid w:val="0"/>
        <w:spacing w:line="500" w:lineRule="exact"/>
        <w:ind w:firstLine="573"/>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3</w:t>
      </w:r>
      <w:r>
        <w:rPr>
          <w:rFonts w:hint="eastAsia" w:ascii="宋体" w:hAnsi="宋体" w:eastAsia="宋体" w:cs="宋体"/>
          <w:snapToGrid w:val="0"/>
          <w:color w:val="000000" w:themeColor="text1"/>
          <w:kern w:val="0"/>
          <w:sz w:val="28"/>
          <w:szCs w:val="28"/>
          <w:lang w:eastAsia="zh-CN"/>
          <w14:textFill>
            <w14:solidFill>
              <w14:schemeClr w14:val="tx1"/>
            </w14:solidFill>
          </w14:textFill>
        </w:rPr>
        <w:t>.</w:t>
      </w:r>
      <w:r>
        <w:rPr>
          <w:rFonts w:hint="eastAsia" w:ascii="宋体" w:hAnsi="宋体" w:eastAsia="宋体" w:cs="宋体"/>
          <w:snapToGrid w:val="0"/>
          <w:color w:val="000000" w:themeColor="text1"/>
          <w:kern w:val="0"/>
          <w:sz w:val="28"/>
          <w:szCs w:val="28"/>
          <w14:textFill>
            <w14:solidFill>
              <w14:schemeClr w14:val="tx1"/>
            </w14:solidFill>
          </w14:textFill>
        </w:rPr>
        <w:t>不同的安全规章管理制度之间缺少相互配合和促进机制；</w:t>
      </w:r>
    </w:p>
    <w:p w14:paraId="50465DF8">
      <w:pPr>
        <w:tabs>
          <w:tab w:val="left" w:pos="945"/>
          <w:tab w:val="left" w:pos="3900"/>
        </w:tabs>
        <w:adjustRightInd w:val="0"/>
        <w:snapToGrid w:val="0"/>
        <w:spacing w:line="500" w:lineRule="exact"/>
        <w:ind w:firstLine="573"/>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4</w:t>
      </w:r>
      <w:r>
        <w:rPr>
          <w:rFonts w:hint="eastAsia" w:ascii="宋体" w:hAnsi="宋体" w:eastAsia="宋体" w:cs="宋体"/>
          <w:snapToGrid w:val="0"/>
          <w:color w:val="000000" w:themeColor="text1"/>
          <w:kern w:val="0"/>
          <w:sz w:val="28"/>
          <w:szCs w:val="28"/>
          <w:lang w:eastAsia="zh-CN"/>
          <w14:textFill>
            <w14:solidFill>
              <w14:schemeClr w14:val="tx1"/>
            </w14:solidFill>
          </w14:textFill>
        </w:rPr>
        <w:t>.</w:t>
      </w:r>
      <w:r>
        <w:rPr>
          <w:rFonts w:hint="eastAsia" w:ascii="宋体" w:hAnsi="宋体" w:eastAsia="宋体" w:cs="宋体"/>
          <w:snapToGrid w:val="0"/>
          <w:color w:val="000000" w:themeColor="text1"/>
          <w:kern w:val="0"/>
          <w:sz w:val="28"/>
          <w:szCs w:val="28"/>
          <w14:textFill>
            <w14:solidFill>
              <w14:schemeClr w14:val="tx1"/>
            </w14:solidFill>
          </w14:textFill>
        </w:rPr>
        <w:t>安全规章管理制度流于形式，内容不完善、不全面；</w:t>
      </w:r>
    </w:p>
    <w:p w14:paraId="7367A274">
      <w:pPr>
        <w:tabs>
          <w:tab w:val="left" w:pos="945"/>
          <w:tab w:val="left" w:pos="3900"/>
        </w:tabs>
        <w:adjustRightInd w:val="0"/>
        <w:snapToGrid w:val="0"/>
        <w:spacing w:line="500" w:lineRule="exact"/>
        <w:ind w:firstLine="573"/>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5</w:t>
      </w:r>
      <w:r>
        <w:rPr>
          <w:rFonts w:hint="eastAsia" w:ascii="宋体" w:hAnsi="宋体" w:eastAsia="宋体" w:cs="宋体"/>
          <w:snapToGrid w:val="0"/>
          <w:color w:val="000000" w:themeColor="text1"/>
          <w:kern w:val="0"/>
          <w:sz w:val="28"/>
          <w:szCs w:val="28"/>
          <w:lang w:eastAsia="zh-CN"/>
          <w14:textFill>
            <w14:solidFill>
              <w14:schemeClr w14:val="tx1"/>
            </w14:solidFill>
          </w14:textFill>
        </w:rPr>
        <w:t>.</w:t>
      </w:r>
      <w:r>
        <w:rPr>
          <w:rFonts w:hint="eastAsia" w:ascii="宋体" w:hAnsi="宋体" w:eastAsia="宋体" w:cs="宋体"/>
          <w:snapToGrid w:val="0"/>
          <w:color w:val="000000" w:themeColor="text1"/>
          <w:kern w:val="0"/>
          <w:sz w:val="28"/>
          <w:szCs w:val="28"/>
          <w14:textFill>
            <w14:solidFill>
              <w14:schemeClr w14:val="tx1"/>
            </w14:solidFill>
          </w14:textFill>
        </w:rPr>
        <w:t>安全规章管理制度要求与实际工作脱节等；</w:t>
      </w:r>
    </w:p>
    <w:p w14:paraId="1B3CB5AF">
      <w:pPr>
        <w:tabs>
          <w:tab w:val="left" w:pos="945"/>
          <w:tab w:val="left" w:pos="3900"/>
        </w:tabs>
        <w:adjustRightInd w:val="0"/>
        <w:snapToGrid w:val="0"/>
        <w:spacing w:line="500" w:lineRule="exact"/>
        <w:ind w:firstLine="573"/>
        <w:rPr>
          <w:rFonts w:hint="eastAsia" w:ascii="宋体" w:hAnsi="宋体" w:eastAsia="宋体" w:cs="宋体"/>
          <w:snapToGrid w:val="0"/>
          <w:color w:val="000000" w:themeColor="text1"/>
          <w:kern w:val="0"/>
          <w:sz w:val="28"/>
          <w:szCs w:val="28"/>
          <w:lang w:eastAsia="zh-CN"/>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6</w:t>
      </w:r>
      <w:r>
        <w:rPr>
          <w:rFonts w:hint="eastAsia" w:ascii="宋体" w:hAnsi="宋体" w:eastAsia="宋体" w:cs="宋体"/>
          <w:snapToGrid w:val="0"/>
          <w:color w:val="000000" w:themeColor="text1"/>
          <w:kern w:val="0"/>
          <w:sz w:val="28"/>
          <w:szCs w:val="28"/>
          <w:lang w:eastAsia="zh-CN"/>
          <w14:textFill>
            <w14:solidFill>
              <w14:schemeClr w14:val="tx1"/>
            </w14:solidFill>
          </w14:textFill>
        </w:rPr>
        <w:t>.</w:t>
      </w:r>
      <w:r>
        <w:rPr>
          <w:rFonts w:hint="eastAsia" w:ascii="宋体" w:hAnsi="宋体" w:eastAsia="宋体" w:cs="宋体"/>
          <w:snapToGrid w:val="0"/>
          <w:color w:val="000000" w:themeColor="text1"/>
          <w:kern w:val="0"/>
          <w:sz w:val="28"/>
          <w:szCs w:val="28"/>
          <w14:textFill>
            <w14:solidFill>
              <w14:schemeClr w14:val="tx1"/>
            </w14:solidFill>
          </w14:textFill>
        </w:rPr>
        <w:t>特种作业人员未经培训，未掌握专业操作知识进行特种作业等</w:t>
      </w:r>
      <w:r>
        <w:rPr>
          <w:rFonts w:hint="eastAsia" w:ascii="宋体" w:hAnsi="宋体" w:eastAsia="宋体" w:cs="宋体"/>
          <w:snapToGrid w:val="0"/>
          <w:color w:val="000000" w:themeColor="text1"/>
          <w:kern w:val="0"/>
          <w:sz w:val="28"/>
          <w:szCs w:val="28"/>
          <w:lang w:eastAsia="zh-CN"/>
          <w14:textFill>
            <w14:solidFill>
              <w14:schemeClr w14:val="tx1"/>
            </w14:solidFill>
          </w14:textFill>
        </w:rPr>
        <w:t>。</w:t>
      </w:r>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根据</w:t>
      </w:r>
      <w:r>
        <w:rPr>
          <w:rFonts w:hint="eastAsia" w:ascii="宋体" w:hAnsi="宋体" w:eastAsia="宋体" w:cs="宋体"/>
          <w:snapToGrid w:val="0"/>
          <w:color w:val="000000" w:themeColor="text1"/>
          <w:kern w:val="0"/>
          <w:sz w:val="28"/>
          <w:szCs w:val="28"/>
          <w14:textFill>
            <w14:solidFill>
              <w14:schemeClr w14:val="tx1"/>
            </w14:solidFill>
          </w14:textFill>
        </w:rPr>
        <w:t>《中华人民共和国安全生产法》第三十条规定:"生产经营单位的特种作业人员必须按照国家有关规定经专门的安全作业培训,取得相应资格,方可上岗作业。"</w:t>
      </w:r>
    </w:p>
    <w:p w14:paraId="151A8457">
      <w:pPr>
        <w:tabs>
          <w:tab w:val="left" w:pos="945"/>
          <w:tab w:val="left" w:pos="3900"/>
        </w:tabs>
        <w:adjustRightInd w:val="0"/>
        <w:snapToGrid w:val="0"/>
        <w:spacing w:line="500" w:lineRule="exact"/>
        <w:ind w:firstLine="573"/>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7</w:t>
      </w:r>
      <w:r>
        <w:rPr>
          <w:rFonts w:hint="eastAsia" w:ascii="宋体" w:hAnsi="宋体" w:eastAsia="宋体" w:cs="宋体"/>
          <w:snapToGrid w:val="0"/>
          <w:color w:val="000000" w:themeColor="text1"/>
          <w:kern w:val="0"/>
          <w:sz w:val="28"/>
          <w:szCs w:val="28"/>
          <w:lang w:eastAsia="zh-CN"/>
          <w14:textFill>
            <w14:solidFill>
              <w14:schemeClr w14:val="tx1"/>
            </w14:solidFill>
          </w14:textFill>
        </w:rPr>
        <w:t>.</w:t>
      </w:r>
      <w:r>
        <w:rPr>
          <w:rFonts w:hint="eastAsia" w:ascii="宋体" w:hAnsi="宋体" w:eastAsia="宋体" w:cs="宋体"/>
          <w:snapToGrid w:val="0"/>
          <w:color w:val="000000" w:themeColor="text1"/>
          <w:kern w:val="0"/>
          <w:sz w:val="28"/>
          <w:szCs w:val="28"/>
          <w14:textFill>
            <w14:solidFill>
              <w14:schemeClr w14:val="tx1"/>
            </w14:solidFill>
          </w14:textFill>
        </w:rPr>
        <w:t>作业现场周边有其他企业人员来往，可能由于管理不到位，导致车辆伤害、机械伤害、触电等事故。</w:t>
      </w:r>
    </w:p>
    <w:p w14:paraId="06711864">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475" w:name="_Toc61474428"/>
      <w:bookmarkStart w:id="476" w:name="_Toc30001405"/>
      <w:bookmarkStart w:id="477" w:name="_Toc331963311"/>
      <w:bookmarkStart w:id="478" w:name="_Toc26397"/>
      <w:bookmarkStart w:id="479" w:name="_Toc20313"/>
      <w:bookmarkStart w:id="480" w:name="_Toc20876"/>
      <w:bookmarkStart w:id="481" w:name="_Toc313453510"/>
      <w:bookmarkStart w:id="482" w:name="_Toc27617"/>
      <w:bookmarkStart w:id="483" w:name="_Toc12976"/>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3.9.3事故应急方面危险性分析</w:t>
      </w:r>
      <w:bookmarkEnd w:id="475"/>
      <w:bookmarkEnd w:id="476"/>
      <w:bookmarkEnd w:id="477"/>
      <w:bookmarkEnd w:id="478"/>
      <w:bookmarkEnd w:id="479"/>
      <w:bookmarkEnd w:id="480"/>
      <w:bookmarkEnd w:id="481"/>
      <w:bookmarkEnd w:id="482"/>
      <w:bookmarkEnd w:id="483"/>
    </w:p>
    <w:p w14:paraId="03C91671">
      <w:pPr>
        <w:tabs>
          <w:tab w:val="left" w:pos="945"/>
          <w:tab w:val="left" w:pos="3900"/>
        </w:tabs>
        <w:adjustRightInd w:val="0"/>
        <w:snapToGrid w:val="0"/>
        <w:spacing w:line="500" w:lineRule="exact"/>
        <w:ind w:firstLine="570"/>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事故应急是针对可能发生的重大事故，为保证迅速、有效、有序地开展应急救援行动，以便预防、降低事故损失，可能因为事故应急措施不当等引发事故，其主要原因有：</w:t>
      </w:r>
    </w:p>
    <w:p w14:paraId="49D571C5">
      <w:pPr>
        <w:tabs>
          <w:tab w:val="left" w:pos="945"/>
          <w:tab w:val="left" w:pos="3900"/>
        </w:tabs>
        <w:adjustRightInd w:val="0"/>
        <w:snapToGrid w:val="0"/>
        <w:spacing w:line="500" w:lineRule="exact"/>
        <w:ind w:firstLine="570"/>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1</w:t>
      </w:r>
      <w:r>
        <w:rPr>
          <w:rFonts w:hint="eastAsia" w:ascii="宋体" w:hAnsi="宋体" w:eastAsia="宋体" w:cs="宋体"/>
          <w:snapToGrid w:val="0"/>
          <w:color w:val="000000" w:themeColor="text1"/>
          <w:kern w:val="0"/>
          <w:sz w:val="28"/>
          <w:szCs w:val="28"/>
          <w:lang w:eastAsia="zh-CN"/>
          <w14:textFill>
            <w14:solidFill>
              <w14:schemeClr w14:val="tx1"/>
            </w14:solidFill>
          </w14:textFill>
        </w:rPr>
        <w:t>.</w:t>
      </w:r>
      <w:r>
        <w:rPr>
          <w:rFonts w:hint="eastAsia" w:ascii="宋体" w:hAnsi="宋体" w:eastAsia="宋体" w:cs="宋体"/>
          <w:snapToGrid w:val="0"/>
          <w:color w:val="000000" w:themeColor="text1"/>
          <w:kern w:val="0"/>
          <w:sz w:val="28"/>
          <w:szCs w:val="28"/>
          <w14:textFill>
            <w14:solidFill>
              <w14:schemeClr w14:val="tx1"/>
            </w14:solidFill>
          </w14:textFill>
        </w:rPr>
        <w:t>企业未编制生产安全事故应急预案，或编制的预案未按照相关要求邀请相关专家组织评审、备案，内容不满足《生产经营单位生产安全事故应急预案编制导则》（GB/T 29639-2020）内容要求；</w:t>
      </w:r>
    </w:p>
    <w:p w14:paraId="1E3C3446">
      <w:pPr>
        <w:tabs>
          <w:tab w:val="left" w:pos="945"/>
          <w:tab w:val="left" w:pos="3900"/>
        </w:tabs>
        <w:adjustRightInd w:val="0"/>
        <w:snapToGrid w:val="0"/>
        <w:spacing w:line="500" w:lineRule="exact"/>
        <w:ind w:firstLine="570"/>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2</w:t>
      </w:r>
      <w:r>
        <w:rPr>
          <w:rFonts w:hint="eastAsia" w:ascii="宋体" w:hAnsi="宋体" w:eastAsia="宋体" w:cs="宋体"/>
          <w:snapToGrid w:val="0"/>
          <w:color w:val="000000" w:themeColor="text1"/>
          <w:kern w:val="0"/>
          <w:sz w:val="28"/>
          <w:szCs w:val="28"/>
          <w:lang w:eastAsia="zh-CN"/>
          <w14:textFill>
            <w14:solidFill>
              <w14:schemeClr w14:val="tx1"/>
            </w14:solidFill>
          </w14:textFill>
        </w:rPr>
        <w:t>.</w:t>
      </w:r>
      <w:r>
        <w:rPr>
          <w:rFonts w:hint="eastAsia" w:ascii="宋体" w:hAnsi="宋体" w:eastAsia="宋体" w:cs="宋体"/>
          <w:snapToGrid w:val="0"/>
          <w:color w:val="000000" w:themeColor="text1"/>
          <w:kern w:val="0"/>
          <w:sz w:val="28"/>
          <w:szCs w:val="28"/>
          <w14:textFill>
            <w14:solidFill>
              <w14:schemeClr w14:val="tx1"/>
            </w14:solidFill>
          </w14:textFill>
        </w:rPr>
        <w:t>应急救援时未按照事故应急原则进行处置；</w:t>
      </w:r>
    </w:p>
    <w:p w14:paraId="02826741">
      <w:pPr>
        <w:tabs>
          <w:tab w:val="left" w:pos="945"/>
          <w:tab w:val="left" w:pos="3900"/>
        </w:tabs>
        <w:adjustRightInd w:val="0"/>
        <w:snapToGrid w:val="0"/>
        <w:spacing w:line="500" w:lineRule="exact"/>
        <w:ind w:firstLine="570"/>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3</w:t>
      </w:r>
      <w:r>
        <w:rPr>
          <w:rFonts w:hint="eastAsia" w:ascii="宋体" w:hAnsi="宋体" w:eastAsia="宋体" w:cs="宋体"/>
          <w:snapToGrid w:val="0"/>
          <w:color w:val="000000" w:themeColor="text1"/>
          <w:kern w:val="0"/>
          <w:sz w:val="28"/>
          <w:szCs w:val="28"/>
          <w:lang w:eastAsia="zh-CN"/>
          <w14:textFill>
            <w14:solidFill>
              <w14:schemeClr w14:val="tx1"/>
            </w14:solidFill>
          </w14:textFill>
        </w:rPr>
        <w:t>.</w:t>
      </w:r>
      <w:r>
        <w:rPr>
          <w:rFonts w:hint="eastAsia" w:ascii="宋体" w:hAnsi="宋体" w:eastAsia="宋体" w:cs="宋体"/>
          <w:snapToGrid w:val="0"/>
          <w:color w:val="000000" w:themeColor="text1"/>
          <w:kern w:val="0"/>
          <w:sz w:val="28"/>
          <w:szCs w:val="28"/>
          <w14:textFill>
            <w14:solidFill>
              <w14:schemeClr w14:val="tx1"/>
            </w14:solidFill>
          </w14:textFill>
        </w:rPr>
        <w:t>救援人员不服从指挥；</w:t>
      </w:r>
    </w:p>
    <w:p w14:paraId="54FE304C">
      <w:pPr>
        <w:tabs>
          <w:tab w:val="left" w:pos="945"/>
          <w:tab w:val="left" w:pos="3900"/>
        </w:tabs>
        <w:adjustRightInd w:val="0"/>
        <w:snapToGrid w:val="0"/>
        <w:spacing w:line="500" w:lineRule="exact"/>
        <w:ind w:firstLine="570"/>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4</w:t>
      </w:r>
      <w:r>
        <w:rPr>
          <w:rFonts w:hint="eastAsia" w:ascii="宋体" w:hAnsi="宋体" w:eastAsia="宋体" w:cs="宋体"/>
          <w:snapToGrid w:val="0"/>
          <w:color w:val="000000" w:themeColor="text1"/>
          <w:kern w:val="0"/>
          <w:sz w:val="28"/>
          <w:szCs w:val="28"/>
          <w:lang w:eastAsia="zh-CN"/>
          <w14:textFill>
            <w14:solidFill>
              <w14:schemeClr w14:val="tx1"/>
            </w14:solidFill>
          </w14:textFill>
        </w:rPr>
        <w:t>.</w:t>
      </w:r>
      <w:r>
        <w:rPr>
          <w:rFonts w:hint="eastAsia" w:ascii="宋体" w:hAnsi="宋体" w:eastAsia="宋体" w:cs="宋体"/>
          <w:snapToGrid w:val="0"/>
          <w:color w:val="000000" w:themeColor="text1"/>
          <w:kern w:val="0"/>
          <w:sz w:val="28"/>
          <w:szCs w:val="28"/>
          <w14:textFill>
            <w14:solidFill>
              <w14:schemeClr w14:val="tx1"/>
            </w14:solidFill>
          </w14:textFill>
        </w:rPr>
        <w:t>事故判断不准确，导致采取的应急救援行动和战术决策不准确；</w:t>
      </w:r>
    </w:p>
    <w:p w14:paraId="0A39541E">
      <w:pPr>
        <w:tabs>
          <w:tab w:val="left" w:pos="945"/>
          <w:tab w:val="left" w:pos="3900"/>
        </w:tabs>
        <w:adjustRightInd w:val="0"/>
        <w:snapToGrid w:val="0"/>
        <w:spacing w:line="500" w:lineRule="exact"/>
        <w:ind w:firstLine="570"/>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5</w:t>
      </w:r>
      <w:r>
        <w:rPr>
          <w:rFonts w:hint="eastAsia" w:ascii="宋体" w:hAnsi="宋体" w:eastAsia="宋体" w:cs="宋体"/>
          <w:snapToGrid w:val="0"/>
          <w:color w:val="000000" w:themeColor="text1"/>
          <w:kern w:val="0"/>
          <w:sz w:val="28"/>
          <w:szCs w:val="28"/>
          <w:lang w:eastAsia="zh-CN"/>
          <w14:textFill>
            <w14:solidFill>
              <w14:schemeClr w14:val="tx1"/>
            </w14:solidFill>
          </w14:textFill>
        </w:rPr>
        <w:t>.</w:t>
      </w:r>
      <w:r>
        <w:rPr>
          <w:rFonts w:hint="eastAsia" w:ascii="宋体" w:hAnsi="宋体" w:eastAsia="宋体" w:cs="宋体"/>
          <w:snapToGrid w:val="0"/>
          <w:color w:val="000000" w:themeColor="text1"/>
          <w:kern w:val="0"/>
          <w:sz w:val="28"/>
          <w:szCs w:val="28"/>
          <w14:textFill>
            <w14:solidFill>
              <w14:schemeClr w14:val="tx1"/>
            </w14:solidFill>
          </w14:textFill>
        </w:rPr>
        <w:t>未能配备足够、有效的应急救援物资或物资维护保养不力失效；</w:t>
      </w:r>
    </w:p>
    <w:p w14:paraId="74E1E658">
      <w:pPr>
        <w:adjustRightInd w:val="0"/>
        <w:snapToGrid w:val="0"/>
        <w:spacing w:line="500" w:lineRule="exact"/>
        <w:ind w:firstLine="560" w:firstLineChars="200"/>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snapToGrid w:val="0"/>
          <w:color w:val="000000" w:themeColor="text1"/>
          <w:kern w:val="0"/>
          <w:sz w:val="28"/>
          <w:szCs w:val="28"/>
          <w14:textFill>
            <w14:solidFill>
              <w14:schemeClr w14:val="tx1"/>
            </w14:solidFill>
          </w14:textFill>
        </w:rPr>
        <w:t>6</w:t>
      </w:r>
      <w:r>
        <w:rPr>
          <w:rFonts w:hint="eastAsia" w:ascii="宋体" w:hAnsi="宋体" w:eastAsia="宋体" w:cs="宋体"/>
          <w:snapToGrid w:val="0"/>
          <w:color w:val="000000" w:themeColor="text1"/>
          <w:kern w:val="0"/>
          <w:sz w:val="28"/>
          <w:szCs w:val="28"/>
          <w:lang w:eastAsia="zh-CN"/>
          <w14:textFill>
            <w14:solidFill>
              <w14:schemeClr w14:val="tx1"/>
            </w14:solidFill>
          </w14:textFill>
        </w:rPr>
        <w:t>.</w:t>
      </w:r>
      <w:r>
        <w:rPr>
          <w:rFonts w:hint="eastAsia" w:ascii="宋体" w:hAnsi="宋体" w:eastAsia="宋体" w:cs="宋体"/>
          <w:snapToGrid w:val="0"/>
          <w:color w:val="000000" w:themeColor="text1"/>
          <w:kern w:val="0"/>
          <w:sz w:val="28"/>
          <w:szCs w:val="28"/>
          <w14:textFill>
            <w14:solidFill>
              <w14:schemeClr w14:val="tx1"/>
            </w14:solidFill>
          </w14:textFill>
        </w:rPr>
        <w:t>未能按规定对应急预案进行定期演练，未进行定期修订或预案可操作性不强。</w:t>
      </w:r>
    </w:p>
    <w:p w14:paraId="5DB3152E">
      <w:pPr>
        <w:pStyle w:val="3"/>
        <w:keepNext/>
        <w:keepLines/>
        <w:pageBreakBefore w:val="0"/>
        <w:widowControl w:val="0"/>
        <w:kinsoku/>
        <w:wordWrap/>
        <w:overflowPunct/>
        <w:topLinePunct w:val="0"/>
        <w:autoSpaceDE/>
        <w:autoSpaceDN/>
        <w:bidi w:val="0"/>
        <w:adjustRightInd/>
        <w:snapToGrid w:val="0"/>
        <w:spacing w:before="0" w:after="0" w:line="520" w:lineRule="exact"/>
        <w:jc w:val="both"/>
        <w:textAlignment w:val="auto"/>
        <w:rPr>
          <w:rFonts w:hint="eastAsia" w:ascii="宋体" w:hAnsi="宋体" w:eastAsia="宋体" w:cs="宋体"/>
          <w:color w:val="000000" w:themeColor="text1"/>
          <w:kern w:val="0"/>
          <w:lang w:val="en-US" w:eastAsia="zh-CN"/>
          <w14:textFill>
            <w14:solidFill>
              <w14:schemeClr w14:val="tx1"/>
            </w14:solidFill>
          </w14:textFill>
        </w:rPr>
      </w:pPr>
      <w:bookmarkStart w:id="484" w:name="_Toc30001423"/>
      <w:bookmarkStart w:id="485" w:name="_Toc31917"/>
      <w:bookmarkStart w:id="486" w:name="_Toc61474446"/>
      <w:bookmarkStart w:id="487" w:name="_Toc4761"/>
      <w:bookmarkStart w:id="488" w:name="_Toc12699"/>
      <w:bookmarkStart w:id="489" w:name="_Toc14729"/>
      <w:r>
        <w:rPr>
          <w:rFonts w:hint="eastAsia" w:ascii="宋体" w:hAnsi="宋体" w:eastAsia="宋体" w:cs="宋体"/>
          <w:color w:val="000000" w:themeColor="text1"/>
          <w:kern w:val="0"/>
          <w:lang w:val="en-US" w:eastAsia="zh-CN"/>
          <w14:textFill>
            <w14:solidFill>
              <w14:schemeClr w14:val="tx1"/>
            </w14:solidFill>
          </w14:textFill>
        </w:rPr>
        <w:t>3.10重大危险源辨识</w:t>
      </w:r>
      <w:bookmarkEnd w:id="484"/>
      <w:bookmarkEnd w:id="485"/>
      <w:bookmarkEnd w:id="486"/>
      <w:bookmarkEnd w:id="487"/>
      <w:bookmarkEnd w:id="488"/>
      <w:bookmarkEnd w:id="489"/>
    </w:p>
    <w:p w14:paraId="5B00F2D0">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490" w:name="_Toc30001424"/>
      <w:bookmarkStart w:id="491" w:name="_Toc121910244"/>
      <w:bookmarkStart w:id="492" w:name="_Toc172021604"/>
      <w:bookmarkStart w:id="493" w:name="_Toc28580"/>
      <w:bookmarkStart w:id="494" w:name="_Toc24138"/>
      <w:bookmarkStart w:id="495" w:name="_Toc23947"/>
      <w:bookmarkStart w:id="496" w:name="_Toc27538"/>
      <w:bookmarkStart w:id="497" w:name="_Toc61474447"/>
      <w:bookmarkStart w:id="498" w:name="_Toc17187"/>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3.10.1方法介绍</w:t>
      </w:r>
      <w:bookmarkEnd w:id="490"/>
      <w:bookmarkEnd w:id="491"/>
      <w:bookmarkEnd w:id="492"/>
      <w:bookmarkEnd w:id="493"/>
      <w:bookmarkEnd w:id="494"/>
      <w:bookmarkEnd w:id="495"/>
      <w:bookmarkEnd w:id="496"/>
      <w:bookmarkEnd w:id="497"/>
      <w:bookmarkEnd w:id="498"/>
    </w:p>
    <w:p w14:paraId="196B8A69">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危险化学品重大危险源是指“长期地或临时地生产、储存、使用和经营危险化学品，且危险化学品的数量等于或超过临界量的单元。”。</w:t>
      </w:r>
    </w:p>
    <w:p w14:paraId="621E755C">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注：1）危险化学品——具有毒害、腐蚀爆炸、燃烧、助燃等性质，对人体、设施、环境具有危害的剧毒化学品和其他化学品。</w:t>
      </w:r>
    </w:p>
    <w:p w14:paraId="78DB7FE4">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2）临界量——某种或某类危险化学品构成重大危险源所规定的最小数量。</w:t>
      </w:r>
    </w:p>
    <w:p w14:paraId="1BE3C5B4">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3）生产单元——危险化学品的生产、加工及使用等的装置及设施,当装置及设施之间有切断阀时，以切断阀作为分隔界限划分为独立的单元。</w:t>
      </w:r>
    </w:p>
    <w:p w14:paraId="2A1F51F7">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4）储存单元——用于储存危险化学品的储罐或仓库组成的相对独立的区域,</w:t>
      </w:r>
      <w:r>
        <w:rPr>
          <w:rFonts w:hint="eastAsia" w:ascii="宋体" w:hAnsi="宋体" w:eastAsia="宋体" w:cs="宋体"/>
          <w:color w:val="000000" w:themeColor="text1"/>
          <w:sz w:val="28"/>
          <w:szCs w:val="28"/>
          <w:lang w:val="en-US" w:eastAsia="zh-CN"/>
          <w14:textFill>
            <w14:solidFill>
              <w14:schemeClr w14:val="tx1"/>
            </w14:solidFill>
          </w14:textFill>
        </w:rPr>
        <w:t>储</w:t>
      </w:r>
      <w:r>
        <w:rPr>
          <w:rFonts w:hint="eastAsia" w:ascii="宋体" w:hAnsi="宋体" w:eastAsia="宋体" w:cs="宋体"/>
          <w:color w:val="000000" w:themeColor="text1"/>
          <w:sz w:val="28"/>
          <w:szCs w:val="28"/>
          <w14:textFill>
            <w14:solidFill>
              <w14:schemeClr w14:val="tx1"/>
            </w14:solidFill>
          </w14:textFill>
        </w:rPr>
        <w:t>罐区以罐区防火堤为界限划分为独立的单元，仓库以独立库房（独立建筑物）为界限划分为独立的单元。</w:t>
      </w:r>
    </w:p>
    <w:p w14:paraId="568F1F12">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按照《危险化学品重大危险源辨识》（GB18218-2018）规定，危险化学品重大危险源是指长期地或临时地生产、储存、使用或经营危险化学品，且危险化学品的数量等于或超过临界量的单元。</w:t>
      </w:r>
    </w:p>
    <w:p w14:paraId="63EDF4F5">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生产单元、储存单元内存在危险化学品的数量等于或超过规定的临界量，即被定为重大危险源。单元内存在的危险化学品的数量根据危险化学品种类的多少区分为以下两种情况：</w:t>
      </w:r>
    </w:p>
    <w:p w14:paraId="662C58AF">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1）生产单元、储存单元内存在的危险化学品为单一品种时，该危险化学品的数量即为单元内危险化学品的总量，若等于或超过相应的临界量，则定为重大危险源。</w:t>
      </w:r>
    </w:p>
    <w:p w14:paraId="6A40F7FA">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2）生产单元、储存单元内存在的危险化学品为多品种时，按式（1）计算，若满足式（1），则定为重大危险源：</w:t>
      </w:r>
    </w:p>
    <w:p w14:paraId="0B15D9FD">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 xml:space="preserve">S=q1/Q1+q2/Q2+……+qn/Qn≥1   ……………………（1）        </w:t>
      </w:r>
    </w:p>
    <w:p w14:paraId="1452192D">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式中：S ——辨识指标；</w:t>
      </w:r>
    </w:p>
    <w:p w14:paraId="30A687FF">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q1，q2……qn——每种危险化学品的实际存在量，单位为吨（t）；</w:t>
      </w:r>
    </w:p>
    <w:p w14:paraId="0AA41600">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Q1，Q2……Qn——与每种危险化学品相对应的临界量，单位为吨。</w:t>
      </w:r>
    </w:p>
    <w:p w14:paraId="3761CCA1">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499" w:name="_Toc65291067"/>
      <w:bookmarkStart w:id="500" w:name="_Toc172021605"/>
      <w:bookmarkStart w:id="501" w:name="_Toc65029557"/>
      <w:bookmarkStart w:id="502" w:name="_Toc121910245"/>
      <w:bookmarkStart w:id="503" w:name="_Toc25871"/>
      <w:bookmarkStart w:id="504" w:name="_Toc61474448"/>
      <w:bookmarkStart w:id="505" w:name="_Toc2271"/>
      <w:bookmarkStart w:id="506" w:name="_Toc1879"/>
      <w:bookmarkStart w:id="507" w:name="_Toc30001425"/>
      <w:bookmarkStart w:id="508" w:name="_Toc5944"/>
      <w:bookmarkStart w:id="509" w:name="_Toc8208"/>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3.10.2辨识</w:t>
      </w:r>
      <w:bookmarkEnd w:id="499"/>
      <w:bookmarkEnd w:id="500"/>
      <w:bookmarkEnd w:id="501"/>
      <w:bookmarkEnd w:id="502"/>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过程及结果</w:t>
      </w:r>
      <w:bookmarkEnd w:id="503"/>
      <w:bookmarkEnd w:id="504"/>
      <w:bookmarkEnd w:id="505"/>
      <w:bookmarkEnd w:id="506"/>
      <w:bookmarkEnd w:id="507"/>
      <w:bookmarkEnd w:id="508"/>
      <w:bookmarkEnd w:id="509"/>
    </w:p>
    <w:p w14:paraId="5C72F609">
      <w:pPr>
        <w:pStyle w:val="5"/>
        <w:keepNext w:val="0"/>
        <w:keepLines w:val="0"/>
        <w:pageBreakBefore w:val="0"/>
        <w:widowControl w:val="0"/>
        <w:kinsoku/>
        <w:wordWrap/>
        <w:overflowPunct/>
        <w:topLinePunct w:val="0"/>
        <w:autoSpaceDE/>
        <w:autoSpaceDN/>
        <w:bidi w:val="0"/>
        <w:adjustRightInd/>
        <w:snapToGrid w:val="0"/>
        <w:spacing w:line="520" w:lineRule="exact"/>
        <w:ind w:firstLine="0" w:firstLineChars="0"/>
        <w:jc w:val="both"/>
        <w:textAlignment w:val="auto"/>
        <w:rPr>
          <w:rFonts w:hint="eastAsia" w:ascii="宋体" w:hAnsi="宋体" w:eastAsia="宋体" w:cs="宋体"/>
          <w:color w:val="000000" w:themeColor="text1"/>
          <w:kern w:val="0"/>
          <w14:textFill>
            <w14:solidFill>
              <w14:schemeClr w14:val="tx1"/>
            </w14:solidFill>
          </w14:textFill>
        </w:rPr>
      </w:pPr>
      <w:bookmarkStart w:id="510" w:name="_Toc360019842"/>
      <w:r>
        <w:rPr>
          <w:rFonts w:hint="eastAsia" w:ascii="宋体" w:hAnsi="宋体" w:eastAsia="宋体" w:cs="宋体"/>
          <w:color w:val="000000" w:themeColor="text1"/>
          <w:kern w:val="0"/>
          <w14:textFill>
            <w14:solidFill>
              <w14:schemeClr w14:val="tx1"/>
            </w14:solidFill>
          </w14:textFill>
        </w:rPr>
        <w:t>3.10.2.1危险化学品重大危险源辨识</w:t>
      </w:r>
      <w:bookmarkEnd w:id="510"/>
    </w:p>
    <w:p w14:paraId="1F5F92F9">
      <w:pPr>
        <w:adjustRightInd w:val="0"/>
        <w:snapToGrid w:val="0"/>
        <w:spacing w:line="500" w:lineRule="exact"/>
        <w:ind w:firstLine="560" w:firstLineChars="200"/>
        <w:contextualSpacing/>
        <w:rPr>
          <w:rFonts w:hint="eastAsia" w:ascii="宋体" w:hAnsi="宋体" w:eastAsia="宋体" w:cs="宋体"/>
          <w:bCs/>
          <w:color w:val="000000" w:themeColor="text1"/>
          <w:sz w:val="28"/>
          <w:szCs w:val="28"/>
          <w:lang w:eastAsia="zh-CN"/>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经辨识，</w:t>
      </w:r>
      <w:r>
        <w:rPr>
          <w:rFonts w:hint="eastAsia" w:ascii="宋体" w:hAnsi="宋体" w:eastAsia="宋体" w:cs="宋体"/>
          <w:bCs/>
          <w:color w:val="000000" w:themeColor="text1"/>
          <w:sz w:val="28"/>
          <w:szCs w:val="28"/>
          <w14:textFill>
            <w14:solidFill>
              <w14:schemeClr w14:val="tx1"/>
            </w14:solidFill>
          </w14:textFill>
        </w:rPr>
        <w:t>本项目涉及</w:t>
      </w:r>
      <w:r>
        <w:rPr>
          <w:rFonts w:hint="eastAsia" w:ascii="宋体" w:hAnsi="宋体" w:eastAsia="宋体" w:cs="宋体"/>
          <w:bCs/>
          <w:color w:val="000000" w:themeColor="text1"/>
          <w:sz w:val="28"/>
          <w:szCs w:val="28"/>
          <w:lang w:val="en-US" w:eastAsia="zh-CN"/>
          <w14:textFill>
            <w14:solidFill>
              <w14:schemeClr w14:val="tx1"/>
            </w14:solidFill>
          </w14:textFill>
        </w:rPr>
        <w:t>使用危险</w:t>
      </w:r>
      <w:r>
        <w:rPr>
          <w:rFonts w:hint="eastAsia" w:ascii="宋体" w:hAnsi="宋体" w:eastAsia="宋体" w:cs="宋体"/>
          <w:bCs/>
          <w:color w:val="000000" w:themeColor="text1"/>
          <w:sz w:val="28"/>
          <w:szCs w:val="28"/>
          <w14:textFill>
            <w14:solidFill>
              <w14:schemeClr w14:val="tx1"/>
            </w14:solidFill>
          </w14:textFill>
        </w:rPr>
        <w:t>化学品</w:t>
      </w:r>
      <w:r>
        <w:rPr>
          <w:rFonts w:hint="eastAsia" w:ascii="宋体" w:hAnsi="宋体" w:eastAsia="宋体" w:cs="宋体"/>
          <w:bCs/>
          <w:color w:val="000000" w:themeColor="text1"/>
          <w:sz w:val="28"/>
          <w:szCs w:val="28"/>
          <w:lang w:val="en-US" w:eastAsia="zh-CN"/>
          <w14:textFill>
            <w14:solidFill>
              <w14:schemeClr w14:val="tx1"/>
            </w14:solidFill>
          </w14:textFill>
        </w:rPr>
        <w:t>为生产时擦拭机床配件使用的零星柴油</w:t>
      </w:r>
      <w:r>
        <w:rPr>
          <w:rFonts w:hint="eastAsia" w:hAnsi="宋体" w:cs="宋体"/>
          <w:bCs/>
          <w:color w:val="000000" w:themeColor="text1"/>
          <w:sz w:val="28"/>
          <w:szCs w:val="28"/>
          <w:lang w:val="en-US" w:eastAsia="zh-CN"/>
          <w14:textFill>
            <w14:solidFill>
              <w14:schemeClr w14:val="tx1"/>
            </w14:solidFill>
          </w14:textFill>
        </w:rPr>
        <w:t>10</w:t>
      </w:r>
      <w:r>
        <w:rPr>
          <w:rFonts w:hint="eastAsia" w:ascii="宋体" w:hAnsi="宋体" w:eastAsia="宋体" w:cs="宋体"/>
          <w:bCs/>
          <w:color w:val="000000" w:themeColor="text1"/>
          <w:sz w:val="28"/>
          <w:szCs w:val="28"/>
          <w:lang w:val="en-US" w:eastAsia="zh-CN"/>
          <w14:textFill>
            <w14:solidFill>
              <w14:schemeClr w14:val="tx1"/>
            </w14:solidFill>
          </w14:textFill>
        </w:rPr>
        <w:t>L（</w:t>
      </w:r>
      <w:r>
        <w:rPr>
          <w:rFonts w:hint="eastAsia" w:ascii="宋体" w:hAnsi="宋体" w:eastAsia="宋体" w:cs="宋体"/>
          <w:b w:val="0"/>
          <w:bCs w:val="0"/>
          <w:color w:val="000000" w:themeColor="text1"/>
          <w:kern w:val="0"/>
          <w:sz w:val="28"/>
          <w:szCs w:val="28"/>
          <w:lang w:val="en-US" w:eastAsia="zh-CN" w:bidi="ar"/>
          <w14:textFill>
            <w14:solidFill>
              <w14:schemeClr w14:val="tx1"/>
            </w14:solidFill>
          </w14:textFill>
        </w:rPr>
        <w:t>柴油密度为 0.85×10</w:t>
      </w:r>
      <w:r>
        <w:rPr>
          <w:rFonts w:hint="eastAsia" w:ascii="宋体" w:hAnsi="宋体" w:eastAsia="宋体" w:cs="宋体"/>
          <w:b w:val="0"/>
          <w:bCs w:val="0"/>
          <w:color w:val="000000" w:themeColor="text1"/>
          <w:kern w:val="0"/>
          <w:sz w:val="28"/>
          <w:szCs w:val="28"/>
          <w:vertAlign w:val="superscript"/>
          <w:lang w:val="en-US" w:eastAsia="zh-CN" w:bidi="ar"/>
          <w14:textFill>
            <w14:solidFill>
              <w14:schemeClr w14:val="tx1"/>
            </w14:solidFill>
          </w14:textFill>
        </w:rPr>
        <w:t>3</w:t>
      </w:r>
      <w:r>
        <w:rPr>
          <w:rFonts w:hint="eastAsia" w:ascii="宋体" w:hAnsi="宋体" w:eastAsia="宋体" w:cs="宋体"/>
          <w:b w:val="0"/>
          <w:bCs w:val="0"/>
          <w:color w:val="000000" w:themeColor="text1"/>
          <w:kern w:val="0"/>
          <w:sz w:val="28"/>
          <w:szCs w:val="28"/>
          <w:lang w:val="en-US" w:eastAsia="zh-CN" w:bidi="ar"/>
          <w14:textFill>
            <w14:solidFill>
              <w14:schemeClr w14:val="tx1"/>
            </w14:solidFill>
          </w14:textFill>
        </w:rPr>
        <w:t xml:space="preserve"> kg/m</w:t>
      </w:r>
      <w:r>
        <w:rPr>
          <w:rFonts w:hint="eastAsia" w:ascii="宋体" w:hAnsi="宋体" w:eastAsia="宋体" w:cs="宋体"/>
          <w:b w:val="0"/>
          <w:bCs w:val="0"/>
          <w:color w:val="000000" w:themeColor="text1"/>
          <w:kern w:val="0"/>
          <w:sz w:val="28"/>
          <w:szCs w:val="28"/>
          <w:vertAlign w:val="superscript"/>
          <w:lang w:val="en-US" w:eastAsia="zh-CN" w:bidi="ar"/>
          <w14:textFill>
            <w14:solidFill>
              <w14:schemeClr w14:val="tx1"/>
            </w14:solidFill>
          </w14:textFill>
        </w:rPr>
        <w:t>3</w:t>
      </w:r>
      <w:r>
        <w:rPr>
          <w:rFonts w:hint="eastAsia" w:ascii="宋体" w:hAnsi="宋体" w:eastAsia="宋体" w:cs="宋体"/>
          <w:bCs/>
          <w:color w:val="000000" w:themeColor="text1"/>
          <w:sz w:val="28"/>
          <w:szCs w:val="28"/>
          <w:lang w:val="en-US" w:eastAsia="zh-CN"/>
          <w14:textFill>
            <w14:solidFill>
              <w14:schemeClr w14:val="tx1"/>
            </w14:solidFill>
          </w14:textFill>
        </w:rPr>
        <w:t>），不作存储</w:t>
      </w:r>
      <w:r>
        <w:rPr>
          <w:rFonts w:hint="eastAsia" w:ascii="宋体" w:hAnsi="宋体" w:eastAsia="宋体" w:cs="宋体"/>
          <w:bCs/>
          <w:color w:val="000000" w:themeColor="text1"/>
          <w:sz w:val="28"/>
          <w:szCs w:val="28"/>
          <w:lang w:eastAsia="zh-CN"/>
          <w14:textFill>
            <w14:solidFill>
              <w14:schemeClr w14:val="tx1"/>
            </w14:solidFill>
          </w14:textFill>
        </w:rPr>
        <w:t>。</w:t>
      </w:r>
    </w:p>
    <w:p w14:paraId="5B74CA9B">
      <w:pPr>
        <w:overflowPunct w:val="0"/>
        <w:adjustRightInd w:val="0"/>
        <w:snapToGrid w:val="0"/>
        <w:spacing w:line="500" w:lineRule="exact"/>
        <w:jc w:val="center"/>
        <w:rPr>
          <w:rFonts w:hint="eastAsia"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表</w:t>
      </w:r>
      <w:r>
        <w:rPr>
          <w:rFonts w:hint="eastAsia" w:ascii="宋体" w:hAnsi="宋体" w:eastAsia="宋体" w:cs="宋体"/>
          <w:b/>
          <w:bCs/>
          <w:color w:val="000000" w:themeColor="text1"/>
          <w:sz w:val="24"/>
          <w:lang w:val="en-US" w:eastAsia="zh-CN"/>
          <w14:textFill>
            <w14:solidFill>
              <w14:schemeClr w14:val="tx1"/>
            </w14:solidFill>
          </w14:textFill>
        </w:rPr>
        <w:t xml:space="preserve">3-9 </w:t>
      </w:r>
      <w:r>
        <w:rPr>
          <w:rFonts w:hint="eastAsia" w:ascii="宋体" w:hAnsi="宋体" w:eastAsia="宋体" w:cs="宋体"/>
          <w:b/>
          <w:bCs/>
          <w:color w:val="000000" w:themeColor="text1"/>
          <w:sz w:val="24"/>
          <w14:textFill>
            <w14:solidFill>
              <w14:schemeClr w14:val="tx1"/>
            </w14:solidFill>
          </w14:textFill>
        </w:rPr>
        <w:t>危险化学品重大危险源计算表</w:t>
      </w:r>
    </w:p>
    <w:tbl>
      <w:tblPr>
        <w:tblStyle w:val="24"/>
        <w:tblW w:w="5230" w:type="pct"/>
        <w:tblInd w:w="-2" w:type="dxa"/>
        <w:tblLayout w:type="autofit"/>
        <w:tblCellMar>
          <w:top w:w="0" w:type="dxa"/>
          <w:left w:w="0" w:type="dxa"/>
          <w:bottom w:w="0" w:type="dxa"/>
          <w:right w:w="0" w:type="dxa"/>
        </w:tblCellMar>
      </w:tblPr>
      <w:tblGrid>
        <w:gridCol w:w="472"/>
        <w:gridCol w:w="945"/>
        <w:gridCol w:w="1498"/>
        <w:gridCol w:w="1900"/>
        <w:gridCol w:w="1683"/>
        <w:gridCol w:w="2122"/>
        <w:gridCol w:w="998"/>
      </w:tblGrid>
      <w:tr w14:paraId="4E63D126">
        <w:tblPrEx>
          <w:tblCellMar>
            <w:top w:w="0" w:type="dxa"/>
            <w:left w:w="0" w:type="dxa"/>
            <w:bottom w:w="0" w:type="dxa"/>
            <w:right w:w="0" w:type="dxa"/>
          </w:tblCellMar>
        </w:tblPrEx>
        <w:trPr>
          <w:cantSplit/>
          <w:trHeight w:val="804" w:hRule="atLeast"/>
          <w:tblHeader/>
        </w:trPr>
        <w:tc>
          <w:tcPr>
            <w:tcW w:w="247" w:type="pct"/>
            <w:tcBorders>
              <w:top w:val="single" w:color="000000" w:sz="4" w:space="0"/>
              <w:left w:val="single" w:color="000000" w:sz="4" w:space="0"/>
              <w:bottom w:val="single" w:color="000000" w:sz="4" w:space="0"/>
              <w:right w:val="single" w:color="000000" w:sz="4" w:space="0"/>
            </w:tcBorders>
            <w:noWrap/>
            <w:vAlign w:val="center"/>
          </w:tcPr>
          <w:p w14:paraId="42AD04EE">
            <w:pPr>
              <w:pStyle w:val="43"/>
              <w:overflowPunct w:val="0"/>
              <w:adjustRightInd w:val="0"/>
              <w:snapToGrid w:val="0"/>
              <w:spacing w:line="300" w:lineRule="exact"/>
              <w:ind w:left="0" w:leftChars="0"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b/>
                <w:bCs/>
                <w:color w:val="000000" w:themeColor="text1"/>
                <w:sz w:val="21"/>
                <w14:textFill>
                  <w14:solidFill>
                    <w14:schemeClr w14:val="tx1"/>
                  </w14:solidFill>
                </w14:textFill>
              </w:rPr>
              <w:t>序号</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10F28B1C">
            <w:pPr>
              <w:pStyle w:val="43"/>
              <w:overflowPunct w:val="0"/>
              <w:adjustRightInd w:val="0"/>
              <w:snapToGrid w:val="0"/>
              <w:spacing w:line="300" w:lineRule="exact"/>
              <w:ind w:left="0" w:leftChars="0"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b/>
                <w:bCs/>
                <w:color w:val="000000" w:themeColor="text1"/>
                <w:sz w:val="21"/>
                <w14:textFill>
                  <w14:solidFill>
                    <w14:schemeClr w14:val="tx1"/>
                  </w14:solidFill>
                </w14:textFill>
              </w:rPr>
              <w:t>物质名称</w:t>
            </w:r>
          </w:p>
        </w:tc>
        <w:tc>
          <w:tcPr>
            <w:tcW w:w="780" w:type="pct"/>
            <w:tcBorders>
              <w:top w:val="single" w:color="000000" w:sz="4" w:space="0"/>
              <w:left w:val="single" w:color="000000" w:sz="4" w:space="0"/>
              <w:bottom w:val="single" w:color="000000" w:sz="4" w:space="0"/>
              <w:right w:val="single" w:color="000000" w:sz="4" w:space="0"/>
            </w:tcBorders>
            <w:noWrap/>
            <w:vAlign w:val="center"/>
          </w:tcPr>
          <w:p w14:paraId="4DF6A574">
            <w:pPr>
              <w:pStyle w:val="43"/>
              <w:overflowPunct w:val="0"/>
              <w:adjustRightInd w:val="0"/>
              <w:snapToGrid w:val="0"/>
              <w:spacing w:line="300" w:lineRule="exact"/>
              <w:ind w:left="0" w:leftChars="0"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b/>
                <w:bCs/>
                <w:color w:val="000000" w:themeColor="text1"/>
                <w:sz w:val="21"/>
                <w14:textFill>
                  <w14:solidFill>
                    <w14:schemeClr w14:val="tx1"/>
                  </w14:solidFill>
                </w14:textFill>
              </w:rPr>
              <w:t>临界量Q（t）</w:t>
            </w:r>
          </w:p>
        </w:tc>
        <w:tc>
          <w:tcPr>
            <w:tcW w:w="976" w:type="pct"/>
            <w:tcBorders>
              <w:top w:val="single" w:color="000000" w:sz="4" w:space="0"/>
              <w:left w:val="single" w:color="000000" w:sz="4" w:space="0"/>
              <w:bottom w:val="single" w:color="000000" w:sz="4" w:space="0"/>
              <w:right w:val="single" w:color="000000" w:sz="4" w:space="0"/>
            </w:tcBorders>
            <w:noWrap/>
            <w:vAlign w:val="center"/>
          </w:tcPr>
          <w:p w14:paraId="614725C4">
            <w:pPr>
              <w:pStyle w:val="43"/>
              <w:overflowPunct w:val="0"/>
              <w:adjustRightInd w:val="0"/>
              <w:snapToGrid w:val="0"/>
              <w:spacing w:line="300" w:lineRule="exact"/>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b/>
                <w:bCs/>
                <w:color w:val="000000" w:themeColor="text1"/>
                <w:sz w:val="21"/>
                <w:lang w:eastAsia="zh-CN"/>
                <w14:textFill>
                  <w14:solidFill>
                    <w14:schemeClr w14:val="tx1"/>
                  </w14:solidFill>
                </w14:textFill>
              </w:rPr>
              <w:t>实际存在量</w:t>
            </w:r>
            <w:r>
              <w:rPr>
                <w:rFonts w:hint="default" w:ascii="Times New Roman" w:hAnsi="Times New Roman" w:cs="Times New Roman"/>
                <w:b/>
                <w:bCs/>
                <w:color w:val="000000" w:themeColor="text1"/>
                <w:spacing w:val="-104"/>
                <w:sz w:val="21"/>
                <w14:textFill>
                  <w14:solidFill>
                    <w14:schemeClr w14:val="tx1"/>
                  </w14:solidFill>
                </w14:textFill>
              </w:rPr>
              <w:t>q</w:t>
            </w:r>
            <w:r>
              <w:rPr>
                <w:rFonts w:hint="default" w:ascii="Times New Roman" w:hAnsi="Times New Roman" w:cs="Times New Roman"/>
                <w:b/>
                <w:bCs/>
                <w:color w:val="000000" w:themeColor="text1"/>
                <w:spacing w:val="2"/>
                <w:sz w:val="21"/>
                <w14:textFill>
                  <w14:solidFill>
                    <w14:schemeClr w14:val="tx1"/>
                  </w14:solidFill>
                </w14:textFill>
              </w:rPr>
              <w:t>（</w:t>
            </w:r>
            <w:r>
              <w:rPr>
                <w:rFonts w:hint="default" w:ascii="Times New Roman" w:hAnsi="Times New Roman" w:cs="Times New Roman"/>
                <w:b/>
                <w:bCs/>
                <w:color w:val="000000" w:themeColor="text1"/>
                <w:spacing w:val="-4"/>
                <w:sz w:val="21"/>
                <w14:textFill>
                  <w14:solidFill>
                    <w14:schemeClr w14:val="tx1"/>
                  </w14:solidFill>
                </w14:textFill>
              </w:rPr>
              <w:t>t</w:t>
            </w:r>
            <w:r>
              <w:rPr>
                <w:rFonts w:hint="default" w:ascii="Times New Roman" w:hAnsi="Times New Roman" w:cs="Times New Roman"/>
                <w:b/>
                <w:bCs/>
                <w:color w:val="000000" w:themeColor="text1"/>
                <w:sz w:val="21"/>
                <w14:textFill>
                  <w14:solidFill>
                    <w14:schemeClr w14:val="tx1"/>
                  </w14:solidFill>
                </w14:textFill>
              </w:rPr>
              <w:t>）</w:t>
            </w:r>
          </w:p>
        </w:tc>
        <w:tc>
          <w:tcPr>
            <w:tcW w:w="8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48FFE">
            <w:pPr>
              <w:snapToGrid w:val="0"/>
              <w:spacing w:line="276" w:lineRule="auto"/>
              <w:contextualSpacing/>
              <w:jc w:val="center"/>
              <w:rPr>
                <w:rFonts w:hint="default" w:ascii="Times New Roman" w:hAnsi="Times New Roman" w:eastAsia="宋体" w:cs="Times New Roman"/>
                <w:b/>
                <w:color w:val="000000" w:themeColor="text1"/>
                <w:sz w:val="24"/>
                <w:szCs w:val="21"/>
                <w:lang w:val="en-US" w:eastAsia="zh-CN" w:bidi="ar-SA"/>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S=q/Q</w:t>
            </w:r>
          </w:p>
        </w:tc>
        <w:tc>
          <w:tcPr>
            <w:tcW w:w="1104" w:type="pct"/>
            <w:tcBorders>
              <w:top w:val="single" w:color="000000" w:sz="4" w:space="0"/>
              <w:left w:val="single" w:color="000000" w:sz="4" w:space="0"/>
              <w:bottom w:val="single" w:color="000000" w:sz="4" w:space="0"/>
              <w:right w:val="single" w:color="000000" w:sz="4" w:space="0"/>
            </w:tcBorders>
            <w:noWrap/>
            <w:vAlign w:val="center"/>
          </w:tcPr>
          <w:p w14:paraId="3949613D">
            <w:pPr>
              <w:pStyle w:val="43"/>
              <w:overflowPunct w:val="0"/>
              <w:adjustRightInd w:val="0"/>
              <w:snapToGrid w:val="0"/>
              <w:spacing w:line="300" w:lineRule="exact"/>
              <w:ind w:left="0" w:leftChars="0" w:firstLine="0" w:firstLineChars="0"/>
              <w:jc w:val="center"/>
              <w:rPr>
                <w:rFonts w:hint="default" w:ascii="Times New Roman" w:hAnsi="Times New Roman" w:cs="Times New Roman"/>
                <w:color w:val="000000" w:themeColor="text1"/>
                <w:sz w:val="21"/>
                <w:lang w:eastAsia="zh-CN"/>
                <w14:textFill>
                  <w14:solidFill>
                    <w14:schemeClr w14:val="tx1"/>
                  </w14:solidFill>
                </w14:textFill>
              </w:rPr>
            </w:pPr>
            <w:r>
              <w:rPr>
                <w:rFonts w:hint="default" w:ascii="Times New Roman" w:hAnsi="Times New Roman" w:cs="Times New Roman"/>
                <w:b/>
                <w:color w:val="000000" w:themeColor="text1"/>
                <w:sz w:val="21"/>
                <w:lang w:eastAsia="zh-CN"/>
                <w14:textFill>
                  <w14:solidFill>
                    <w14:schemeClr w14:val="tx1"/>
                  </w14:solidFill>
                </w14:textFill>
              </w:rPr>
              <w:t>是否构成重大危险源</w:t>
            </w:r>
          </w:p>
        </w:tc>
        <w:tc>
          <w:tcPr>
            <w:tcW w:w="520" w:type="pct"/>
            <w:tcBorders>
              <w:top w:val="single" w:color="000000" w:sz="4" w:space="0"/>
              <w:left w:val="single" w:color="000000" w:sz="4" w:space="0"/>
              <w:bottom w:val="single" w:color="000000" w:sz="4" w:space="0"/>
              <w:right w:val="single" w:color="000000" w:sz="4" w:space="0"/>
            </w:tcBorders>
            <w:noWrap/>
            <w:vAlign w:val="center"/>
          </w:tcPr>
          <w:p w14:paraId="299A8160">
            <w:pPr>
              <w:pStyle w:val="43"/>
              <w:overflowPunct w:val="0"/>
              <w:adjustRightInd w:val="0"/>
              <w:snapToGrid w:val="0"/>
              <w:spacing w:line="300" w:lineRule="exact"/>
              <w:ind w:left="0" w:leftChars="0" w:firstLine="0" w:firstLineChars="0"/>
              <w:jc w:val="center"/>
              <w:rPr>
                <w:rFonts w:hint="default" w:ascii="Times New Roman" w:hAnsi="Times New Roman" w:cs="Times New Roman"/>
                <w:b/>
                <w:bCs/>
                <w:color w:val="000000" w:themeColor="text1"/>
                <w:sz w:val="21"/>
                <w:lang w:eastAsia="zh-CN"/>
                <w14:textFill>
                  <w14:solidFill>
                    <w14:schemeClr w14:val="tx1"/>
                  </w14:solidFill>
                </w14:textFill>
              </w:rPr>
            </w:pPr>
            <w:r>
              <w:rPr>
                <w:rFonts w:hint="default" w:ascii="Times New Roman" w:hAnsi="Times New Roman" w:cs="Times New Roman"/>
                <w:b/>
                <w:bCs/>
                <w:color w:val="000000" w:themeColor="text1"/>
                <w:sz w:val="21"/>
                <w:lang w:eastAsia="zh-CN"/>
                <w14:textFill>
                  <w14:solidFill>
                    <w14:schemeClr w14:val="tx1"/>
                  </w14:solidFill>
                </w14:textFill>
              </w:rPr>
              <w:t>备注</w:t>
            </w:r>
          </w:p>
        </w:tc>
      </w:tr>
      <w:tr w14:paraId="2941A8B0">
        <w:tblPrEx>
          <w:tblCellMar>
            <w:top w:w="0" w:type="dxa"/>
            <w:left w:w="0" w:type="dxa"/>
            <w:bottom w:w="0" w:type="dxa"/>
            <w:right w:w="0" w:type="dxa"/>
          </w:tblCellMar>
        </w:tblPrEx>
        <w:trPr>
          <w:cantSplit/>
          <w:trHeight w:val="454" w:hRule="atLeast"/>
        </w:trPr>
        <w:tc>
          <w:tcPr>
            <w:tcW w:w="247" w:type="pct"/>
            <w:tcBorders>
              <w:top w:val="single" w:color="000000" w:sz="4" w:space="0"/>
              <w:left w:val="single" w:color="000000" w:sz="4" w:space="0"/>
              <w:bottom w:val="single" w:color="000000" w:sz="4" w:space="0"/>
              <w:right w:val="single" w:color="000000" w:sz="4" w:space="0"/>
            </w:tcBorders>
            <w:noWrap/>
            <w:vAlign w:val="center"/>
          </w:tcPr>
          <w:p w14:paraId="27DD2A3C">
            <w:pPr>
              <w:pStyle w:val="43"/>
              <w:overflowPunct w:val="0"/>
              <w:adjustRightInd w:val="0"/>
              <w:snapToGrid w:val="0"/>
              <w:spacing w:line="300" w:lineRule="exact"/>
              <w:ind w:left="0" w:leftChars="0" w:firstLine="0" w:firstLineChars="0"/>
              <w:jc w:val="center"/>
              <w:rPr>
                <w:rFonts w:hint="default" w:ascii="宋体" w:hAnsi="宋体" w:eastAsia="宋体" w:cs="宋体"/>
                <w:color w:val="000000" w:themeColor="text1"/>
                <w:sz w:val="21"/>
                <w:lang w:val="en-US" w:eastAsia="zh-CN"/>
                <w14:textFill>
                  <w14:solidFill>
                    <w14:schemeClr w14:val="tx1"/>
                  </w14:solidFill>
                </w14:textFill>
              </w:rPr>
            </w:pPr>
            <w:r>
              <w:rPr>
                <w:rFonts w:hint="eastAsia" w:ascii="宋体" w:hAnsi="宋体" w:cs="宋体"/>
                <w:color w:val="000000" w:themeColor="text1"/>
                <w:sz w:val="21"/>
                <w:lang w:val="en-US" w:eastAsia="zh-CN"/>
                <w14:textFill>
                  <w14:solidFill>
                    <w14:schemeClr w14:val="tx1"/>
                  </w14:solidFill>
                </w14:textFill>
              </w:rPr>
              <w:t>1</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2AEBB775">
            <w:pPr>
              <w:pStyle w:val="43"/>
              <w:overflowPunct w:val="0"/>
              <w:adjustRightInd w:val="0"/>
              <w:snapToGrid w:val="0"/>
              <w:spacing w:line="300" w:lineRule="exact"/>
              <w:ind w:left="0" w:leftChars="0" w:firstLine="0" w:firstLineChars="0"/>
              <w:jc w:val="center"/>
              <w:rPr>
                <w:rFonts w:hint="default" w:ascii="宋体" w:hAnsi="宋体" w:eastAsia="宋体" w:cs="宋体"/>
                <w:color w:val="000000" w:themeColor="text1"/>
                <w:sz w:val="21"/>
                <w:lang w:val="en-US" w:eastAsia="zh-CN"/>
                <w14:textFill>
                  <w14:solidFill>
                    <w14:schemeClr w14:val="tx1"/>
                  </w14:solidFill>
                </w14:textFill>
              </w:rPr>
            </w:pPr>
            <w:r>
              <w:rPr>
                <w:rFonts w:hint="eastAsia" w:ascii="宋体" w:hAnsi="宋体" w:eastAsia="宋体" w:cs="宋体"/>
                <w:color w:val="000000" w:themeColor="text1"/>
                <w:sz w:val="21"/>
                <w:lang w:val="en-US" w:eastAsia="zh-CN"/>
                <w14:textFill>
                  <w14:solidFill>
                    <w14:schemeClr w14:val="tx1"/>
                  </w14:solidFill>
                </w14:textFill>
              </w:rPr>
              <w:t>柴油</w:t>
            </w:r>
          </w:p>
        </w:tc>
        <w:tc>
          <w:tcPr>
            <w:tcW w:w="780" w:type="pct"/>
            <w:tcBorders>
              <w:top w:val="single" w:color="000000" w:sz="4" w:space="0"/>
              <w:left w:val="single" w:color="000000" w:sz="4" w:space="0"/>
              <w:bottom w:val="single" w:color="000000" w:sz="4" w:space="0"/>
              <w:right w:val="single" w:color="000000" w:sz="4" w:space="0"/>
            </w:tcBorders>
            <w:noWrap/>
            <w:vAlign w:val="center"/>
          </w:tcPr>
          <w:p w14:paraId="0A610847">
            <w:pPr>
              <w:pStyle w:val="43"/>
              <w:overflowPunct w:val="0"/>
              <w:adjustRightInd w:val="0"/>
              <w:snapToGrid w:val="0"/>
              <w:spacing w:line="300" w:lineRule="exact"/>
              <w:ind w:left="0" w:leftChars="0" w:firstLine="0" w:firstLineChars="0"/>
              <w:jc w:val="center"/>
              <w:rPr>
                <w:rFonts w:hint="default" w:ascii="宋体" w:hAnsi="宋体" w:eastAsia="宋体" w:cs="宋体"/>
                <w:color w:val="000000" w:themeColor="text1"/>
                <w:sz w:val="21"/>
                <w:lang w:val="en-US" w:eastAsia="zh-CN"/>
                <w14:textFill>
                  <w14:solidFill>
                    <w14:schemeClr w14:val="tx1"/>
                  </w14:solidFill>
                </w14:textFill>
              </w:rPr>
            </w:pPr>
            <w:r>
              <w:rPr>
                <w:rFonts w:hint="eastAsia" w:ascii="宋体" w:hAnsi="宋体" w:eastAsia="宋体" w:cs="宋体"/>
                <w:color w:val="000000" w:themeColor="text1"/>
                <w:sz w:val="21"/>
                <w:lang w:val="en-US" w:eastAsia="zh-CN"/>
                <w14:textFill>
                  <w14:solidFill>
                    <w14:schemeClr w14:val="tx1"/>
                  </w14:solidFill>
                </w14:textFill>
              </w:rPr>
              <w:t>5000</w:t>
            </w:r>
          </w:p>
        </w:tc>
        <w:tc>
          <w:tcPr>
            <w:tcW w:w="976" w:type="pct"/>
            <w:tcBorders>
              <w:top w:val="single" w:color="000000" w:sz="4" w:space="0"/>
              <w:left w:val="single" w:color="000000" w:sz="4" w:space="0"/>
              <w:bottom w:val="single" w:color="000000" w:sz="4" w:space="0"/>
              <w:right w:val="single" w:color="000000" w:sz="4" w:space="0"/>
            </w:tcBorders>
            <w:noWrap/>
            <w:vAlign w:val="center"/>
          </w:tcPr>
          <w:p w14:paraId="39095EC7">
            <w:pPr>
              <w:pStyle w:val="43"/>
              <w:overflowPunct w:val="0"/>
              <w:adjustRightInd w:val="0"/>
              <w:snapToGrid w:val="0"/>
              <w:spacing w:line="300" w:lineRule="exact"/>
              <w:ind w:left="0" w:leftChars="0" w:firstLine="0" w:firstLineChars="0"/>
              <w:jc w:val="center"/>
              <w:rPr>
                <w:rFonts w:hint="eastAsia" w:ascii="宋体" w:hAnsi="宋体" w:eastAsia="宋体" w:cs="宋体"/>
                <w:color w:val="000000" w:themeColor="text1"/>
                <w:sz w:val="21"/>
                <w:lang w:eastAsia="zh-CN"/>
                <w14:textFill>
                  <w14:solidFill>
                    <w14:schemeClr w14:val="tx1"/>
                  </w14:solidFill>
                </w14:textFill>
              </w:rPr>
            </w:pPr>
            <w:r>
              <w:rPr>
                <w:rFonts w:hint="eastAsia" w:ascii="宋体" w:hAnsi="宋体" w:cs="宋体"/>
                <w:color w:val="000000" w:themeColor="text1"/>
                <w:sz w:val="21"/>
                <w:lang w:val="en-US" w:eastAsia="zh-CN"/>
                <w14:textFill>
                  <w14:solidFill>
                    <w14:schemeClr w14:val="tx1"/>
                  </w14:solidFill>
                </w14:textFill>
              </w:rPr>
              <w:t>0.01</w:t>
            </w:r>
            <w:r>
              <w:rPr>
                <w:rFonts w:hint="eastAsia" w:ascii="宋体" w:hAnsi="宋体" w:eastAsia="宋体" w:cs="宋体"/>
                <w:color w:val="000000" w:themeColor="text1"/>
                <w:sz w:val="21"/>
                <w:lang w:eastAsia="zh-CN"/>
                <w14:textFill>
                  <w14:solidFill>
                    <w14:schemeClr w14:val="tx1"/>
                  </w14:solidFill>
                </w14:textFill>
              </w:rPr>
              <w:t>×0.</w:t>
            </w:r>
            <w:r>
              <w:rPr>
                <w:rFonts w:hint="eastAsia" w:ascii="宋体" w:hAnsi="宋体" w:cs="宋体"/>
                <w:color w:val="000000" w:themeColor="text1"/>
                <w:sz w:val="21"/>
                <w:lang w:val="en-US" w:eastAsia="zh-CN"/>
                <w14:textFill>
                  <w14:solidFill>
                    <w14:schemeClr w14:val="tx1"/>
                  </w14:solidFill>
                </w14:textFill>
              </w:rPr>
              <w:t>85</w:t>
            </w:r>
            <w:r>
              <w:rPr>
                <w:rFonts w:hint="eastAsia" w:ascii="宋体" w:hAnsi="宋体" w:eastAsia="宋体" w:cs="宋体"/>
                <w:color w:val="000000" w:themeColor="text1"/>
                <w:sz w:val="21"/>
                <w:lang w:eastAsia="zh-CN"/>
                <w14:textFill>
                  <w14:solidFill>
                    <w14:schemeClr w14:val="tx1"/>
                  </w14:solidFill>
                </w14:textFill>
              </w:rPr>
              <w:t>=0.0</w:t>
            </w:r>
            <w:r>
              <w:rPr>
                <w:rFonts w:hint="eastAsia" w:ascii="宋体" w:hAnsi="宋体" w:cs="宋体"/>
                <w:color w:val="000000" w:themeColor="text1"/>
                <w:sz w:val="21"/>
                <w:lang w:val="en-US" w:eastAsia="zh-CN"/>
                <w14:textFill>
                  <w14:solidFill>
                    <w14:schemeClr w14:val="tx1"/>
                  </w14:solidFill>
                </w14:textFill>
              </w:rPr>
              <w:t>085</w:t>
            </w:r>
            <w:r>
              <w:rPr>
                <w:rFonts w:hint="eastAsia" w:ascii="宋体" w:hAnsi="宋体" w:eastAsia="宋体" w:cs="宋体"/>
                <w:color w:val="000000" w:themeColor="text1"/>
                <w:sz w:val="21"/>
                <w:lang w:eastAsia="zh-CN"/>
                <w14:textFill>
                  <w14:solidFill>
                    <w14:schemeClr w14:val="tx1"/>
                  </w14:solidFill>
                </w14:textFill>
              </w:rPr>
              <w:t>t</w:t>
            </w:r>
          </w:p>
        </w:tc>
        <w:tc>
          <w:tcPr>
            <w:tcW w:w="876" w:type="pct"/>
            <w:tcBorders>
              <w:top w:val="single" w:color="000000" w:sz="4" w:space="0"/>
              <w:left w:val="single" w:color="000000" w:sz="4" w:space="0"/>
              <w:bottom w:val="single" w:color="000000" w:sz="4" w:space="0"/>
              <w:right w:val="single" w:color="000000" w:sz="4" w:space="0"/>
            </w:tcBorders>
            <w:noWrap/>
            <w:vAlign w:val="center"/>
          </w:tcPr>
          <w:p w14:paraId="082AABBF">
            <w:pPr>
              <w:pStyle w:val="43"/>
              <w:overflowPunct w:val="0"/>
              <w:adjustRightInd w:val="0"/>
              <w:snapToGrid w:val="0"/>
              <w:spacing w:line="300" w:lineRule="exact"/>
              <w:jc w:val="center"/>
              <w:rPr>
                <w:rFonts w:hint="default" w:ascii="宋体" w:hAnsi="宋体" w:eastAsia="宋体" w:cs="宋体"/>
                <w:color w:val="000000" w:themeColor="text1"/>
                <w:sz w:val="21"/>
                <w:lang w:val="en-US" w:eastAsia="zh-CN"/>
                <w14:textFill>
                  <w14:solidFill>
                    <w14:schemeClr w14:val="tx1"/>
                  </w14:solidFill>
                </w14:textFill>
              </w:rPr>
            </w:pPr>
            <w:r>
              <w:rPr>
                <w:rFonts w:hint="eastAsia" w:ascii="宋体" w:hAnsi="宋体" w:cs="宋体"/>
                <w:color w:val="000000" w:themeColor="text1"/>
                <w:sz w:val="21"/>
                <w:lang w:val="en-US" w:eastAsia="zh-CN"/>
                <w14:textFill>
                  <w14:solidFill>
                    <w14:schemeClr w14:val="tx1"/>
                  </w14:solidFill>
                </w14:textFill>
              </w:rPr>
              <w:t>0.0000017</w:t>
            </w:r>
          </w:p>
        </w:tc>
        <w:tc>
          <w:tcPr>
            <w:tcW w:w="1104" w:type="pct"/>
            <w:tcBorders>
              <w:top w:val="single" w:color="000000" w:sz="4" w:space="0"/>
              <w:left w:val="single" w:color="000000" w:sz="4" w:space="0"/>
              <w:bottom w:val="single" w:color="000000" w:sz="4" w:space="0"/>
              <w:right w:val="single" w:color="000000" w:sz="4" w:space="0"/>
            </w:tcBorders>
            <w:noWrap/>
            <w:vAlign w:val="center"/>
          </w:tcPr>
          <w:p w14:paraId="3C8E4D2B">
            <w:pPr>
              <w:pStyle w:val="43"/>
              <w:overflowPunct w:val="0"/>
              <w:adjustRightInd w:val="0"/>
              <w:snapToGrid w:val="0"/>
              <w:spacing w:line="300" w:lineRule="exact"/>
              <w:jc w:val="center"/>
              <w:rPr>
                <w:rFonts w:hint="default" w:ascii="Times New Roman" w:hAnsi="Times New Roman" w:cs="Times New Roman"/>
                <w:color w:val="000000" w:themeColor="text1"/>
                <w:sz w:val="22"/>
                <w:lang w:eastAsia="en-US"/>
                <w14:textFill>
                  <w14:solidFill>
                    <w14:schemeClr w14:val="tx1"/>
                  </w14:solidFill>
                </w14:textFill>
              </w:rPr>
            </w:pPr>
            <w:r>
              <w:rPr>
                <w:rFonts w:hint="eastAsia" w:ascii="宋体" w:hAnsi="宋体" w:eastAsia="宋体" w:cs="宋体"/>
                <w:color w:val="000000" w:themeColor="text1"/>
                <w:sz w:val="21"/>
                <w:lang w:eastAsia="zh-CN"/>
                <w14:textFill>
                  <w14:solidFill>
                    <w14:schemeClr w14:val="tx1"/>
                  </w14:solidFill>
                </w14:textFill>
              </w:rPr>
              <w:t>否</w:t>
            </w:r>
          </w:p>
        </w:tc>
        <w:tc>
          <w:tcPr>
            <w:tcW w:w="520" w:type="pct"/>
            <w:tcBorders>
              <w:top w:val="single" w:color="000000" w:sz="4" w:space="0"/>
              <w:left w:val="single" w:color="000000" w:sz="4" w:space="0"/>
              <w:bottom w:val="single" w:color="000000" w:sz="4" w:space="0"/>
              <w:right w:val="single" w:color="000000" w:sz="4" w:space="0"/>
            </w:tcBorders>
            <w:noWrap/>
            <w:vAlign w:val="center"/>
          </w:tcPr>
          <w:p w14:paraId="2760B818">
            <w:pPr>
              <w:overflowPunct w:val="0"/>
              <w:adjustRightInd w:val="0"/>
              <w:snapToGrid w:val="0"/>
              <w:spacing w:line="300" w:lineRule="exact"/>
              <w:jc w:val="center"/>
              <w:rPr>
                <w:rFonts w:hint="default" w:ascii="Times New Roman" w:hAnsi="Times New Roman" w:cs="Times New Roman"/>
                <w:color w:val="000000" w:themeColor="text1"/>
                <w:sz w:val="22"/>
                <w:lang w:eastAsia="en-US"/>
                <w14:textFill>
                  <w14:solidFill>
                    <w14:schemeClr w14:val="tx1"/>
                  </w14:solidFill>
                </w14:textFill>
              </w:rPr>
            </w:pPr>
          </w:p>
        </w:tc>
      </w:tr>
    </w:tbl>
    <w:p w14:paraId="0672A745">
      <w:pPr>
        <w:adjustRightInd w:val="0"/>
        <w:snapToGrid w:val="0"/>
        <w:spacing w:line="500" w:lineRule="exact"/>
        <w:contextualSpacing/>
        <w:rPr>
          <w:rFonts w:hint="eastAsia" w:ascii="宋体" w:hAnsi="宋体" w:eastAsia="宋体" w:cs="宋体"/>
          <w:bCs/>
          <w:color w:val="000000" w:themeColor="text1"/>
          <w:sz w:val="28"/>
          <w:szCs w:val="28"/>
          <w:lang w:eastAsia="zh-CN"/>
          <w14:textFill>
            <w14:solidFill>
              <w14:schemeClr w14:val="tx1"/>
            </w14:solidFill>
          </w14:textFill>
        </w:rPr>
      </w:pPr>
      <w:r>
        <w:rPr>
          <w:rFonts w:ascii="Times New Roman" w:hAnsi="Times New Roman"/>
          <w:b/>
          <w:sz w:val="28"/>
          <w:szCs w:val="28"/>
        </w:rPr>
        <w:t>辨识结果：</w:t>
      </w:r>
      <w:r>
        <w:rPr>
          <w:rFonts w:hint="eastAsia" w:ascii="宋体" w:hAnsi="宋体"/>
          <w:bCs/>
          <w:color w:val="000000"/>
          <w:spacing w:val="8"/>
          <w:sz w:val="28"/>
          <w:szCs w:val="28"/>
        </w:rPr>
        <w:t>企业涉及的危险化学品</w:t>
      </w:r>
      <w:r>
        <w:rPr>
          <w:rFonts w:hint="default" w:ascii="Times New Roman" w:hAnsi="Times New Roman" w:cs="Times New Roman"/>
          <w:color w:val="000000" w:themeColor="text1"/>
          <w:sz w:val="28"/>
          <w:szCs w:val="28"/>
          <w14:textFill>
            <w14:solidFill>
              <w14:schemeClr w14:val="tx1"/>
            </w14:solidFill>
          </w14:textFill>
        </w:rPr>
        <w:t>S＜1</w:t>
      </w:r>
      <w:r>
        <w:rPr>
          <w:rFonts w:hint="eastAsia" w:ascii="Times New Roman" w:hAnsi="Times New Roman" w:cs="Times New Roman"/>
          <w:color w:val="000000" w:themeColor="text1"/>
          <w:sz w:val="28"/>
          <w:szCs w:val="28"/>
          <w:lang w:eastAsia="zh-CN"/>
          <w14:textFill>
            <w14:solidFill>
              <w14:schemeClr w14:val="tx1"/>
            </w14:solidFill>
          </w14:textFill>
        </w:rPr>
        <w:t>，</w:t>
      </w:r>
      <w:r>
        <w:rPr>
          <w:rFonts w:hint="eastAsia" w:ascii="Times New Roman" w:hAnsi="Times New Roman" w:cs="Times New Roman"/>
          <w:color w:val="000000" w:themeColor="text1"/>
          <w:sz w:val="28"/>
          <w:szCs w:val="28"/>
          <w:lang w:val="en-US" w:eastAsia="zh-CN"/>
          <w14:textFill>
            <w14:solidFill>
              <w14:schemeClr w14:val="tx1"/>
            </w14:solidFill>
          </w14:textFill>
        </w:rPr>
        <w:t>故</w:t>
      </w:r>
      <w:r>
        <w:rPr>
          <w:rFonts w:hint="eastAsia" w:ascii="宋体" w:hAnsi="宋体"/>
          <w:bCs/>
          <w:color w:val="000000"/>
          <w:spacing w:val="8"/>
          <w:sz w:val="28"/>
          <w:szCs w:val="28"/>
        </w:rPr>
        <w:t>不构成重大危险源。</w:t>
      </w:r>
    </w:p>
    <w:p w14:paraId="4CE92AD7">
      <w:pPr>
        <w:pStyle w:val="5"/>
        <w:keepNext w:val="0"/>
        <w:keepLines w:val="0"/>
        <w:pageBreakBefore w:val="0"/>
        <w:widowControl w:val="0"/>
        <w:kinsoku/>
        <w:wordWrap/>
        <w:overflowPunct/>
        <w:topLinePunct w:val="0"/>
        <w:autoSpaceDE/>
        <w:autoSpaceDN/>
        <w:bidi w:val="0"/>
        <w:adjustRightInd/>
        <w:snapToGrid w:val="0"/>
        <w:spacing w:line="520" w:lineRule="exact"/>
        <w:ind w:firstLine="0" w:firstLineChars="0"/>
        <w:jc w:val="both"/>
        <w:textAlignment w:val="auto"/>
        <w:rPr>
          <w:rFonts w:hint="eastAsia" w:ascii="宋体" w:hAnsi="宋体" w:eastAsia="宋体" w:cs="宋体"/>
          <w:color w:val="000000" w:themeColor="text1"/>
          <w:kern w:val="0"/>
          <w14:textFill>
            <w14:solidFill>
              <w14:schemeClr w14:val="tx1"/>
            </w14:solidFill>
          </w14:textFill>
        </w:rPr>
      </w:pPr>
      <w:bookmarkStart w:id="511" w:name="_Toc360019845"/>
      <w:r>
        <w:rPr>
          <w:rFonts w:hint="eastAsia" w:ascii="宋体" w:hAnsi="宋体" w:eastAsia="宋体" w:cs="宋体"/>
          <w:color w:val="000000" w:themeColor="text1"/>
          <w:kern w:val="0"/>
          <w14:textFill>
            <w14:solidFill>
              <w14:schemeClr w14:val="tx1"/>
            </w14:solidFill>
          </w14:textFill>
        </w:rPr>
        <w:t>3.10.2.2重大危险源辨识</w:t>
      </w:r>
      <w:bookmarkEnd w:id="511"/>
      <w:r>
        <w:rPr>
          <w:rFonts w:hint="eastAsia" w:ascii="宋体" w:hAnsi="宋体" w:eastAsia="宋体" w:cs="宋体"/>
          <w:color w:val="000000" w:themeColor="text1"/>
          <w:kern w:val="0"/>
          <w14:textFill>
            <w14:solidFill>
              <w14:schemeClr w14:val="tx1"/>
            </w14:solidFill>
          </w14:textFill>
        </w:rPr>
        <w:t>结论</w:t>
      </w:r>
    </w:p>
    <w:p w14:paraId="79D20063">
      <w:pPr>
        <w:adjustRightInd w:val="0"/>
        <w:snapToGrid w:val="0"/>
        <w:spacing w:line="500" w:lineRule="exact"/>
        <w:ind w:firstLine="560" w:firstLineChars="200"/>
        <w:rPr>
          <w:rFonts w:hint="eastAsia" w:ascii="宋体" w:hAnsi="宋体" w:eastAsia="宋体" w:cs="宋体"/>
          <w:snapToGrid w:val="0"/>
          <w:color w:val="000000" w:themeColor="text1"/>
          <w:kern w:val="0"/>
          <w:sz w:val="28"/>
          <w:szCs w:val="28"/>
          <w14:textFill>
            <w14:solidFill>
              <w14:schemeClr w14:val="tx1"/>
            </w14:solidFill>
          </w14:textFill>
        </w:rPr>
      </w:pPr>
      <w:r>
        <w:rPr>
          <w:rFonts w:hint="eastAsia" w:ascii="宋体" w:hAnsi="宋体" w:eastAsia="宋体" w:cs="宋体"/>
          <w:color w:val="000000" w:themeColor="text1"/>
          <w:sz w:val="28"/>
          <w14:textFill>
            <w14:solidFill>
              <w14:schemeClr w14:val="tx1"/>
            </w14:solidFill>
          </w14:textFill>
        </w:rPr>
        <w:t>根据《危险化学品重大危险源辨识》（</w:t>
      </w:r>
      <w:r>
        <w:rPr>
          <w:rFonts w:hint="eastAsia" w:ascii="宋体" w:hAnsi="宋体" w:eastAsia="宋体" w:cs="宋体"/>
          <w:color w:val="000000" w:themeColor="text1"/>
          <w:sz w:val="28"/>
          <w:szCs w:val="28"/>
          <w14:textFill>
            <w14:solidFill>
              <w14:schemeClr w14:val="tx1"/>
            </w14:solidFill>
          </w14:textFill>
        </w:rPr>
        <w:t>GB 18218-2018），</w:t>
      </w:r>
      <w:r>
        <w:rPr>
          <w:rFonts w:hint="eastAsia" w:ascii="宋体" w:hAnsi="宋体" w:eastAsia="宋体" w:cs="宋体"/>
          <w:color w:val="000000" w:themeColor="text1"/>
          <w:sz w:val="28"/>
          <w:szCs w:val="28"/>
          <w:lang w:eastAsia="zh-CN"/>
          <w14:textFill>
            <w14:solidFill>
              <w14:schemeClr w14:val="tx1"/>
            </w14:solidFill>
          </w14:textFill>
        </w:rPr>
        <w:t>玉溪正宇智能科技有限公司</w:t>
      </w:r>
      <w:r>
        <w:rPr>
          <w:rFonts w:hint="eastAsia" w:ascii="宋体" w:hAnsi="宋体" w:eastAsia="宋体" w:cs="宋体"/>
          <w:color w:val="000000" w:themeColor="text1"/>
          <w:sz w:val="28"/>
          <w:szCs w:val="28"/>
          <w:lang w:val="en-US" w:eastAsia="zh-CN"/>
          <w14:textFill>
            <w14:solidFill>
              <w14:schemeClr w14:val="tx1"/>
            </w14:solidFill>
          </w14:textFill>
        </w:rPr>
        <w:t>安全现状评价</w:t>
      </w:r>
      <w:r>
        <w:rPr>
          <w:rFonts w:hint="eastAsia" w:ascii="宋体" w:hAnsi="宋体" w:eastAsia="宋体" w:cs="宋体"/>
          <w:color w:val="000000" w:themeColor="text1"/>
          <w:sz w:val="28"/>
          <w:szCs w:val="28"/>
          <w:lang w:eastAsia="zh-CN"/>
          <w14:textFill>
            <w14:solidFill>
              <w14:schemeClr w14:val="tx1"/>
            </w14:solidFill>
          </w14:textFill>
        </w:rPr>
        <w:t>项目</w:t>
      </w:r>
      <w:r>
        <w:rPr>
          <w:rFonts w:hint="eastAsia" w:ascii="宋体" w:hAnsi="宋体" w:eastAsia="宋体" w:cs="宋体"/>
          <w:color w:val="000000" w:themeColor="text1"/>
          <w:sz w:val="28"/>
          <w:szCs w:val="28"/>
          <w14:textFill>
            <w14:solidFill>
              <w14:schemeClr w14:val="tx1"/>
            </w14:solidFill>
          </w14:textFill>
        </w:rPr>
        <w:t>涉及</w:t>
      </w:r>
      <w:r>
        <w:rPr>
          <w:rFonts w:hint="eastAsia" w:ascii="宋体" w:hAnsi="宋体" w:eastAsia="宋体" w:cs="宋体"/>
          <w:color w:val="000000" w:themeColor="text1"/>
          <w:sz w:val="28"/>
          <w:szCs w:val="28"/>
          <w:lang w:val="en-US" w:eastAsia="zh-CN"/>
          <w14:textFill>
            <w14:solidFill>
              <w14:schemeClr w14:val="tx1"/>
            </w14:solidFill>
          </w14:textFill>
        </w:rPr>
        <w:t>使用的</w:t>
      </w:r>
      <w:r>
        <w:rPr>
          <w:rFonts w:hint="eastAsia" w:ascii="宋体" w:hAnsi="宋体" w:eastAsia="宋体" w:cs="宋体"/>
          <w:color w:val="000000" w:themeColor="text1"/>
          <w:sz w:val="28"/>
          <w14:textFill>
            <w14:solidFill>
              <w14:schemeClr w14:val="tx1"/>
            </w14:solidFill>
          </w14:textFill>
        </w:rPr>
        <w:t>危险化学品</w:t>
      </w:r>
      <w:r>
        <w:rPr>
          <w:rFonts w:hint="eastAsia" w:ascii="宋体" w:hAnsi="宋体" w:eastAsia="宋体" w:cs="宋体"/>
          <w:color w:val="000000" w:themeColor="text1"/>
          <w:sz w:val="28"/>
          <w:szCs w:val="28"/>
          <w14:textFill>
            <w14:solidFill>
              <w14:schemeClr w14:val="tx1"/>
            </w14:solidFill>
          </w14:textFill>
        </w:rPr>
        <w:t>不构成危险化学品重大危险源</w:t>
      </w:r>
      <w:r>
        <w:rPr>
          <w:rFonts w:hint="eastAsia" w:ascii="宋体" w:hAnsi="宋体" w:eastAsia="宋体" w:cs="宋体"/>
          <w:snapToGrid w:val="0"/>
          <w:color w:val="000000" w:themeColor="text1"/>
          <w:kern w:val="0"/>
          <w:sz w:val="28"/>
          <w:szCs w:val="28"/>
          <w14:textFill>
            <w14:solidFill>
              <w14:schemeClr w14:val="tx1"/>
            </w14:solidFill>
          </w14:textFill>
        </w:rPr>
        <w:t>。</w:t>
      </w:r>
    </w:p>
    <w:p w14:paraId="0661A768">
      <w:pPr>
        <w:adjustRightInd w:val="0"/>
        <w:snapToGrid w:val="0"/>
        <w:spacing w:line="500" w:lineRule="exact"/>
        <w:ind w:firstLine="560" w:firstLineChars="200"/>
        <w:rPr>
          <w:rFonts w:hint="eastAsia" w:ascii="宋体" w:hAnsi="宋体" w:eastAsia="宋体" w:cs="宋体"/>
          <w:snapToGrid w:val="0"/>
          <w:color w:val="000000" w:themeColor="text1"/>
          <w:kern w:val="0"/>
          <w:sz w:val="28"/>
          <w:szCs w:val="28"/>
          <w14:textFill>
            <w14:solidFill>
              <w14:schemeClr w14:val="tx1"/>
            </w14:solidFill>
          </w14:textFill>
        </w:rPr>
      </w:pPr>
    </w:p>
    <w:p w14:paraId="2D9D2E67">
      <w:pPr>
        <w:adjustRightInd w:val="0"/>
        <w:snapToGrid w:val="0"/>
        <w:spacing w:line="500" w:lineRule="exact"/>
        <w:ind w:firstLine="560" w:firstLineChars="200"/>
        <w:rPr>
          <w:rFonts w:hint="eastAsia" w:ascii="宋体" w:hAnsi="宋体" w:eastAsia="宋体" w:cs="宋体"/>
          <w:snapToGrid w:val="0"/>
          <w:color w:val="000000" w:themeColor="text1"/>
          <w:kern w:val="0"/>
          <w:sz w:val="28"/>
          <w:szCs w:val="28"/>
          <w14:textFill>
            <w14:solidFill>
              <w14:schemeClr w14:val="tx1"/>
            </w14:solidFill>
          </w14:textFill>
        </w:rPr>
      </w:pPr>
    </w:p>
    <w:p w14:paraId="16444F87">
      <w:pPr>
        <w:adjustRightInd w:val="0"/>
        <w:snapToGrid w:val="0"/>
        <w:spacing w:line="500" w:lineRule="exact"/>
        <w:ind w:firstLine="560" w:firstLineChars="200"/>
        <w:rPr>
          <w:rFonts w:hint="eastAsia" w:ascii="宋体" w:hAnsi="宋体" w:eastAsia="宋体" w:cs="宋体"/>
          <w:snapToGrid w:val="0"/>
          <w:color w:val="000000" w:themeColor="text1"/>
          <w:kern w:val="0"/>
          <w:sz w:val="28"/>
          <w:szCs w:val="28"/>
          <w14:textFill>
            <w14:solidFill>
              <w14:schemeClr w14:val="tx1"/>
            </w14:solidFill>
          </w14:textFill>
        </w:rPr>
      </w:pPr>
    </w:p>
    <w:p w14:paraId="5F3F0200">
      <w:pPr>
        <w:adjustRightInd w:val="0"/>
        <w:snapToGrid w:val="0"/>
        <w:spacing w:line="500" w:lineRule="exact"/>
        <w:ind w:firstLine="560" w:firstLineChars="200"/>
        <w:rPr>
          <w:rFonts w:hint="eastAsia" w:ascii="宋体" w:hAnsi="宋体" w:eastAsia="宋体" w:cs="宋体"/>
          <w:snapToGrid w:val="0"/>
          <w:color w:val="000000" w:themeColor="text1"/>
          <w:kern w:val="0"/>
          <w:sz w:val="28"/>
          <w:szCs w:val="28"/>
          <w14:textFill>
            <w14:solidFill>
              <w14:schemeClr w14:val="tx1"/>
            </w14:solidFill>
          </w14:textFill>
        </w:rPr>
      </w:pPr>
    </w:p>
    <w:p w14:paraId="3142C565">
      <w:pPr>
        <w:adjustRightInd w:val="0"/>
        <w:snapToGrid w:val="0"/>
        <w:spacing w:line="500" w:lineRule="exact"/>
        <w:ind w:firstLine="560" w:firstLineChars="200"/>
        <w:rPr>
          <w:rFonts w:hint="eastAsia" w:ascii="宋体" w:hAnsi="宋体" w:eastAsia="宋体" w:cs="宋体"/>
          <w:snapToGrid w:val="0"/>
          <w:color w:val="000000" w:themeColor="text1"/>
          <w:kern w:val="0"/>
          <w:sz w:val="28"/>
          <w:szCs w:val="28"/>
          <w14:textFill>
            <w14:solidFill>
              <w14:schemeClr w14:val="tx1"/>
            </w14:solidFill>
          </w14:textFill>
        </w:rPr>
      </w:pPr>
    </w:p>
    <w:p w14:paraId="0E7AEDAF">
      <w:pPr>
        <w:adjustRightInd w:val="0"/>
        <w:snapToGrid w:val="0"/>
        <w:spacing w:line="500" w:lineRule="exact"/>
        <w:ind w:firstLine="560" w:firstLineChars="200"/>
        <w:rPr>
          <w:rFonts w:hint="eastAsia" w:ascii="宋体" w:hAnsi="宋体" w:eastAsia="宋体" w:cs="宋体"/>
          <w:snapToGrid w:val="0"/>
          <w:color w:val="000000" w:themeColor="text1"/>
          <w:kern w:val="0"/>
          <w:sz w:val="28"/>
          <w:szCs w:val="28"/>
          <w14:textFill>
            <w14:solidFill>
              <w14:schemeClr w14:val="tx1"/>
            </w14:solidFill>
          </w14:textFill>
        </w:rPr>
      </w:pPr>
    </w:p>
    <w:p w14:paraId="44515AA7">
      <w:pPr>
        <w:adjustRightInd w:val="0"/>
        <w:snapToGrid w:val="0"/>
        <w:spacing w:line="500" w:lineRule="exact"/>
        <w:ind w:firstLine="560" w:firstLineChars="200"/>
        <w:rPr>
          <w:rFonts w:hint="eastAsia" w:ascii="宋体" w:hAnsi="宋体" w:eastAsia="宋体" w:cs="宋体"/>
          <w:snapToGrid w:val="0"/>
          <w:color w:val="000000" w:themeColor="text1"/>
          <w:kern w:val="0"/>
          <w:sz w:val="28"/>
          <w:szCs w:val="28"/>
          <w14:textFill>
            <w14:solidFill>
              <w14:schemeClr w14:val="tx1"/>
            </w14:solidFill>
          </w14:textFill>
        </w:rPr>
      </w:pPr>
    </w:p>
    <w:p w14:paraId="5E0154E0">
      <w:pPr>
        <w:adjustRightInd w:val="0"/>
        <w:snapToGrid w:val="0"/>
        <w:spacing w:line="500" w:lineRule="exact"/>
        <w:ind w:firstLine="560" w:firstLineChars="200"/>
        <w:rPr>
          <w:rFonts w:hint="eastAsia" w:ascii="宋体" w:hAnsi="宋体" w:eastAsia="宋体" w:cs="宋体"/>
          <w:snapToGrid w:val="0"/>
          <w:color w:val="000000" w:themeColor="text1"/>
          <w:kern w:val="0"/>
          <w:sz w:val="28"/>
          <w:szCs w:val="28"/>
          <w14:textFill>
            <w14:solidFill>
              <w14:schemeClr w14:val="tx1"/>
            </w14:solidFill>
          </w14:textFill>
        </w:rPr>
      </w:pPr>
    </w:p>
    <w:p w14:paraId="21523756">
      <w:pPr>
        <w:adjustRightInd w:val="0"/>
        <w:snapToGrid w:val="0"/>
        <w:spacing w:line="500" w:lineRule="exact"/>
        <w:ind w:firstLine="560" w:firstLineChars="200"/>
        <w:rPr>
          <w:rFonts w:hint="eastAsia" w:ascii="宋体" w:hAnsi="宋体" w:eastAsia="宋体" w:cs="宋体"/>
          <w:snapToGrid w:val="0"/>
          <w:color w:val="000000" w:themeColor="text1"/>
          <w:kern w:val="0"/>
          <w:sz w:val="28"/>
          <w:szCs w:val="28"/>
          <w14:textFill>
            <w14:solidFill>
              <w14:schemeClr w14:val="tx1"/>
            </w14:solidFill>
          </w14:textFill>
        </w:rPr>
      </w:pPr>
    </w:p>
    <w:p w14:paraId="32E5172D">
      <w:pPr>
        <w:adjustRightInd w:val="0"/>
        <w:snapToGrid w:val="0"/>
        <w:spacing w:line="500" w:lineRule="exact"/>
        <w:ind w:firstLine="560" w:firstLineChars="200"/>
        <w:rPr>
          <w:rFonts w:hint="eastAsia" w:ascii="宋体" w:hAnsi="宋体" w:eastAsia="宋体" w:cs="宋体"/>
          <w:snapToGrid w:val="0"/>
          <w:color w:val="000000" w:themeColor="text1"/>
          <w:kern w:val="0"/>
          <w:sz w:val="28"/>
          <w:szCs w:val="28"/>
          <w14:textFill>
            <w14:solidFill>
              <w14:schemeClr w14:val="tx1"/>
            </w14:solidFill>
          </w14:textFill>
        </w:rPr>
      </w:pPr>
    </w:p>
    <w:p w14:paraId="01121ECC">
      <w:pPr>
        <w:adjustRightInd w:val="0"/>
        <w:snapToGrid w:val="0"/>
        <w:spacing w:line="500" w:lineRule="exact"/>
        <w:ind w:firstLine="560" w:firstLineChars="200"/>
        <w:rPr>
          <w:rFonts w:hint="eastAsia" w:ascii="宋体" w:hAnsi="宋体" w:eastAsia="宋体" w:cs="宋体"/>
          <w:snapToGrid w:val="0"/>
          <w:color w:val="000000" w:themeColor="text1"/>
          <w:kern w:val="0"/>
          <w:sz w:val="28"/>
          <w:szCs w:val="28"/>
          <w14:textFill>
            <w14:solidFill>
              <w14:schemeClr w14:val="tx1"/>
            </w14:solidFill>
          </w14:textFill>
        </w:rPr>
      </w:pPr>
    </w:p>
    <w:p w14:paraId="6169F425">
      <w:pPr>
        <w:adjustRightInd w:val="0"/>
        <w:snapToGrid w:val="0"/>
        <w:spacing w:line="500" w:lineRule="exact"/>
        <w:ind w:firstLine="560" w:firstLineChars="200"/>
        <w:rPr>
          <w:rFonts w:hint="eastAsia" w:ascii="宋体" w:hAnsi="宋体" w:eastAsia="宋体" w:cs="宋体"/>
          <w:snapToGrid w:val="0"/>
          <w:color w:val="000000" w:themeColor="text1"/>
          <w:kern w:val="0"/>
          <w:sz w:val="28"/>
          <w:szCs w:val="28"/>
          <w14:textFill>
            <w14:solidFill>
              <w14:schemeClr w14:val="tx1"/>
            </w14:solidFill>
          </w14:textFill>
        </w:rPr>
      </w:pPr>
    </w:p>
    <w:p w14:paraId="414666C8">
      <w:pPr>
        <w:adjustRightInd w:val="0"/>
        <w:snapToGrid w:val="0"/>
        <w:spacing w:line="500" w:lineRule="exact"/>
        <w:ind w:firstLine="560" w:firstLineChars="200"/>
        <w:rPr>
          <w:rFonts w:hint="eastAsia" w:ascii="宋体" w:hAnsi="宋体" w:eastAsia="宋体" w:cs="宋体"/>
          <w:snapToGrid w:val="0"/>
          <w:color w:val="000000" w:themeColor="text1"/>
          <w:kern w:val="0"/>
          <w:sz w:val="28"/>
          <w:szCs w:val="28"/>
          <w14:textFill>
            <w14:solidFill>
              <w14:schemeClr w14:val="tx1"/>
            </w14:solidFill>
          </w14:textFill>
        </w:rPr>
      </w:pPr>
    </w:p>
    <w:p w14:paraId="078131B8">
      <w:pPr>
        <w:adjustRightInd w:val="0"/>
        <w:snapToGrid w:val="0"/>
        <w:spacing w:line="500" w:lineRule="exact"/>
        <w:ind w:firstLine="560" w:firstLineChars="200"/>
        <w:rPr>
          <w:rFonts w:hint="eastAsia" w:ascii="宋体" w:hAnsi="宋体" w:eastAsia="宋体" w:cs="宋体"/>
          <w:snapToGrid w:val="0"/>
          <w:color w:val="000000" w:themeColor="text1"/>
          <w:kern w:val="0"/>
          <w:sz w:val="28"/>
          <w:szCs w:val="28"/>
          <w14:textFill>
            <w14:solidFill>
              <w14:schemeClr w14:val="tx1"/>
            </w14:solidFill>
          </w14:textFill>
        </w:rPr>
      </w:pPr>
    </w:p>
    <w:p w14:paraId="2B79F522">
      <w:pPr>
        <w:rPr>
          <w:rFonts w:hint="eastAsia"/>
          <w:lang w:val="en-US" w:eastAsia="zh-CN"/>
        </w:rPr>
      </w:pPr>
    </w:p>
    <w:p w14:paraId="173AAA62">
      <w:pPr>
        <w:pStyle w:val="2"/>
        <w:keepNext/>
        <w:keepLines/>
        <w:pageBreakBefore w:val="0"/>
        <w:widowControl w:val="0"/>
        <w:kinsoku/>
        <w:wordWrap/>
        <w:overflowPunct/>
        <w:topLinePunct w:val="0"/>
        <w:autoSpaceDE/>
        <w:autoSpaceDN/>
        <w:bidi w:val="0"/>
        <w:adjustRightInd/>
        <w:snapToGrid w:val="0"/>
        <w:spacing w:before="100" w:beforeAutospacing="1" w:after="100" w:afterAutospacing="1"/>
        <w:textAlignment w:val="auto"/>
        <w:rPr>
          <w:rFonts w:hint="eastAsia" w:ascii="宋体" w:hAnsi="宋体" w:eastAsia="宋体" w:cs="宋体"/>
          <w:color w:val="000000" w:themeColor="text1"/>
          <w14:textFill>
            <w14:solidFill>
              <w14:schemeClr w14:val="tx1"/>
            </w14:solidFill>
          </w14:textFill>
        </w:rPr>
      </w:pPr>
      <w:bookmarkStart w:id="512" w:name="_Toc1699"/>
      <w:bookmarkStart w:id="513" w:name="_Toc7256"/>
      <w:bookmarkStart w:id="514" w:name="_Toc9226"/>
      <w:bookmarkStart w:id="515" w:name="_Toc19234"/>
      <w:bookmarkStart w:id="516" w:name="_Toc22200"/>
      <w:bookmarkStart w:id="517" w:name="_Toc24458"/>
      <w:r>
        <w:rPr>
          <w:rFonts w:hint="eastAsia" w:ascii="宋体" w:hAnsi="宋体" w:eastAsia="宋体" w:cs="宋体"/>
          <w:color w:val="000000" w:themeColor="text1"/>
          <w14:textFill>
            <w14:solidFill>
              <w14:schemeClr w14:val="tx1"/>
            </w14:solidFill>
          </w14:textFill>
        </w:rPr>
        <w:t>第4章  评价单元划分及评价方法选择</w:t>
      </w:r>
      <w:bookmarkEnd w:id="512"/>
      <w:bookmarkEnd w:id="513"/>
      <w:bookmarkEnd w:id="514"/>
      <w:bookmarkEnd w:id="515"/>
      <w:bookmarkEnd w:id="516"/>
      <w:bookmarkEnd w:id="517"/>
    </w:p>
    <w:p w14:paraId="26A1EEB4">
      <w:pPr>
        <w:pStyle w:val="3"/>
        <w:keepNext/>
        <w:keepLines/>
        <w:pageBreakBefore w:val="0"/>
        <w:widowControl w:val="0"/>
        <w:kinsoku/>
        <w:wordWrap/>
        <w:overflowPunct/>
        <w:topLinePunct w:val="0"/>
        <w:autoSpaceDE/>
        <w:autoSpaceDN/>
        <w:bidi w:val="0"/>
        <w:adjustRightInd/>
        <w:snapToGrid w:val="0"/>
        <w:spacing w:before="0" w:after="0" w:line="520" w:lineRule="exact"/>
        <w:jc w:val="both"/>
        <w:textAlignment w:val="auto"/>
        <w:rPr>
          <w:rFonts w:hint="eastAsia" w:ascii="宋体" w:hAnsi="宋体" w:eastAsia="宋体" w:cs="宋体"/>
          <w:color w:val="000000" w:themeColor="text1"/>
          <w:kern w:val="0"/>
          <w14:textFill>
            <w14:solidFill>
              <w14:schemeClr w14:val="tx1"/>
            </w14:solidFill>
          </w14:textFill>
        </w:rPr>
      </w:pPr>
      <w:bookmarkStart w:id="518" w:name="_Toc5393"/>
      <w:bookmarkStart w:id="519" w:name="_Toc14423"/>
      <w:bookmarkStart w:id="520" w:name="_Toc14224"/>
      <w:bookmarkStart w:id="521" w:name="_Toc30933"/>
      <w:bookmarkStart w:id="522" w:name="_Toc195156252"/>
      <w:bookmarkStart w:id="523" w:name="_Toc231978505"/>
      <w:bookmarkStart w:id="524" w:name="_Toc207527407"/>
      <w:bookmarkStart w:id="525" w:name="_Toc13276"/>
      <w:bookmarkStart w:id="526" w:name="_Toc3727"/>
      <w:bookmarkStart w:id="527" w:name="_Toc5033"/>
      <w:bookmarkStart w:id="528" w:name="_Toc212043609"/>
      <w:bookmarkStart w:id="529" w:name="_Toc233668306"/>
      <w:bookmarkStart w:id="530" w:name="_Toc213410604"/>
      <w:bookmarkStart w:id="531" w:name="_Toc4065"/>
      <w:bookmarkStart w:id="532" w:name="_Toc5129"/>
      <w:bookmarkStart w:id="533" w:name="_Toc335926256"/>
      <w:bookmarkStart w:id="534" w:name="_Toc13141"/>
      <w:bookmarkStart w:id="535" w:name="_Toc313453581"/>
      <w:bookmarkStart w:id="536" w:name="_Toc10765"/>
      <w:bookmarkStart w:id="537" w:name="_Toc32119"/>
      <w:r>
        <w:rPr>
          <w:rFonts w:hint="eastAsia" w:ascii="宋体" w:hAnsi="宋体" w:eastAsia="宋体" w:cs="宋体"/>
          <w:color w:val="000000" w:themeColor="text1"/>
          <w:kern w:val="0"/>
          <w14:textFill>
            <w14:solidFill>
              <w14:schemeClr w14:val="tx1"/>
            </w14:solidFill>
          </w14:textFill>
        </w:rPr>
        <w:t>4.1</w:t>
      </w:r>
      <w:r>
        <w:rPr>
          <w:rFonts w:hint="eastAsia" w:ascii="宋体" w:hAnsi="宋体" w:eastAsia="宋体" w:cs="宋体"/>
          <w:color w:val="000000" w:themeColor="text1"/>
          <w:kern w:val="0"/>
          <w:lang w:val="en-US" w:eastAsia="zh-CN"/>
          <w14:textFill>
            <w14:solidFill>
              <w14:schemeClr w14:val="tx1"/>
            </w14:solidFill>
          </w14:textFill>
        </w:rPr>
        <w:t xml:space="preserve"> </w:t>
      </w:r>
      <w:r>
        <w:rPr>
          <w:rFonts w:hint="eastAsia" w:ascii="宋体" w:hAnsi="宋体" w:eastAsia="宋体" w:cs="宋体"/>
          <w:color w:val="000000" w:themeColor="text1"/>
          <w:kern w:val="0"/>
          <w14:textFill>
            <w14:solidFill>
              <w14:schemeClr w14:val="tx1"/>
            </w14:solidFill>
          </w14:textFill>
        </w:rPr>
        <w:t>安全评价单元划分</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14:paraId="37E7188C">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538" w:name="_Toc28570"/>
      <w:bookmarkStart w:id="539" w:name="_Toc187699915"/>
      <w:bookmarkStart w:id="540" w:name="_Toc3603"/>
      <w:bookmarkStart w:id="541" w:name="_Toc17788"/>
      <w:bookmarkStart w:id="542" w:name="_Toc2810"/>
      <w:bookmarkStart w:id="543" w:name="_Toc28774"/>
      <w:bookmarkStart w:id="544" w:name="_Toc207527408"/>
      <w:bookmarkStart w:id="545" w:name="_Toc213410605"/>
      <w:bookmarkStart w:id="546" w:name="_Toc231978506"/>
      <w:bookmarkStart w:id="547" w:name="_Toc8884"/>
      <w:bookmarkStart w:id="548" w:name="_Toc30637"/>
      <w:bookmarkStart w:id="549" w:name="_Toc188863910"/>
      <w:bookmarkStart w:id="550" w:name="_Toc233668307"/>
      <w:bookmarkStart w:id="551" w:name="_Toc31931"/>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4.1.1 评价单元划分原则</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14:paraId="2066B858">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zh-CN"/>
          <w14:textFill>
            <w14:solidFill>
              <w14:schemeClr w14:val="tx1"/>
            </w14:solidFill>
          </w14:textFill>
        </w:rPr>
        <w:t>划分评价单元是为评价目标和选用评价方法服务的，要便于评价工作的进行，有利于提高评价工作的准确性。评价单元的划分，一般将生产工艺、工艺装置、物料的特点和特性与危险、有害因素的类别、分布有机结合进行划分，还可以按评价的需要将一个评价单元再划分为若干子评价单元或更细致的单元。</w:t>
      </w:r>
    </w:p>
    <w:p w14:paraId="383F33F8">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zh-CN"/>
          <w14:textFill>
            <w14:solidFill>
              <w14:schemeClr w14:val="tx1"/>
            </w14:solidFill>
          </w14:textFill>
        </w:rPr>
        <w:t>常用的评价单元划分原则如下：</w:t>
      </w:r>
    </w:p>
    <w:p w14:paraId="0D3BFDEF">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en-GB"/>
          <w14:textFill>
            <w14:solidFill>
              <w14:schemeClr w14:val="tx1"/>
            </w14:solidFill>
          </w14:textFill>
        </w:rPr>
      </w:pPr>
      <w:r>
        <w:rPr>
          <w:rFonts w:hint="eastAsia" w:ascii="宋体" w:hAnsi="宋体" w:eastAsia="宋体" w:cs="宋体"/>
          <w:color w:val="000000" w:themeColor="text1"/>
          <w:sz w:val="28"/>
          <w:szCs w:val="28"/>
          <w:lang w:val="en-GB" w:eastAsia="zh-CN"/>
          <w14:textFill>
            <w14:solidFill>
              <w14:schemeClr w14:val="tx1"/>
            </w14:solidFill>
          </w14:textFill>
        </w:rPr>
        <w:t>1．</w:t>
      </w:r>
      <w:r>
        <w:rPr>
          <w:rFonts w:hint="eastAsia" w:ascii="宋体" w:hAnsi="宋体" w:eastAsia="宋体" w:cs="宋体"/>
          <w:color w:val="000000" w:themeColor="text1"/>
          <w:sz w:val="28"/>
          <w:szCs w:val="28"/>
          <w:lang w:val="en-GB"/>
          <w14:textFill>
            <w14:solidFill>
              <w14:schemeClr w14:val="tx1"/>
            </w14:solidFill>
          </w14:textFill>
        </w:rPr>
        <w:t>按危险、有害因素的类别为主划分评价单元；</w:t>
      </w:r>
    </w:p>
    <w:p w14:paraId="602E0A22">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en-GB"/>
          <w14:textFill>
            <w14:solidFill>
              <w14:schemeClr w14:val="tx1"/>
            </w14:solidFill>
          </w14:textFill>
        </w:rPr>
      </w:pPr>
      <w:r>
        <w:rPr>
          <w:rFonts w:hint="eastAsia" w:ascii="宋体" w:hAnsi="宋体" w:eastAsia="宋体" w:cs="宋体"/>
          <w:color w:val="000000" w:themeColor="text1"/>
          <w:sz w:val="28"/>
          <w:szCs w:val="28"/>
          <w:lang w:val="en-GB" w:eastAsia="zh-CN"/>
          <w14:textFill>
            <w14:solidFill>
              <w14:schemeClr w14:val="tx1"/>
            </w14:solidFill>
          </w14:textFill>
        </w:rPr>
        <w:t>2．</w:t>
      </w:r>
      <w:r>
        <w:rPr>
          <w:rFonts w:hint="eastAsia" w:ascii="宋体" w:hAnsi="宋体" w:eastAsia="宋体" w:cs="宋体"/>
          <w:color w:val="000000" w:themeColor="text1"/>
          <w:sz w:val="28"/>
          <w:szCs w:val="28"/>
          <w:lang w:val="en-GB"/>
          <w14:textFill>
            <w14:solidFill>
              <w14:schemeClr w14:val="tx1"/>
            </w14:solidFill>
          </w14:textFill>
        </w:rPr>
        <w:t>按装置和物质特征划分评价单元；</w:t>
      </w:r>
    </w:p>
    <w:p w14:paraId="38C25CBD">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en-GB"/>
          <w14:textFill>
            <w14:solidFill>
              <w14:schemeClr w14:val="tx1"/>
            </w14:solidFill>
          </w14:textFill>
        </w:rPr>
      </w:pPr>
      <w:r>
        <w:rPr>
          <w:rFonts w:hint="eastAsia" w:ascii="宋体" w:hAnsi="宋体" w:eastAsia="宋体" w:cs="宋体"/>
          <w:color w:val="000000" w:themeColor="text1"/>
          <w:sz w:val="28"/>
          <w:szCs w:val="28"/>
          <w:lang w:val="en-GB" w:eastAsia="zh-CN"/>
          <w14:textFill>
            <w14:solidFill>
              <w14:schemeClr w14:val="tx1"/>
            </w14:solidFill>
          </w14:textFill>
        </w:rPr>
        <w:t>3．</w:t>
      </w:r>
      <w:r>
        <w:rPr>
          <w:rFonts w:hint="eastAsia" w:ascii="宋体" w:hAnsi="宋体" w:eastAsia="宋体" w:cs="宋体"/>
          <w:color w:val="000000" w:themeColor="text1"/>
          <w:sz w:val="28"/>
          <w:szCs w:val="28"/>
          <w:lang w:val="en-GB"/>
          <w14:textFill>
            <w14:solidFill>
              <w14:schemeClr w14:val="tx1"/>
            </w14:solidFill>
          </w14:textFill>
        </w:rPr>
        <w:t>可以将安全管理、外部周边情况分别划为一个评价单元。</w:t>
      </w:r>
    </w:p>
    <w:p w14:paraId="71CA134D">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552" w:name="_Toc18070"/>
      <w:bookmarkStart w:id="553" w:name="_Toc19182"/>
      <w:bookmarkStart w:id="554" w:name="_Toc21782"/>
      <w:bookmarkStart w:id="555" w:name="_Toc1682"/>
      <w:bookmarkStart w:id="556" w:name="_Toc30001431"/>
      <w:bookmarkStart w:id="557" w:name="_Toc61474454"/>
      <w:bookmarkStart w:id="558" w:name="_Toc216867553"/>
      <w:bookmarkStart w:id="559" w:name="_Toc278151412"/>
      <w:bookmarkStart w:id="560" w:name="_Toc7612"/>
      <w:bookmarkStart w:id="561" w:name="_Toc22354"/>
      <w:bookmarkStart w:id="562" w:name="_Toc21318"/>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4.1.2评价单元划分方法</w:t>
      </w:r>
      <w:bookmarkEnd w:id="552"/>
      <w:bookmarkEnd w:id="553"/>
      <w:bookmarkEnd w:id="554"/>
      <w:bookmarkEnd w:id="555"/>
      <w:bookmarkEnd w:id="556"/>
      <w:bookmarkEnd w:id="557"/>
      <w:bookmarkEnd w:id="558"/>
      <w:bookmarkEnd w:id="559"/>
      <w:bookmarkEnd w:id="560"/>
      <w:bookmarkEnd w:id="561"/>
      <w:bookmarkEnd w:id="562"/>
    </w:p>
    <w:p w14:paraId="70535C1E">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zh-CN"/>
          <w14:textFill>
            <w14:solidFill>
              <w14:schemeClr w14:val="tx1"/>
            </w14:solidFill>
          </w14:textFill>
        </w:rPr>
        <w:t>划分评价单元的方法主要有两类，一是以危险、有害因素的类别为主来划分；二是以生产工艺装置或场所为主来划分。常用的评价单元划分方法有：</w:t>
      </w:r>
    </w:p>
    <w:p w14:paraId="4901E182">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val="zh-CN"/>
          <w14:textFill>
            <w14:solidFill>
              <w14:schemeClr w14:val="tx1"/>
            </w14:solidFill>
          </w14:textFill>
        </w:rPr>
        <w:t>以危险、有害因素的类别为主划分评价单元。</w:t>
      </w:r>
    </w:p>
    <w:p w14:paraId="683526BE">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zh-CN"/>
          <w14:textFill>
            <w14:solidFill>
              <w14:schemeClr w14:val="tx1"/>
            </w14:solidFill>
          </w14:textFill>
        </w:rPr>
        <w:t>（1）对工艺方案、总体布置及自然条件、环境对系统影响等综合方面的危险、有害因素的分析和评价，可将整个系统作为一个评价单元；</w:t>
      </w:r>
    </w:p>
    <w:p w14:paraId="5A1C4427">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zh-CN"/>
          <w14:textFill>
            <w14:solidFill>
              <w14:schemeClr w14:val="tx1"/>
            </w14:solidFill>
          </w14:textFill>
        </w:rPr>
        <w:t>（2）将具有共性危险因素、有害因素的场所和装置划为一个单元。</w:t>
      </w:r>
    </w:p>
    <w:p w14:paraId="096F730C">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val="zh-CN"/>
          <w14:textFill>
            <w14:solidFill>
              <w14:schemeClr w14:val="tx1"/>
            </w14:solidFill>
          </w14:textFill>
        </w:rPr>
        <w:t>以装置和物质特征划分评价单元。</w:t>
      </w:r>
    </w:p>
    <w:p w14:paraId="139D55E6">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zh-CN"/>
          <w14:textFill>
            <w14:solidFill>
              <w14:schemeClr w14:val="tx1"/>
            </w14:solidFill>
          </w14:textFill>
        </w:rPr>
        <w:t>（1）按装置工艺功能划分；</w:t>
      </w:r>
    </w:p>
    <w:p w14:paraId="15F5176C">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zh-CN"/>
          <w14:textFill>
            <w14:solidFill>
              <w14:schemeClr w14:val="tx1"/>
            </w14:solidFill>
          </w14:textFill>
        </w:rPr>
        <w:t>（2）按布置的相对独立性划分；</w:t>
      </w:r>
    </w:p>
    <w:p w14:paraId="76904CEB">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zh-CN"/>
          <w14:textFill>
            <w14:solidFill>
              <w14:schemeClr w14:val="tx1"/>
            </w14:solidFill>
          </w14:textFill>
        </w:rPr>
        <w:t>（3）按工艺条件划分评价单元；</w:t>
      </w:r>
    </w:p>
    <w:p w14:paraId="18E3C68A">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zh-CN"/>
          <w14:textFill>
            <w14:solidFill>
              <w14:schemeClr w14:val="tx1"/>
            </w14:solidFill>
          </w14:textFill>
        </w:rPr>
        <w:t>（4）按贮存、处理危险物品的潜在化学能、毒性和危险物品的数量划分评价单元；</w:t>
      </w:r>
    </w:p>
    <w:p w14:paraId="754456A6">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zh-CN"/>
          <w14:textFill>
            <w14:solidFill>
              <w14:schemeClr w14:val="tx1"/>
            </w14:solidFill>
          </w14:textFill>
        </w:rPr>
        <w:t>（5）根据以往事故资料，将发生事故能导致停产、波及范围大、造成巨大损失和伤害的关键设备作为一个单元；</w:t>
      </w:r>
    </w:p>
    <w:p w14:paraId="59BD1930">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zh-CN"/>
          <w14:textFill>
            <w14:solidFill>
              <w14:schemeClr w14:val="tx1"/>
            </w14:solidFill>
          </w14:textFill>
        </w:rPr>
        <w:t>（6）将危险性大且资金密度大的区域作为一个评价单元；</w:t>
      </w:r>
    </w:p>
    <w:p w14:paraId="467C1C15">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zh-CN"/>
          <w14:textFill>
            <w14:solidFill>
              <w14:schemeClr w14:val="tx1"/>
            </w14:solidFill>
          </w14:textFill>
        </w:rPr>
        <w:t>（7）将危险性特别大的区域、装置作为一个评价单元；</w:t>
      </w:r>
    </w:p>
    <w:p w14:paraId="224E1CB6">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zh-CN"/>
          <w14:textFill>
            <w14:solidFill>
              <w14:schemeClr w14:val="tx1"/>
            </w14:solidFill>
          </w14:textFill>
        </w:rPr>
      </w:pPr>
      <w:r>
        <w:rPr>
          <w:rFonts w:hint="eastAsia" w:ascii="宋体" w:hAnsi="宋体" w:eastAsia="宋体" w:cs="宋体"/>
          <w:color w:val="000000" w:themeColor="text1"/>
          <w:sz w:val="28"/>
          <w:szCs w:val="28"/>
          <w:lang w:val="zh-CN"/>
          <w14:textFill>
            <w14:solidFill>
              <w14:schemeClr w14:val="tx1"/>
            </w14:solidFill>
          </w14:textFill>
        </w:rPr>
        <w:t>（8）将具有类似危险性潜能的单元合并为一个大单元。</w:t>
      </w:r>
    </w:p>
    <w:p w14:paraId="1C67508C">
      <w:pPr>
        <w:pStyle w:val="3"/>
        <w:keepNext/>
        <w:keepLines/>
        <w:pageBreakBefore w:val="0"/>
        <w:widowControl w:val="0"/>
        <w:kinsoku/>
        <w:wordWrap/>
        <w:overflowPunct/>
        <w:topLinePunct w:val="0"/>
        <w:autoSpaceDE/>
        <w:autoSpaceDN/>
        <w:bidi w:val="0"/>
        <w:adjustRightInd/>
        <w:snapToGrid w:val="0"/>
        <w:spacing w:before="0" w:after="0" w:line="520" w:lineRule="exact"/>
        <w:jc w:val="both"/>
        <w:textAlignment w:val="auto"/>
        <w:rPr>
          <w:rFonts w:hint="eastAsia" w:ascii="宋体" w:hAnsi="宋体" w:eastAsia="宋体" w:cs="宋体"/>
          <w:color w:val="000000" w:themeColor="text1"/>
          <w:kern w:val="0"/>
          <w14:textFill>
            <w14:solidFill>
              <w14:schemeClr w14:val="tx1"/>
            </w14:solidFill>
          </w14:textFill>
        </w:rPr>
      </w:pPr>
      <w:bookmarkStart w:id="563" w:name="_Toc17199"/>
      <w:bookmarkStart w:id="564" w:name="_Toc9692"/>
      <w:bookmarkStart w:id="565" w:name="_Toc30492"/>
      <w:bookmarkStart w:id="566" w:name="_Toc29741"/>
      <w:r>
        <w:rPr>
          <w:rFonts w:hint="eastAsia" w:ascii="宋体" w:hAnsi="宋体" w:eastAsia="宋体" w:cs="宋体"/>
          <w:color w:val="000000" w:themeColor="text1"/>
          <w:kern w:val="0"/>
          <w14:textFill>
            <w14:solidFill>
              <w14:schemeClr w14:val="tx1"/>
            </w14:solidFill>
          </w14:textFill>
        </w:rPr>
        <w:t>4.2</w:t>
      </w:r>
      <w:r>
        <w:rPr>
          <w:rFonts w:hint="eastAsia" w:ascii="宋体" w:hAnsi="宋体" w:eastAsia="宋体" w:cs="宋体"/>
          <w:color w:val="000000" w:themeColor="text1"/>
          <w:kern w:val="0"/>
          <w:lang w:val="en-US" w:eastAsia="zh-CN"/>
          <w14:textFill>
            <w14:solidFill>
              <w14:schemeClr w14:val="tx1"/>
            </w14:solidFill>
          </w14:textFill>
        </w:rPr>
        <w:t xml:space="preserve"> </w:t>
      </w:r>
      <w:r>
        <w:rPr>
          <w:rFonts w:hint="eastAsia" w:ascii="宋体" w:hAnsi="宋体" w:eastAsia="宋体" w:cs="宋体"/>
          <w:color w:val="000000" w:themeColor="text1"/>
          <w:kern w:val="0"/>
          <w14:textFill>
            <w14:solidFill>
              <w14:schemeClr w14:val="tx1"/>
            </w14:solidFill>
          </w14:textFill>
        </w:rPr>
        <w:t>评价单元划分</w:t>
      </w:r>
      <w:bookmarkEnd w:id="533"/>
      <w:bookmarkEnd w:id="534"/>
      <w:bookmarkEnd w:id="535"/>
      <w:r>
        <w:rPr>
          <w:rFonts w:hint="eastAsia" w:ascii="宋体" w:hAnsi="宋体" w:eastAsia="宋体" w:cs="宋体"/>
          <w:color w:val="000000" w:themeColor="text1"/>
          <w:kern w:val="0"/>
          <w14:textFill>
            <w14:solidFill>
              <w14:schemeClr w14:val="tx1"/>
            </w14:solidFill>
          </w14:textFill>
        </w:rPr>
        <w:t>结果</w:t>
      </w:r>
      <w:bookmarkEnd w:id="536"/>
      <w:bookmarkEnd w:id="537"/>
      <w:bookmarkEnd w:id="563"/>
      <w:bookmarkEnd w:id="564"/>
      <w:bookmarkEnd w:id="565"/>
      <w:bookmarkEnd w:id="566"/>
    </w:p>
    <w:p w14:paraId="69C91946">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zh-CN"/>
          <w14:textFill>
            <w14:solidFill>
              <w14:schemeClr w14:val="tx1"/>
            </w14:solidFill>
          </w14:textFill>
        </w:rPr>
      </w:pPr>
      <w:bookmarkStart w:id="567" w:name="_Toc11884"/>
      <w:bookmarkStart w:id="568" w:name="_Toc335926257"/>
      <w:bookmarkStart w:id="569" w:name="_Toc313453582"/>
      <w:bookmarkStart w:id="570" w:name="_Toc191799968"/>
      <w:r>
        <w:rPr>
          <w:rFonts w:hint="eastAsia" w:ascii="宋体" w:hAnsi="宋体" w:eastAsia="宋体" w:cs="宋体"/>
          <w:color w:val="000000" w:themeColor="text1"/>
          <w:sz w:val="28"/>
          <w:szCs w:val="28"/>
          <w:lang w:val="en-GB"/>
          <w14:textFill>
            <w14:solidFill>
              <w14:schemeClr w14:val="tx1"/>
            </w14:solidFill>
          </w14:textFill>
        </w:rPr>
        <w:t>根据安全评价单元的划分原则</w:t>
      </w:r>
      <w:r>
        <w:rPr>
          <w:rFonts w:hint="eastAsia" w:ascii="宋体" w:hAnsi="宋体" w:eastAsia="宋体" w:cs="宋体"/>
          <w:color w:val="000000" w:themeColor="text1"/>
          <w:sz w:val="28"/>
          <w:szCs w:val="28"/>
          <w:lang w:val="zh-CN"/>
          <w14:textFill>
            <w14:solidFill>
              <w14:schemeClr w14:val="tx1"/>
            </w14:solidFill>
          </w14:textFill>
        </w:rPr>
        <w:t>和依据</w:t>
      </w:r>
      <w:r>
        <w:rPr>
          <w:rFonts w:hint="eastAsia" w:ascii="宋体" w:hAnsi="宋体" w:eastAsia="宋体" w:cs="宋体"/>
          <w:color w:val="000000" w:themeColor="text1"/>
          <w:sz w:val="28"/>
          <w:szCs w:val="28"/>
          <w:lang w:val="en-GB"/>
          <w14:textFill>
            <w14:solidFill>
              <w14:schemeClr w14:val="tx1"/>
            </w14:solidFill>
          </w14:textFill>
        </w:rPr>
        <w:t>，结合企业的实际情况及安全评价的需要，本次评价根据生产装置和物质特征的相关特点，将公司安全评价单元划分为</w:t>
      </w:r>
      <w:r>
        <w:rPr>
          <w:rFonts w:hint="eastAsia" w:ascii="宋体" w:hAnsi="宋体" w:eastAsia="宋体" w:cs="宋体"/>
          <w:color w:val="000000" w:themeColor="text1"/>
          <w:sz w:val="28"/>
          <w:szCs w:val="28"/>
          <w:lang w:val="en-US" w:eastAsia="zh-CN"/>
          <w14:textFill>
            <w14:solidFill>
              <w14:schemeClr w14:val="tx1"/>
            </w14:solidFill>
          </w14:textFill>
        </w:rPr>
        <w:t>六</w:t>
      </w:r>
      <w:r>
        <w:rPr>
          <w:rFonts w:hint="eastAsia" w:ascii="宋体" w:hAnsi="宋体" w:eastAsia="宋体" w:cs="宋体"/>
          <w:color w:val="000000" w:themeColor="text1"/>
          <w:sz w:val="28"/>
          <w:szCs w:val="28"/>
          <w:lang w:val="en-GB"/>
          <w14:textFill>
            <w14:solidFill>
              <w14:schemeClr w14:val="tx1"/>
            </w14:solidFill>
          </w14:textFill>
        </w:rPr>
        <w:t>个评价单元，</w:t>
      </w:r>
      <w:r>
        <w:rPr>
          <w:rFonts w:hint="eastAsia" w:ascii="宋体" w:hAnsi="宋体" w:eastAsia="宋体" w:cs="宋体"/>
          <w:color w:val="000000" w:themeColor="text1"/>
          <w:sz w:val="28"/>
          <w:szCs w:val="28"/>
          <w:lang w:val="zh-CN"/>
          <w14:textFill>
            <w14:solidFill>
              <w14:schemeClr w14:val="tx1"/>
            </w14:solidFill>
          </w14:textFill>
        </w:rPr>
        <w:t>具体的划分情况和使用的评价方法见表4-1。</w:t>
      </w:r>
    </w:p>
    <w:p w14:paraId="10F6F34A">
      <w:pPr>
        <w:keepNext w:val="0"/>
        <w:keepLines w:val="0"/>
        <w:pageBreakBefore w:val="0"/>
        <w:widowControl w:val="0"/>
        <w:kinsoku/>
        <w:wordWrap/>
        <w:overflowPunct/>
        <w:topLinePunct w:val="0"/>
        <w:autoSpaceDE/>
        <w:autoSpaceDN/>
        <w:bidi w:val="0"/>
        <w:adjustRightInd/>
        <w:snapToGrid w:val="0"/>
        <w:spacing w:line="520" w:lineRule="exact"/>
        <w:ind w:firstLine="482" w:firstLineChars="200"/>
        <w:jc w:val="center"/>
        <w:textAlignment w:val="auto"/>
        <w:rPr>
          <w:rFonts w:hint="eastAsia" w:ascii="宋体" w:hAnsi="宋体" w:eastAsia="宋体" w:cs="宋体"/>
          <w:color w:val="000000" w:themeColor="text1"/>
          <w:lang w:val="en-GB"/>
          <w14:textFill>
            <w14:solidFill>
              <w14:schemeClr w14:val="tx1"/>
            </w14:solidFill>
          </w14:textFill>
        </w:rPr>
      </w:pPr>
      <w:r>
        <w:rPr>
          <w:rFonts w:hint="eastAsia" w:ascii="宋体" w:hAnsi="宋体" w:eastAsia="宋体" w:cs="宋体"/>
          <w:b/>
          <w:bCs/>
          <w:color w:val="000000" w:themeColor="text1"/>
          <w:lang w:val="en-GB"/>
          <w14:textFill>
            <w14:solidFill>
              <w14:schemeClr w14:val="tx1"/>
            </w14:solidFill>
          </w14:textFill>
        </w:rPr>
        <w:t>表4-1 各单元采取安全评价方法对应表</w:t>
      </w:r>
    </w:p>
    <w:tbl>
      <w:tblPr>
        <w:tblStyle w:val="24"/>
        <w:tblW w:w="48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3327"/>
        <w:gridCol w:w="5016"/>
      </w:tblGrid>
      <w:tr w14:paraId="167F2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9" w:type="pct"/>
            <w:vAlign w:val="center"/>
          </w:tcPr>
          <w:p w14:paraId="6C1EF4DA">
            <w:pPr>
              <w:pStyle w:val="3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序号</w:t>
            </w:r>
          </w:p>
        </w:tc>
        <w:tc>
          <w:tcPr>
            <w:tcW w:w="1834" w:type="pct"/>
            <w:vAlign w:val="center"/>
          </w:tcPr>
          <w:p w14:paraId="33AE7E21">
            <w:pPr>
              <w:pStyle w:val="3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评价单元名称</w:t>
            </w:r>
          </w:p>
        </w:tc>
        <w:tc>
          <w:tcPr>
            <w:tcW w:w="2765" w:type="pct"/>
            <w:vAlign w:val="center"/>
          </w:tcPr>
          <w:p w14:paraId="12003CF6">
            <w:pPr>
              <w:pStyle w:val="3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安全评价方法</w:t>
            </w:r>
          </w:p>
        </w:tc>
      </w:tr>
      <w:tr w14:paraId="42022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9" w:type="pct"/>
            <w:vAlign w:val="center"/>
          </w:tcPr>
          <w:p w14:paraId="511349B0">
            <w:pPr>
              <w:pStyle w:val="3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834" w:type="pct"/>
            <w:vAlign w:val="center"/>
          </w:tcPr>
          <w:p w14:paraId="23D4D6C5">
            <w:pPr>
              <w:pStyle w:val="3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厂址及总平面布置</w:t>
            </w:r>
            <w:r>
              <w:rPr>
                <w:rFonts w:hint="eastAsia" w:ascii="宋体" w:hAnsi="宋体" w:eastAsia="宋体" w:cs="宋体"/>
                <w:color w:val="000000" w:themeColor="text1"/>
                <w:sz w:val="21"/>
                <w:szCs w:val="21"/>
                <w:lang w:val="en-US" w:eastAsia="zh-CN"/>
                <w14:textFill>
                  <w14:solidFill>
                    <w14:schemeClr w14:val="tx1"/>
                  </w14:solidFill>
                </w14:textFill>
              </w:rPr>
              <w:t>评价</w:t>
            </w:r>
            <w:r>
              <w:rPr>
                <w:rFonts w:hint="eastAsia" w:ascii="宋体" w:hAnsi="宋体" w:eastAsia="宋体" w:cs="宋体"/>
                <w:color w:val="000000" w:themeColor="text1"/>
                <w:sz w:val="21"/>
                <w:szCs w:val="21"/>
                <w14:textFill>
                  <w14:solidFill>
                    <w14:schemeClr w14:val="tx1"/>
                  </w14:solidFill>
                </w14:textFill>
              </w:rPr>
              <w:t xml:space="preserve">单元 </w:t>
            </w:r>
          </w:p>
        </w:tc>
        <w:tc>
          <w:tcPr>
            <w:tcW w:w="2765" w:type="pct"/>
            <w:vAlign w:val="center"/>
          </w:tcPr>
          <w:p w14:paraId="5FFE2655">
            <w:pPr>
              <w:pStyle w:val="3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安全检查表</w:t>
            </w:r>
          </w:p>
        </w:tc>
      </w:tr>
      <w:tr w14:paraId="2E922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9" w:type="pct"/>
            <w:vAlign w:val="center"/>
          </w:tcPr>
          <w:p w14:paraId="3333D420">
            <w:pPr>
              <w:pStyle w:val="3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1834" w:type="pct"/>
            <w:vAlign w:val="center"/>
          </w:tcPr>
          <w:p w14:paraId="7771D55D">
            <w:pPr>
              <w:pStyle w:val="3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生产工艺</w:t>
            </w:r>
            <w:r>
              <w:rPr>
                <w:rFonts w:hint="eastAsia" w:ascii="宋体" w:hAnsi="宋体" w:eastAsia="宋体" w:cs="宋体"/>
                <w:color w:val="000000" w:themeColor="text1"/>
                <w:sz w:val="21"/>
                <w:szCs w:val="21"/>
                <w:lang w:val="en-US" w:eastAsia="zh-CN"/>
                <w14:textFill>
                  <w14:solidFill>
                    <w14:schemeClr w14:val="tx1"/>
                  </w14:solidFill>
                </w14:textFill>
              </w:rPr>
              <w:t>及设备设施评价</w:t>
            </w:r>
            <w:r>
              <w:rPr>
                <w:rFonts w:hint="eastAsia" w:ascii="宋体" w:hAnsi="宋体" w:eastAsia="宋体" w:cs="宋体"/>
                <w:color w:val="000000" w:themeColor="text1"/>
                <w:sz w:val="21"/>
                <w:szCs w:val="21"/>
                <w14:textFill>
                  <w14:solidFill>
                    <w14:schemeClr w14:val="tx1"/>
                  </w14:solidFill>
                </w14:textFill>
              </w:rPr>
              <w:t>单元</w:t>
            </w:r>
          </w:p>
        </w:tc>
        <w:tc>
          <w:tcPr>
            <w:tcW w:w="2765" w:type="pct"/>
            <w:vAlign w:val="center"/>
          </w:tcPr>
          <w:p w14:paraId="79B7F511">
            <w:pPr>
              <w:pStyle w:val="3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安全检查表</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作业条件危险性分析</w:t>
            </w:r>
          </w:p>
        </w:tc>
      </w:tr>
      <w:tr w14:paraId="42C79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9" w:type="pct"/>
            <w:vAlign w:val="center"/>
          </w:tcPr>
          <w:p w14:paraId="340FCD31">
            <w:pPr>
              <w:pStyle w:val="3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1834" w:type="pct"/>
            <w:shd w:val="clear" w:color="auto" w:fill="auto"/>
            <w:vAlign w:val="center"/>
          </w:tcPr>
          <w:p w14:paraId="1FFB62E3">
            <w:pPr>
              <w:pStyle w:val="30"/>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安全防护设施评价单元</w:t>
            </w:r>
          </w:p>
        </w:tc>
        <w:tc>
          <w:tcPr>
            <w:tcW w:w="2765" w:type="pct"/>
            <w:shd w:val="clear" w:color="auto" w:fill="auto"/>
            <w:vAlign w:val="center"/>
          </w:tcPr>
          <w:p w14:paraId="1295E691">
            <w:pPr>
              <w:pStyle w:val="30"/>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安全检查表</w:t>
            </w:r>
          </w:p>
        </w:tc>
      </w:tr>
      <w:tr w14:paraId="0FC90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9" w:type="pct"/>
            <w:vAlign w:val="center"/>
          </w:tcPr>
          <w:p w14:paraId="0F9EDA25">
            <w:pPr>
              <w:pStyle w:val="3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p>
        </w:tc>
        <w:tc>
          <w:tcPr>
            <w:tcW w:w="1834" w:type="pct"/>
            <w:shd w:val="clear" w:color="auto" w:fill="auto"/>
            <w:vAlign w:val="center"/>
          </w:tcPr>
          <w:p w14:paraId="3023A502">
            <w:pPr>
              <w:pStyle w:val="30"/>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公用工程及辅助设施</w:t>
            </w:r>
            <w:r>
              <w:rPr>
                <w:rFonts w:hint="eastAsia" w:ascii="宋体" w:hAnsi="宋体" w:eastAsia="宋体" w:cs="宋体"/>
                <w:color w:val="000000" w:themeColor="text1"/>
                <w:sz w:val="21"/>
                <w:szCs w:val="21"/>
                <w:lang w:val="en-US" w:eastAsia="zh-CN"/>
                <w14:textFill>
                  <w14:solidFill>
                    <w14:schemeClr w14:val="tx1"/>
                  </w14:solidFill>
                </w14:textFill>
              </w:rPr>
              <w:t>评价</w:t>
            </w:r>
            <w:r>
              <w:rPr>
                <w:rFonts w:hint="eastAsia" w:ascii="宋体" w:hAnsi="宋体" w:eastAsia="宋体" w:cs="宋体"/>
                <w:color w:val="000000" w:themeColor="text1"/>
                <w:sz w:val="21"/>
                <w:szCs w:val="21"/>
                <w14:textFill>
                  <w14:solidFill>
                    <w14:schemeClr w14:val="tx1"/>
                  </w14:solidFill>
                </w14:textFill>
              </w:rPr>
              <w:t>单元</w:t>
            </w:r>
          </w:p>
        </w:tc>
        <w:tc>
          <w:tcPr>
            <w:tcW w:w="2765" w:type="pct"/>
            <w:shd w:val="clear" w:color="auto" w:fill="auto"/>
            <w:vAlign w:val="center"/>
          </w:tcPr>
          <w:p w14:paraId="6E9F37A0">
            <w:pPr>
              <w:pStyle w:val="30"/>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安全检查表</w:t>
            </w:r>
          </w:p>
        </w:tc>
      </w:tr>
      <w:tr w14:paraId="48969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9" w:type="pct"/>
            <w:vAlign w:val="center"/>
          </w:tcPr>
          <w:p w14:paraId="41D69062">
            <w:pPr>
              <w:pStyle w:val="3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w:t>
            </w:r>
          </w:p>
        </w:tc>
        <w:tc>
          <w:tcPr>
            <w:tcW w:w="1834" w:type="pct"/>
            <w:shd w:val="clear" w:color="auto" w:fill="auto"/>
            <w:vAlign w:val="center"/>
          </w:tcPr>
          <w:p w14:paraId="266F2120">
            <w:pPr>
              <w:pStyle w:val="30"/>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安全生产管理评价单元</w:t>
            </w:r>
          </w:p>
        </w:tc>
        <w:tc>
          <w:tcPr>
            <w:tcW w:w="2765" w:type="pct"/>
            <w:shd w:val="clear" w:color="auto" w:fill="auto"/>
            <w:vAlign w:val="center"/>
          </w:tcPr>
          <w:p w14:paraId="01A30D95">
            <w:pPr>
              <w:pStyle w:val="30"/>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安全检查表</w:t>
            </w:r>
          </w:p>
        </w:tc>
      </w:tr>
      <w:tr w14:paraId="14CB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9" w:type="pct"/>
            <w:vAlign w:val="center"/>
          </w:tcPr>
          <w:p w14:paraId="39824FDD">
            <w:pPr>
              <w:pStyle w:val="3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p>
        </w:tc>
        <w:tc>
          <w:tcPr>
            <w:tcW w:w="1834" w:type="pct"/>
            <w:shd w:val="clear" w:color="auto" w:fill="auto"/>
            <w:vAlign w:val="center"/>
          </w:tcPr>
          <w:p w14:paraId="1AE1796C">
            <w:pPr>
              <w:pStyle w:val="30"/>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重大事故隐患评价单元</w:t>
            </w:r>
          </w:p>
        </w:tc>
        <w:tc>
          <w:tcPr>
            <w:tcW w:w="2765" w:type="pct"/>
            <w:shd w:val="clear" w:color="auto" w:fill="auto"/>
            <w:vAlign w:val="center"/>
          </w:tcPr>
          <w:p w14:paraId="0834F3D6">
            <w:pPr>
              <w:pStyle w:val="30"/>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安全检查表</w:t>
            </w:r>
          </w:p>
        </w:tc>
      </w:tr>
    </w:tbl>
    <w:p w14:paraId="1ADC8402">
      <w:pPr>
        <w:pStyle w:val="3"/>
        <w:keepNext/>
        <w:keepLines/>
        <w:pageBreakBefore w:val="0"/>
        <w:widowControl w:val="0"/>
        <w:kinsoku/>
        <w:wordWrap/>
        <w:overflowPunct/>
        <w:topLinePunct w:val="0"/>
        <w:autoSpaceDE/>
        <w:autoSpaceDN/>
        <w:bidi w:val="0"/>
        <w:adjustRightInd/>
        <w:snapToGrid w:val="0"/>
        <w:spacing w:before="0" w:after="0" w:line="520" w:lineRule="exact"/>
        <w:jc w:val="both"/>
        <w:textAlignment w:val="auto"/>
        <w:rPr>
          <w:rFonts w:hint="eastAsia" w:ascii="宋体" w:hAnsi="宋体" w:eastAsia="宋体" w:cs="宋体"/>
          <w:color w:val="000000" w:themeColor="text1"/>
          <w:kern w:val="0"/>
          <w14:textFill>
            <w14:solidFill>
              <w14:schemeClr w14:val="tx1"/>
            </w14:solidFill>
          </w14:textFill>
        </w:rPr>
      </w:pPr>
      <w:bookmarkStart w:id="571" w:name="_Toc213410607"/>
      <w:bookmarkStart w:id="572" w:name="_Toc24593"/>
      <w:bookmarkStart w:id="573" w:name="_Toc233668309"/>
      <w:bookmarkStart w:id="574" w:name="_Toc195156256"/>
      <w:bookmarkStart w:id="575" w:name="_Toc21719"/>
      <w:bookmarkStart w:id="576" w:name="_Toc231978508"/>
      <w:bookmarkStart w:id="577" w:name="_Toc211837019"/>
      <w:bookmarkStart w:id="578" w:name="_Toc26599"/>
      <w:bookmarkStart w:id="579" w:name="_Toc207527411"/>
      <w:bookmarkStart w:id="580" w:name="_Toc211501735"/>
      <w:bookmarkStart w:id="581" w:name="_Toc30651"/>
      <w:bookmarkStart w:id="582" w:name="_Toc3005"/>
      <w:bookmarkStart w:id="583" w:name="_Toc27354"/>
      <w:bookmarkStart w:id="584" w:name="_Toc5292"/>
      <w:bookmarkStart w:id="585" w:name="_Toc24722"/>
      <w:r>
        <w:rPr>
          <w:rFonts w:hint="eastAsia" w:ascii="宋体" w:hAnsi="宋体" w:eastAsia="宋体" w:cs="宋体"/>
          <w:color w:val="000000" w:themeColor="text1"/>
          <w:kern w:val="0"/>
          <w14:textFill>
            <w14:solidFill>
              <w14:schemeClr w14:val="tx1"/>
            </w14:solidFill>
          </w14:textFill>
        </w:rPr>
        <w:t>4.3</w:t>
      </w:r>
      <w:r>
        <w:rPr>
          <w:rFonts w:hint="eastAsia" w:ascii="宋体" w:hAnsi="宋体" w:eastAsia="宋体" w:cs="宋体"/>
          <w:color w:val="000000" w:themeColor="text1"/>
          <w:kern w:val="0"/>
          <w:lang w:val="en-US" w:eastAsia="zh-CN"/>
          <w14:textFill>
            <w14:solidFill>
              <w14:schemeClr w14:val="tx1"/>
            </w14:solidFill>
          </w14:textFill>
        </w:rPr>
        <w:t xml:space="preserve"> </w:t>
      </w:r>
      <w:r>
        <w:rPr>
          <w:rFonts w:hint="eastAsia" w:ascii="宋体" w:hAnsi="宋体" w:eastAsia="宋体" w:cs="宋体"/>
          <w:color w:val="000000" w:themeColor="text1"/>
          <w:kern w:val="0"/>
          <w14:textFill>
            <w14:solidFill>
              <w14:schemeClr w14:val="tx1"/>
            </w14:solidFill>
          </w14:textFill>
        </w:rPr>
        <w:t>评价方法</w:t>
      </w:r>
      <w:bookmarkEnd w:id="571"/>
      <w:bookmarkEnd w:id="572"/>
      <w:bookmarkEnd w:id="573"/>
      <w:bookmarkEnd w:id="574"/>
      <w:bookmarkEnd w:id="575"/>
      <w:bookmarkEnd w:id="576"/>
      <w:bookmarkEnd w:id="577"/>
      <w:bookmarkEnd w:id="578"/>
      <w:bookmarkEnd w:id="579"/>
      <w:bookmarkEnd w:id="580"/>
      <w:bookmarkEnd w:id="581"/>
      <w:r>
        <w:rPr>
          <w:rFonts w:hint="eastAsia" w:ascii="宋体" w:hAnsi="宋体" w:eastAsia="宋体" w:cs="宋体"/>
          <w:color w:val="000000" w:themeColor="text1"/>
          <w:kern w:val="0"/>
          <w14:textFill>
            <w14:solidFill>
              <w14:schemeClr w14:val="tx1"/>
            </w14:solidFill>
          </w14:textFill>
        </w:rPr>
        <w:t>的确定</w:t>
      </w:r>
      <w:bookmarkEnd w:id="582"/>
      <w:bookmarkEnd w:id="583"/>
      <w:bookmarkEnd w:id="584"/>
      <w:bookmarkEnd w:id="585"/>
    </w:p>
    <w:p w14:paraId="2FF63E63">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en-GB"/>
          <w14:textFill>
            <w14:solidFill>
              <w14:schemeClr w14:val="tx1"/>
            </w14:solidFill>
          </w14:textFill>
        </w:rPr>
      </w:pPr>
      <w:r>
        <w:rPr>
          <w:rFonts w:hint="eastAsia" w:ascii="宋体" w:hAnsi="宋体" w:eastAsia="宋体" w:cs="宋体"/>
          <w:color w:val="000000" w:themeColor="text1"/>
          <w:sz w:val="28"/>
          <w:szCs w:val="28"/>
          <w:lang w:val="en-GB"/>
          <w14:textFill>
            <w14:solidFill>
              <w14:schemeClr w14:val="tx1"/>
            </w14:solidFill>
          </w14:textFill>
        </w:rPr>
        <w:t>根据评价方法选取应遵循充分性、适应性、系统性、针对性和合理性的原则，结合该项目的特点，本报告选用安全检查表（SCA）、作业条件危险性分析法等</w:t>
      </w:r>
      <w:r>
        <w:rPr>
          <w:rFonts w:hint="eastAsia" w:ascii="宋体" w:hAnsi="宋体" w:eastAsia="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val="en-GB"/>
          <w14:textFill>
            <w14:solidFill>
              <w14:schemeClr w14:val="tx1"/>
            </w14:solidFill>
          </w14:textFill>
        </w:rPr>
        <w:t>种安全评价方法对该工程项目危险、有害因素及危险、有害程度进行分析评价。</w:t>
      </w:r>
    </w:p>
    <w:p w14:paraId="7D1C8D8B">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en-GB"/>
          <w14:textFill>
            <w14:solidFill>
              <w14:schemeClr w14:val="tx1"/>
            </w14:solidFill>
          </w14:textFill>
        </w:rPr>
      </w:pPr>
      <w:r>
        <w:rPr>
          <w:rFonts w:hint="eastAsia" w:ascii="宋体" w:hAnsi="宋体" w:eastAsia="宋体" w:cs="宋体"/>
          <w:color w:val="000000" w:themeColor="text1"/>
          <w:sz w:val="28"/>
          <w:szCs w:val="28"/>
          <w:lang w:val="en-GB"/>
          <w14:textFill>
            <w14:solidFill>
              <w14:schemeClr w14:val="tx1"/>
            </w14:solidFill>
          </w14:textFill>
        </w:rPr>
        <w:t>在安全评价过程中，为检查该厂址及总平面布置、生产工艺和设备设施、</w:t>
      </w:r>
      <w:r>
        <w:rPr>
          <w:rFonts w:hint="eastAsia" w:ascii="宋体" w:hAnsi="宋体" w:eastAsia="宋体" w:cs="宋体"/>
          <w:color w:val="000000" w:themeColor="text1"/>
          <w:sz w:val="28"/>
          <w:szCs w:val="28"/>
          <w:lang w:val="en-US" w:eastAsia="zh-CN"/>
          <w14:textFill>
            <w14:solidFill>
              <w14:schemeClr w14:val="tx1"/>
            </w14:solidFill>
          </w14:textFill>
        </w:rPr>
        <w:t>安全防护设施、</w:t>
      </w:r>
      <w:r>
        <w:rPr>
          <w:rFonts w:hint="eastAsia" w:ascii="宋体" w:hAnsi="宋体" w:eastAsia="宋体" w:cs="宋体"/>
          <w:color w:val="000000" w:themeColor="text1"/>
          <w:sz w:val="28"/>
          <w:szCs w:val="28"/>
          <w:lang w:val="en-GB"/>
          <w14:textFill>
            <w14:solidFill>
              <w14:schemeClr w14:val="tx1"/>
            </w14:solidFill>
          </w14:textFill>
        </w:rPr>
        <w:t>公用工程及辅助设施</w:t>
      </w:r>
      <w:r>
        <w:rPr>
          <w:rFonts w:hint="eastAsia" w:ascii="宋体" w:hAnsi="宋体" w:eastAsia="宋体" w:cs="宋体"/>
          <w:color w:val="000000" w:themeColor="text1"/>
          <w:sz w:val="28"/>
          <w:szCs w:val="28"/>
          <w:lang w:val="en-GB" w:eastAsia="zh-CN"/>
          <w14:textFill>
            <w14:solidFill>
              <w14:schemeClr w14:val="tx1"/>
            </w14:solidFill>
          </w14:textFill>
        </w:rPr>
        <w:t>、</w:t>
      </w:r>
      <w:r>
        <w:rPr>
          <w:rFonts w:hint="eastAsia" w:ascii="宋体" w:hAnsi="宋体" w:eastAsia="宋体" w:cs="宋体"/>
          <w:color w:val="000000" w:themeColor="text1"/>
          <w:sz w:val="28"/>
          <w:szCs w:val="28"/>
          <w:lang w:val="en-GB"/>
          <w14:textFill>
            <w14:solidFill>
              <w14:schemeClr w14:val="tx1"/>
            </w14:solidFill>
          </w14:textFill>
        </w:rPr>
        <w:t>安全管理单元</w:t>
      </w:r>
      <w:r>
        <w:rPr>
          <w:rFonts w:hint="eastAsia" w:ascii="宋体" w:hAnsi="宋体" w:eastAsia="宋体" w:cs="宋体"/>
          <w:color w:val="000000" w:themeColor="text1"/>
          <w:sz w:val="28"/>
          <w:szCs w:val="28"/>
          <w:lang w:val="en-GB"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重大事故隐患</w:t>
      </w:r>
      <w:r>
        <w:rPr>
          <w:rFonts w:hint="eastAsia" w:ascii="宋体" w:hAnsi="宋体" w:eastAsia="宋体" w:cs="宋体"/>
          <w:color w:val="000000" w:themeColor="text1"/>
          <w:sz w:val="28"/>
          <w:szCs w:val="28"/>
          <w:lang w:val="en-GB"/>
          <w14:textFill>
            <w14:solidFill>
              <w14:schemeClr w14:val="tx1"/>
            </w14:solidFill>
          </w14:textFill>
        </w:rPr>
        <w:t>与国家相关法律、法规、规范及标准要求的符合性，因此选用了安全检查表，以达到突出重点、避免遗漏的目的。</w:t>
      </w:r>
    </w:p>
    <w:p w14:paraId="6D96F3FA">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en-GB"/>
          <w14:textFill>
            <w14:solidFill>
              <w14:schemeClr w14:val="tx1"/>
            </w14:solidFill>
          </w14:textFill>
        </w:rPr>
      </w:pPr>
      <w:r>
        <w:rPr>
          <w:rFonts w:hint="eastAsia" w:ascii="宋体" w:hAnsi="宋体" w:eastAsia="宋体" w:cs="宋体"/>
          <w:color w:val="000000" w:themeColor="text1"/>
          <w:sz w:val="28"/>
          <w:szCs w:val="28"/>
          <w:lang w:val="en-GB"/>
          <w14:textFill>
            <w14:solidFill>
              <w14:schemeClr w14:val="tx1"/>
            </w14:solidFill>
          </w14:textFill>
        </w:rPr>
        <w:t>在生产操作过程中使用作业条件危险性分析法（LEC）对项目固有的危险程度及风险程度进行评价，达到细化作业步骤、作业区域和危险源的目的。</w:t>
      </w:r>
    </w:p>
    <w:p w14:paraId="2C8EB173">
      <w:pPr>
        <w:pStyle w:val="3"/>
        <w:keepNext/>
        <w:keepLines/>
        <w:pageBreakBefore w:val="0"/>
        <w:widowControl w:val="0"/>
        <w:kinsoku/>
        <w:wordWrap/>
        <w:overflowPunct/>
        <w:topLinePunct w:val="0"/>
        <w:autoSpaceDE/>
        <w:autoSpaceDN/>
        <w:bidi w:val="0"/>
        <w:adjustRightInd/>
        <w:snapToGrid w:val="0"/>
        <w:spacing w:before="0" w:after="0" w:line="520" w:lineRule="exact"/>
        <w:jc w:val="both"/>
        <w:textAlignment w:val="auto"/>
        <w:rPr>
          <w:rFonts w:hint="eastAsia" w:ascii="宋体" w:hAnsi="宋体" w:eastAsia="宋体" w:cs="宋体"/>
          <w:color w:val="000000" w:themeColor="text1"/>
          <w:kern w:val="0"/>
          <w14:textFill>
            <w14:solidFill>
              <w14:schemeClr w14:val="tx1"/>
            </w14:solidFill>
          </w14:textFill>
        </w:rPr>
      </w:pPr>
      <w:bookmarkStart w:id="586" w:name="_Toc213410608"/>
      <w:bookmarkStart w:id="587" w:name="_Toc231978509"/>
      <w:bookmarkStart w:id="588" w:name="_Toc211501736"/>
      <w:bookmarkStart w:id="589" w:name="_Toc211837020"/>
      <w:bookmarkStart w:id="590" w:name="_Toc20638"/>
      <w:bookmarkStart w:id="591" w:name="_Toc233668310"/>
      <w:bookmarkStart w:id="592" w:name="_Toc19971"/>
      <w:bookmarkStart w:id="593" w:name="_Toc207527412"/>
      <w:bookmarkStart w:id="594" w:name="_Toc19469"/>
      <w:bookmarkStart w:id="595" w:name="_Toc4438"/>
      <w:bookmarkStart w:id="596" w:name="_Toc195156257"/>
      <w:bookmarkStart w:id="597" w:name="_Toc29841"/>
      <w:bookmarkStart w:id="598" w:name="_Toc25346"/>
      <w:bookmarkStart w:id="599" w:name="_Toc3246"/>
      <w:bookmarkStart w:id="600" w:name="_Toc22758"/>
      <w:bookmarkStart w:id="601" w:name="_Toc14343"/>
      <w:r>
        <w:rPr>
          <w:rFonts w:hint="eastAsia" w:ascii="宋体" w:hAnsi="宋体" w:eastAsia="宋体" w:cs="宋体"/>
          <w:color w:val="000000" w:themeColor="text1"/>
          <w:kern w:val="0"/>
          <w14:textFill>
            <w14:solidFill>
              <w14:schemeClr w14:val="tx1"/>
            </w14:solidFill>
          </w14:textFill>
        </w:rPr>
        <w:t>4.4</w:t>
      </w:r>
      <w:r>
        <w:rPr>
          <w:rFonts w:hint="eastAsia" w:ascii="宋体" w:hAnsi="宋体" w:eastAsia="宋体" w:cs="宋体"/>
          <w:color w:val="000000" w:themeColor="text1"/>
          <w:kern w:val="0"/>
          <w:lang w:val="en-US" w:eastAsia="zh-CN"/>
          <w14:textFill>
            <w14:solidFill>
              <w14:schemeClr w14:val="tx1"/>
            </w14:solidFill>
          </w14:textFill>
        </w:rPr>
        <w:t xml:space="preserve"> </w:t>
      </w:r>
      <w:r>
        <w:rPr>
          <w:rFonts w:hint="eastAsia" w:ascii="宋体" w:hAnsi="宋体" w:eastAsia="宋体" w:cs="宋体"/>
          <w:color w:val="000000" w:themeColor="text1"/>
          <w:kern w:val="0"/>
          <w14:textFill>
            <w14:solidFill>
              <w14:schemeClr w14:val="tx1"/>
            </w14:solidFill>
          </w14:textFill>
        </w:rPr>
        <w:t>评价方法</w:t>
      </w:r>
      <w:bookmarkEnd w:id="586"/>
      <w:bookmarkEnd w:id="587"/>
      <w:bookmarkEnd w:id="588"/>
      <w:bookmarkEnd w:id="589"/>
      <w:bookmarkEnd w:id="590"/>
      <w:bookmarkEnd w:id="591"/>
      <w:bookmarkEnd w:id="592"/>
      <w:bookmarkEnd w:id="593"/>
      <w:bookmarkEnd w:id="594"/>
      <w:bookmarkEnd w:id="595"/>
      <w:bookmarkEnd w:id="596"/>
      <w:bookmarkEnd w:id="597"/>
      <w:r>
        <w:rPr>
          <w:rFonts w:hint="eastAsia" w:ascii="宋体" w:hAnsi="宋体" w:eastAsia="宋体" w:cs="宋体"/>
          <w:color w:val="000000" w:themeColor="text1"/>
          <w:kern w:val="0"/>
          <w14:textFill>
            <w14:solidFill>
              <w14:schemeClr w14:val="tx1"/>
            </w14:solidFill>
          </w14:textFill>
        </w:rPr>
        <w:t>介绍</w:t>
      </w:r>
      <w:bookmarkEnd w:id="598"/>
      <w:bookmarkEnd w:id="599"/>
      <w:bookmarkEnd w:id="600"/>
      <w:bookmarkEnd w:id="601"/>
    </w:p>
    <w:p w14:paraId="18B94DCD">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602" w:name="_Toc11553"/>
      <w:bookmarkStart w:id="603" w:name="_Toc30988"/>
      <w:bookmarkStart w:id="604" w:name="_Toc278151416"/>
      <w:bookmarkStart w:id="605" w:name="_Toc61474458"/>
      <w:bookmarkStart w:id="606" w:name="_Toc30001435"/>
      <w:bookmarkStart w:id="607" w:name="_Toc216867557"/>
      <w:bookmarkStart w:id="608" w:name="_Toc23342"/>
      <w:bookmarkStart w:id="609" w:name="_Toc32237"/>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4.4.1安全检查表法（SCA）</w:t>
      </w:r>
      <w:bookmarkEnd w:id="602"/>
      <w:bookmarkEnd w:id="603"/>
      <w:bookmarkEnd w:id="604"/>
      <w:bookmarkEnd w:id="605"/>
      <w:bookmarkEnd w:id="606"/>
      <w:bookmarkEnd w:id="607"/>
      <w:bookmarkEnd w:id="608"/>
      <w:bookmarkEnd w:id="609"/>
    </w:p>
    <w:p w14:paraId="1D50EAE9">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en-GB"/>
          <w14:textFill>
            <w14:solidFill>
              <w14:schemeClr w14:val="tx1"/>
            </w14:solidFill>
          </w14:textFill>
        </w:rPr>
      </w:pPr>
      <w:r>
        <w:rPr>
          <w:rFonts w:hint="eastAsia" w:ascii="宋体" w:hAnsi="宋体" w:eastAsia="宋体" w:cs="宋体"/>
          <w:color w:val="000000" w:themeColor="text1"/>
          <w:sz w:val="28"/>
          <w:szCs w:val="28"/>
          <w:lang w:val="en-GB"/>
          <w14:textFill>
            <w14:solidFill>
              <w14:schemeClr w14:val="tx1"/>
            </w14:solidFill>
          </w14:textFill>
        </w:rPr>
        <w:t>安全检查表评价方法简便灵活，是安全评价的常规方法，具有简便、实用、有效的特点。依据国家、地区、行业等相关的标准、法规编制检查表，判断是否、有无，找出缺陷、疏漏、隐患、问题。所以对项目总体和各单元的预评价中均运用了这一方法。本评价中安全检查表的内容主要有三部分：</w:t>
      </w:r>
    </w:p>
    <w:p w14:paraId="07586205">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en-GB"/>
          <w14:textFill>
            <w14:solidFill>
              <w14:schemeClr w14:val="tx1"/>
            </w14:solidFill>
          </w14:textFill>
        </w:rPr>
      </w:pPr>
      <w:r>
        <w:rPr>
          <w:rFonts w:hint="eastAsia" w:ascii="宋体" w:hAnsi="宋体" w:eastAsia="宋体" w:cs="宋体"/>
          <w:color w:val="000000" w:themeColor="text1"/>
          <w:sz w:val="28"/>
          <w:szCs w:val="28"/>
          <w:lang w:val="en-GB"/>
          <w14:textFill>
            <w14:solidFill>
              <w14:schemeClr w14:val="tx1"/>
            </w14:solidFill>
          </w14:textFill>
        </w:rPr>
        <w:t>①检查项目和要求：针对该单元功能、工艺、设备等固有或潜在的主要危险危害因素，逐条列出检查的项目和国家有关劳动安全卫生方面的法律、法规、标准以及行业规定中对工程设计、施工、运行管理的各种具体要求。</w:t>
      </w:r>
    </w:p>
    <w:p w14:paraId="25BE3F4F">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en-GB"/>
          <w14:textFill>
            <w14:solidFill>
              <w14:schemeClr w14:val="tx1"/>
            </w14:solidFill>
          </w14:textFill>
        </w:rPr>
      </w:pPr>
      <w:r>
        <w:rPr>
          <w:rFonts w:hint="eastAsia" w:ascii="宋体" w:hAnsi="宋体" w:eastAsia="宋体" w:cs="宋体"/>
          <w:color w:val="000000" w:themeColor="text1"/>
          <w:sz w:val="28"/>
          <w:szCs w:val="28"/>
          <w:lang w:val="en-GB"/>
          <w14:textFill>
            <w14:solidFill>
              <w14:schemeClr w14:val="tx1"/>
            </w14:solidFill>
          </w14:textFill>
        </w:rPr>
        <w:t>②检查情况：针对检查项目和要求，通过审查文件资料，勘察现场，分析预测项目建成后与法律法规、标准规范的符合性，从而判断项目建成后的风险度。</w:t>
      </w:r>
    </w:p>
    <w:p w14:paraId="5BA3992C">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en-GB"/>
          <w14:textFill>
            <w14:solidFill>
              <w14:schemeClr w14:val="tx1"/>
            </w14:solidFill>
          </w14:textFill>
        </w:rPr>
      </w:pPr>
      <w:r>
        <w:rPr>
          <w:rFonts w:hint="eastAsia" w:ascii="宋体" w:hAnsi="宋体" w:eastAsia="宋体" w:cs="宋体"/>
          <w:color w:val="000000" w:themeColor="text1"/>
          <w:sz w:val="28"/>
          <w:szCs w:val="28"/>
          <w:lang w:val="en-GB"/>
          <w14:textFill>
            <w14:solidFill>
              <w14:schemeClr w14:val="tx1"/>
            </w14:solidFill>
          </w14:textFill>
        </w:rPr>
        <w:t>③检查结论：针对检查项目，根据文件资料、现场调查情况作出与要求符合、不符合的结论。</w:t>
      </w:r>
      <w:bookmarkEnd w:id="567"/>
      <w:bookmarkEnd w:id="568"/>
      <w:bookmarkEnd w:id="569"/>
      <w:bookmarkEnd w:id="570"/>
    </w:p>
    <w:p w14:paraId="3FE0E6E9">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610" w:name="_Toc30001436"/>
      <w:bookmarkStart w:id="611" w:name="_Toc61474459"/>
      <w:bookmarkStart w:id="612" w:name="_Toc8426"/>
      <w:bookmarkStart w:id="613" w:name="_Toc201697625"/>
      <w:bookmarkStart w:id="614" w:name="_Toc278151418"/>
      <w:bookmarkStart w:id="615" w:name="_Toc4496"/>
      <w:bookmarkStart w:id="616" w:name="_Toc211237884"/>
      <w:bookmarkStart w:id="617" w:name="_Toc8404"/>
      <w:bookmarkStart w:id="618" w:name="_Toc201697626"/>
      <w:bookmarkStart w:id="619" w:name="_Toc216867563"/>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4.4.2作业条件危险性评价法（LEC）</w:t>
      </w:r>
      <w:bookmarkEnd w:id="610"/>
      <w:bookmarkEnd w:id="611"/>
      <w:bookmarkEnd w:id="612"/>
      <w:bookmarkEnd w:id="613"/>
      <w:bookmarkEnd w:id="614"/>
      <w:bookmarkEnd w:id="615"/>
      <w:bookmarkEnd w:id="616"/>
      <w:bookmarkEnd w:id="617"/>
    </w:p>
    <w:p w14:paraId="0A704E99">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en-GB"/>
          <w14:textFill>
            <w14:solidFill>
              <w14:schemeClr w14:val="tx1"/>
            </w14:solidFill>
          </w14:textFill>
        </w:rPr>
      </w:pPr>
      <w:r>
        <w:rPr>
          <w:rFonts w:hint="eastAsia" w:ascii="宋体" w:hAnsi="宋体" w:eastAsia="宋体" w:cs="宋体"/>
          <w:color w:val="000000" w:themeColor="text1"/>
          <w:sz w:val="28"/>
          <w:szCs w:val="28"/>
          <w:lang w:val="en-GB"/>
          <w14:textFill>
            <w14:solidFill>
              <w14:schemeClr w14:val="tx1"/>
            </w14:solidFill>
          </w14:textFill>
        </w:rPr>
        <w:t>作业条件危险性评价法是一种简便易行的评价方法，用来评价人们在某种具有潜在危险环境中作业的危险性。该法以被评价的环境与某些作为参考的环境进行比较为基础，采用专家“评分”的办法确定各种自变量的分数值，最后根据总的危险分数值来评价其危险性。该法已用于一些工业企业危险性的评价，取得较好效果。</w:t>
      </w:r>
    </w:p>
    <w:p w14:paraId="1CDE34D5">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en-GB"/>
          <w14:textFill>
            <w14:solidFill>
              <w14:schemeClr w14:val="tx1"/>
            </w14:solidFill>
          </w14:textFill>
        </w:rPr>
      </w:pPr>
      <w:r>
        <w:rPr>
          <w:rFonts w:hint="eastAsia" w:ascii="宋体" w:hAnsi="宋体" w:eastAsia="宋体" w:cs="宋体"/>
          <w:color w:val="000000" w:themeColor="text1"/>
          <w:sz w:val="28"/>
          <w:szCs w:val="28"/>
          <w:lang w:val="en-GB"/>
          <w14:textFill>
            <w14:solidFill>
              <w14:schemeClr w14:val="tx1"/>
            </w14:solidFill>
          </w14:textFill>
        </w:rPr>
        <w:t>格雷厄姆和金尼认为影响危险性的主要因素有三个：</w:t>
      </w:r>
    </w:p>
    <w:p w14:paraId="047AE5B5">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en-GB"/>
          <w14:textFill>
            <w14:solidFill>
              <w14:schemeClr w14:val="tx1"/>
            </w14:solidFill>
          </w14:textFill>
        </w:rPr>
      </w:pPr>
      <w:r>
        <w:rPr>
          <w:rFonts w:hint="eastAsia" w:ascii="宋体" w:hAnsi="宋体" w:eastAsia="宋体" w:cs="宋体"/>
          <w:color w:val="000000" w:themeColor="text1"/>
          <w:sz w:val="28"/>
          <w:szCs w:val="28"/>
          <w:lang w:val="en-GB"/>
          <w14:textFill>
            <w14:solidFill>
              <w14:schemeClr w14:val="tx1"/>
            </w14:solidFill>
          </w14:textFill>
        </w:rPr>
        <w:t>1.发生事故或危险事件的可能性；</w:t>
      </w:r>
    </w:p>
    <w:p w14:paraId="31433F59">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en-GB"/>
          <w14:textFill>
            <w14:solidFill>
              <w14:schemeClr w14:val="tx1"/>
            </w14:solidFill>
          </w14:textFill>
        </w:rPr>
      </w:pPr>
      <w:r>
        <w:rPr>
          <w:rFonts w:hint="eastAsia" w:ascii="宋体" w:hAnsi="宋体" w:eastAsia="宋体" w:cs="宋体"/>
          <w:color w:val="000000" w:themeColor="text1"/>
          <w:sz w:val="28"/>
          <w:szCs w:val="28"/>
          <w:lang w:val="en-GB"/>
          <w14:textFill>
            <w14:solidFill>
              <w14:schemeClr w14:val="tx1"/>
            </w14:solidFill>
          </w14:textFill>
        </w:rPr>
        <w:t>2.暴露于这种危险环境的频率；</w:t>
      </w:r>
    </w:p>
    <w:p w14:paraId="1136E774">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en-GB"/>
          <w14:textFill>
            <w14:solidFill>
              <w14:schemeClr w14:val="tx1"/>
            </w14:solidFill>
          </w14:textFill>
        </w:rPr>
      </w:pPr>
      <w:r>
        <w:rPr>
          <w:rFonts w:hint="eastAsia" w:ascii="宋体" w:hAnsi="宋体" w:eastAsia="宋体" w:cs="宋体"/>
          <w:color w:val="000000" w:themeColor="text1"/>
          <w:sz w:val="28"/>
          <w:szCs w:val="28"/>
          <w:lang w:val="en-GB"/>
          <w14:textFill>
            <w14:solidFill>
              <w14:schemeClr w14:val="tx1"/>
            </w14:solidFill>
          </w14:textFill>
        </w:rPr>
        <w:t>3.事故一旦发生时可能产生的后果。</w:t>
      </w:r>
    </w:p>
    <w:p w14:paraId="7F5B7119">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en-GB"/>
          <w14:textFill>
            <w14:solidFill>
              <w14:schemeClr w14:val="tx1"/>
            </w14:solidFill>
          </w14:textFill>
        </w:rPr>
      </w:pPr>
      <w:r>
        <w:rPr>
          <w:rFonts w:hint="eastAsia" w:ascii="宋体" w:hAnsi="宋体" w:eastAsia="宋体" w:cs="宋体"/>
          <w:color w:val="000000" w:themeColor="text1"/>
          <w:sz w:val="28"/>
          <w:szCs w:val="28"/>
          <w:lang w:val="en-GB"/>
          <w14:textFill>
            <w14:solidFill>
              <w14:schemeClr w14:val="tx1"/>
            </w14:solidFill>
          </w14:textFill>
        </w:rPr>
        <w:t>前两者可以看作是危险概率，后者则相当于危险严重度。危险性可以下式来表达：</w:t>
      </w:r>
    </w:p>
    <w:p w14:paraId="54AAD76A">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en-GB"/>
          <w14:textFill>
            <w14:solidFill>
              <w14:schemeClr w14:val="tx1"/>
            </w14:solidFill>
          </w14:textFill>
        </w:rPr>
      </w:pPr>
      <w:r>
        <w:rPr>
          <w:rFonts w:hint="eastAsia" w:ascii="宋体" w:hAnsi="宋体" w:eastAsia="宋体" w:cs="宋体"/>
          <w:color w:val="000000" w:themeColor="text1"/>
          <w:sz w:val="28"/>
          <w:szCs w:val="28"/>
          <w:lang w:val="en-GB"/>
          <w14:textFill>
            <w14:solidFill>
              <w14:schemeClr w14:val="tx1"/>
            </w14:solidFill>
          </w14:textFill>
        </w:rPr>
        <w:t>危险性（D）= L×E×C</w:t>
      </w:r>
    </w:p>
    <w:p w14:paraId="0619D455">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en-GB"/>
          <w14:textFill>
            <w14:solidFill>
              <w14:schemeClr w14:val="tx1"/>
            </w14:solidFill>
          </w14:textFill>
        </w:rPr>
      </w:pPr>
      <w:r>
        <w:rPr>
          <w:rFonts w:hint="eastAsia" w:ascii="宋体" w:hAnsi="宋体" w:eastAsia="宋体" w:cs="宋体"/>
          <w:color w:val="000000" w:themeColor="text1"/>
          <w:sz w:val="28"/>
          <w:szCs w:val="28"/>
          <w:lang w:val="en-GB"/>
          <w14:textFill>
            <w14:solidFill>
              <w14:schemeClr w14:val="tx1"/>
            </w14:solidFill>
          </w14:textFill>
        </w:rPr>
        <w:t>式中：L 事故或危险事件发生的可能性；</w:t>
      </w:r>
    </w:p>
    <w:p w14:paraId="6B575FF7">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en-GB"/>
          <w14:textFill>
            <w14:solidFill>
              <w14:schemeClr w14:val="tx1"/>
            </w14:solidFill>
          </w14:textFill>
        </w:rPr>
      </w:pPr>
      <w:r>
        <w:rPr>
          <w:rFonts w:hint="eastAsia" w:ascii="宋体" w:hAnsi="宋体" w:eastAsia="宋体" w:cs="宋体"/>
          <w:color w:val="000000" w:themeColor="text1"/>
          <w:sz w:val="28"/>
          <w:szCs w:val="28"/>
          <w:lang w:val="en-GB"/>
          <w14:textFill>
            <w14:solidFill>
              <w14:schemeClr w14:val="tx1"/>
            </w14:solidFill>
          </w14:textFill>
        </w:rPr>
        <w:t>E 暴露于危险环境的频率；</w:t>
      </w:r>
    </w:p>
    <w:p w14:paraId="7776ACB5">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en-GB"/>
          <w14:textFill>
            <w14:solidFill>
              <w14:schemeClr w14:val="tx1"/>
            </w14:solidFill>
          </w14:textFill>
        </w:rPr>
      </w:pPr>
      <w:r>
        <w:rPr>
          <w:rFonts w:hint="eastAsia" w:ascii="宋体" w:hAnsi="宋体" w:eastAsia="宋体" w:cs="宋体"/>
          <w:color w:val="000000" w:themeColor="text1"/>
          <w:sz w:val="28"/>
          <w:szCs w:val="28"/>
          <w:lang w:val="en-GB"/>
          <w14:textFill>
            <w14:solidFill>
              <w14:schemeClr w14:val="tx1"/>
            </w14:solidFill>
          </w14:textFill>
        </w:rPr>
        <w:t>C 危险严重度。</w:t>
      </w:r>
    </w:p>
    <w:p w14:paraId="0B359867">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en-GB"/>
          <w14:textFill>
            <w14:solidFill>
              <w14:schemeClr w14:val="tx1"/>
            </w14:solidFill>
          </w14:textFill>
        </w:rPr>
      </w:pPr>
      <w:r>
        <w:rPr>
          <w:rFonts w:hint="eastAsia" w:ascii="宋体" w:hAnsi="宋体" w:eastAsia="宋体" w:cs="宋体"/>
          <w:color w:val="000000" w:themeColor="text1"/>
          <w:sz w:val="28"/>
          <w:szCs w:val="28"/>
          <w:lang w:val="en-GB"/>
          <w14:textFill>
            <w14:solidFill>
              <w14:schemeClr w14:val="tx1"/>
            </w14:solidFill>
          </w14:textFill>
        </w:rPr>
        <w:t xml:space="preserve">1.可能性因素 L </w:t>
      </w:r>
    </w:p>
    <w:p w14:paraId="50EA8F9D">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en-GB"/>
          <w14:textFill>
            <w14:solidFill>
              <w14:schemeClr w14:val="tx1"/>
            </w14:solidFill>
          </w14:textFill>
        </w:rPr>
      </w:pPr>
      <w:r>
        <w:rPr>
          <w:rFonts w:hint="eastAsia" w:ascii="宋体" w:hAnsi="宋体" w:eastAsia="宋体" w:cs="宋体"/>
          <w:color w:val="000000" w:themeColor="text1"/>
          <w:sz w:val="28"/>
          <w:szCs w:val="28"/>
          <w:lang w:val="en-GB"/>
          <w14:textFill>
            <w14:solidFill>
              <w14:schemeClr w14:val="tx1"/>
            </w14:solidFill>
          </w14:textFill>
        </w:rPr>
        <w:t>事故或危险事件发生的可能性是与它们实际的数学概率相关联的。绝对不可能发生的事件的概率为0，而必然发生的事件的概率则为1，但在实际情况中，绝对不可能发生的事故是不存在的，只能说可能性极小，概率趋于0，所以，可能性因素L的分数值取值范围为1～10具体见表4-2。</w:t>
      </w:r>
    </w:p>
    <w:p w14:paraId="36177606">
      <w:pPr>
        <w:autoSpaceDE w:val="0"/>
        <w:autoSpaceDN w:val="0"/>
        <w:adjustRightInd w:val="0"/>
        <w:snapToGrid w:val="0"/>
        <w:spacing w:line="50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表4-2  事故或危险事件发生的可能性 L 的分数值表</w:t>
      </w:r>
    </w:p>
    <w:tbl>
      <w:tblPr>
        <w:tblStyle w:val="24"/>
        <w:tblW w:w="89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7"/>
        <w:gridCol w:w="5690"/>
      </w:tblGrid>
      <w:tr w14:paraId="00AD2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3257" w:type="dxa"/>
          </w:tcPr>
          <w:p w14:paraId="6150F330">
            <w:pPr>
              <w:autoSpaceDE w:val="0"/>
              <w:autoSpaceDN w:val="0"/>
              <w:adjustRightInd w:val="0"/>
              <w:snapToGrid w:val="0"/>
              <w:spacing w:line="300" w:lineRule="exact"/>
              <w:jc w:val="center"/>
              <w:rPr>
                <w:rFonts w:hint="eastAsia" w:ascii="宋体" w:hAnsi="宋体" w:eastAsia="宋体" w:cs="宋体"/>
                <w:b/>
                <w:color w:val="000000" w:themeColor="text1"/>
                <w:kern w:val="0"/>
                <w:szCs w:val="21"/>
                <w14:textFill>
                  <w14:solidFill>
                    <w14:schemeClr w14:val="tx1"/>
                  </w14:solidFill>
                </w14:textFill>
              </w:rPr>
            </w:pPr>
            <w:r>
              <w:rPr>
                <w:rFonts w:hint="eastAsia" w:ascii="宋体" w:hAnsi="宋体" w:eastAsia="宋体" w:cs="宋体"/>
                <w:b/>
                <w:color w:val="000000" w:themeColor="text1"/>
                <w:kern w:val="0"/>
                <w:szCs w:val="21"/>
                <w14:textFill>
                  <w14:solidFill>
                    <w14:schemeClr w14:val="tx1"/>
                  </w14:solidFill>
                </w14:textFill>
              </w:rPr>
              <w:t>分数值</w:t>
            </w:r>
          </w:p>
        </w:tc>
        <w:tc>
          <w:tcPr>
            <w:tcW w:w="5690" w:type="dxa"/>
          </w:tcPr>
          <w:p w14:paraId="26EF0DD3">
            <w:pPr>
              <w:autoSpaceDE w:val="0"/>
              <w:autoSpaceDN w:val="0"/>
              <w:adjustRightInd w:val="0"/>
              <w:snapToGrid w:val="0"/>
              <w:spacing w:line="300" w:lineRule="exact"/>
              <w:jc w:val="center"/>
              <w:rPr>
                <w:rFonts w:hint="eastAsia" w:ascii="宋体" w:hAnsi="宋体" w:eastAsia="宋体" w:cs="宋体"/>
                <w:b/>
                <w:color w:val="000000" w:themeColor="text1"/>
                <w:kern w:val="0"/>
                <w:szCs w:val="21"/>
                <w14:textFill>
                  <w14:solidFill>
                    <w14:schemeClr w14:val="tx1"/>
                  </w14:solidFill>
                </w14:textFill>
              </w:rPr>
            </w:pPr>
            <w:r>
              <w:rPr>
                <w:rFonts w:hint="eastAsia" w:ascii="宋体" w:hAnsi="宋体" w:eastAsia="宋体" w:cs="宋体"/>
                <w:b/>
                <w:color w:val="000000" w:themeColor="text1"/>
                <w:kern w:val="0"/>
                <w:szCs w:val="21"/>
                <w14:textFill>
                  <w14:solidFill>
                    <w14:schemeClr w14:val="tx1"/>
                  </w14:solidFill>
                </w14:textFill>
              </w:rPr>
              <w:t>事故或危险事件发生的可能性</w:t>
            </w:r>
          </w:p>
        </w:tc>
      </w:tr>
      <w:tr w14:paraId="0087A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57" w:type="dxa"/>
            <w:vAlign w:val="center"/>
          </w:tcPr>
          <w:p w14:paraId="11C344AF">
            <w:pPr>
              <w:autoSpaceDE w:val="0"/>
              <w:autoSpaceDN w:val="0"/>
              <w:adjustRightInd w:val="0"/>
              <w:snapToGrid w:val="0"/>
              <w:spacing w:line="300" w:lineRule="exact"/>
              <w:jc w:val="center"/>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10</w:t>
            </w:r>
          </w:p>
        </w:tc>
        <w:tc>
          <w:tcPr>
            <w:tcW w:w="5690" w:type="dxa"/>
          </w:tcPr>
          <w:p w14:paraId="6F8BE76E">
            <w:pPr>
              <w:autoSpaceDE w:val="0"/>
              <w:autoSpaceDN w:val="0"/>
              <w:adjustRightInd w:val="0"/>
              <w:snapToGrid w:val="0"/>
              <w:spacing w:line="300" w:lineRule="exact"/>
              <w:jc w:val="center"/>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完全会被预料到</w:t>
            </w:r>
          </w:p>
        </w:tc>
      </w:tr>
      <w:tr w14:paraId="6FB71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57" w:type="dxa"/>
            <w:vAlign w:val="center"/>
          </w:tcPr>
          <w:p w14:paraId="5F761664">
            <w:pPr>
              <w:autoSpaceDE w:val="0"/>
              <w:autoSpaceDN w:val="0"/>
              <w:adjustRightInd w:val="0"/>
              <w:snapToGrid w:val="0"/>
              <w:spacing w:line="300" w:lineRule="exact"/>
              <w:jc w:val="center"/>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c>
          <w:tcPr>
            <w:tcW w:w="5690" w:type="dxa"/>
          </w:tcPr>
          <w:p w14:paraId="6C3D66B0">
            <w:pPr>
              <w:autoSpaceDE w:val="0"/>
              <w:autoSpaceDN w:val="0"/>
              <w:adjustRightInd w:val="0"/>
              <w:snapToGrid w:val="0"/>
              <w:spacing w:line="300" w:lineRule="exact"/>
              <w:jc w:val="center"/>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相当可能</w:t>
            </w:r>
          </w:p>
        </w:tc>
      </w:tr>
      <w:tr w14:paraId="0093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57" w:type="dxa"/>
            <w:vAlign w:val="center"/>
          </w:tcPr>
          <w:p w14:paraId="09F72E62">
            <w:pPr>
              <w:autoSpaceDE w:val="0"/>
              <w:autoSpaceDN w:val="0"/>
              <w:adjustRightInd w:val="0"/>
              <w:snapToGrid w:val="0"/>
              <w:spacing w:line="300" w:lineRule="exact"/>
              <w:jc w:val="center"/>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3</w:t>
            </w:r>
          </w:p>
        </w:tc>
        <w:tc>
          <w:tcPr>
            <w:tcW w:w="5690" w:type="dxa"/>
          </w:tcPr>
          <w:p w14:paraId="0B9EACF2">
            <w:pPr>
              <w:autoSpaceDE w:val="0"/>
              <w:autoSpaceDN w:val="0"/>
              <w:adjustRightInd w:val="0"/>
              <w:snapToGrid w:val="0"/>
              <w:spacing w:line="300" w:lineRule="exact"/>
              <w:jc w:val="center"/>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不经常，但可能</w:t>
            </w:r>
          </w:p>
        </w:tc>
      </w:tr>
      <w:tr w14:paraId="70E71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57" w:type="dxa"/>
            <w:vAlign w:val="center"/>
          </w:tcPr>
          <w:p w14:paraId="6C6793FC">
            <w:pPr>
              <w:autoSpaceDE w:val="0"/>
              <w:autoSpaceDN w:val="0"/>
              <w:adjustRightInd w:val="0"/>
              <w:snapToGrid w:val="0"/>
              <w:spacing w:line="300" w:lineRule="exact"/>
              <w:jc w:val="center"/>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w:t>
            </w:r>
          </w:p>
        </w:tc>
        <w:tc>
          <w:tcPr>
            <w:tcW w:w="5690" w:type="dxa"/>
          </w:tcPr>
          <w:p w14:paraId="3C57AB48">
            <w:pPr>
              <w:autoSpaceDE w:val="0"/>
              <w:autoSpaceDN w:val="0"/>
              <w:adjustRightInd w:val="0"/>
              <w:snapToGrid w:val="0"/>
              <w:spacing w:line="300" w:lineRule="exact"/>
              <w:jc w:val="center"/>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完全意外，极少可能</w:t>
            </w:r>
          </w:p>
        </w:tc>
      </w:tr>
      <w:tr w14:paraId="24EF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57" w:type="dxa"/>
            <w:vAlign w:val="center"/>
          </w:tcPr>
          <w:p w14:paraId="2F9D59F9">
            <w:pPr>
              <w:autoSpaceDE w:val="0"/>
              <w:autoSpaceDN w:val="0"/>
              <w:adjustRightInd w:val="0"/>
              <w:snapToGrid w:val="0"/>
              <w:spacing w:line="300" w:lineRule="exact"/>
              <w:jc w:val="center"/>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0.5</w:t>
            </w:r>
          </w:p>
        </w:tc>
        <w:tc>
          <w:tcPr>
            <w:tcW w:w="5690" w:type="dxa"/>
          </w:tcPr>
          <w:p w14:paraId="715CE01F">
            <w:pPr>
              <w:autoSpaceDE w:val="0"/>
              <w:autoSpaceDN w:val="0"/>
              <w:adjustRightInd w:val="0"/>
              <w:snapToGrid w:val="0"/>
              <w:spacing w:line="300" w:lineRule="exact"/>
              <w:jc w:val="center"/>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可以设想</w:t>
            </w:r>
          </w:p>
        </w:tc>
      </w:tr>
      <w:tr w14:paraId="0A709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57" w:type="dxa"/>
            <w:vAlign w:val="center"/>
          </w:tcPr>
          <w:p w14:paraId="5A6184D0">
            <w:pPr>
              <w:autoSpaceDE w:val="0"/>
              <w:autoSpaceDN w:val="0"/>
              <w:adjustRightInd w:val="0"/>
              <w:snapToGrid w:val="0"/>
              <w:spacing w:line="300" w:lineRule="exact"/>
              <w:jc w:val="center"/>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0.2</w:t>
            </w:r>
          </w:p>
        </w:tc>
        <w:tc>
          <w:tcPr>
            <w:tcW w:w="5690" w:type="dxa"/>
          </w:tcPr>
          <w:p w14:paraId="7525519E">
            <w:pPr>
              <w:autoSpaceDE w:val="0"/>
              <w:autoSpaceDN w:val="0"/>
              <w:adjustRightInd w:val="0"/>
              <w:snapToGrid w:val="0"/>
              <w:spacing w:line="300" w:lineRule="exact"/>
              <w:jc w:val="center"/>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极不可能</w:t>
            </w:r>
          </w:p>
        </w:tc>
      </w:tr>
      <w:tr w14:paraId="123C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57" w:type="dxa"/>
            <w:vAlign w:val="center"/>
          </w:tcPr>
          <w:p w14:paraId="0226F1E1">
            <w:pPr>
              <w:autoSpaceDE w:val="0"/>
              <w:autoSpaceDN w:val="0"/>
              <w:adjustRightInd w:val="0"/>
              <w:snapToGrid w:val="0"/>
              <w:spacing w:line="300" w:lineRule="exact"/>
              <w:jc w:val="center"/>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0.1</w:t>
            </w:r>
          </w:p>
        </w:tc>
        <w:tc>
          <w:tcPr>
            <w:tcW w:w="5690" w:type="dxa"/>
          </w:tcPr>
          <w:p w14:paraId="0FFAD811">
            <w:pPr>
              <w:autoSpaceDE w:val="0"/>
              <w:autoSpaceDN w:val="0"/>
              <w:adjustRightInd w:val="0"/>
              <w:snapToGrid w:val="0"/>
              <w:spacing w:line="300" w:lineRule="exact"/>
              <w:jc w:val="center"/>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实际上不可能</w:t>
            </w:r>
          </w:p>
        </w:tc>
      </w:tr>
    </w:tbl>
    <w:p w14:paraId="7C9DF51A">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2.暴露于危险环境的频率 E</w:t>
      </w:r>
    </w:p>
    <w:p w14:paraId="532DA68D">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lang w:val="en-GB"/>
          <w14:textFill>
            <w14:solidFill>
              <w14:schemeClr w14:val="tx1"/>
            </w14:solidFill>
          </w14:textFill>
        </w:rPr>
      </w:pPr>
      <w:r>
        <w:rPr>
          <w:rFonts w:hint="eastAsia" w:ascii="宋体" w:hAnsi="宋体" w:eastAsia="宋体" w:cs="宋体"/>
          <w:color w:val="000000" w:themeColor="text1"/>
          <w:kern w:val="0"/>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lang w:val="en-GB"/>
          <w14:textFill>
            <w14:solidFill>
              <w14:schemeClr w14:val="tx1"/>
            </w14:solidFill>
          </w14:textFill>
        </w:rPr>
        <w:t>操作人员出现在危险环境中的时间越多，受到伤害的可能性就越大，相应的危险性也就越大。连续出现在危险环境的情况其频率分为10，非常罕见地暴露于危险环境则为0.5。具体分数值见表4-3。</w:t>
      </w:r>
    </w:p>
    <w:p w14:paraId="0E4BC43F">
      <w:pPr>
        <w:autoSpaceDE w:val="0"/>
        <w:autoSpaceDN w:val="0"/>
        <w:adjustRightInd w:val="0"/>
        <w:snapToGrid w:val="0"/>
        <w:spacing w:line="500" w:lineRule="exact"/>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表4-3  暴露于潜在危险环境频率 E 的分数值</w:t>
      </w:r>
    </w:p>
    <w:tbl>
      <w:tblPr>
        <w:tblStyle w:val="24"/>
        <w:tblW w:w="87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97"/>
        <w:gridCol w:w="4344"/>
      </w:tblGrid>
      <w:tr w14:paraId="6A655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397" w:type="dxa"/>
            <w:tcBorders>
              <w:top w:val="single" w:color="auto" w:sz="4" w:space="0"/>
              <w:left w:val="single" w:color="auto" w:sz="4" w:space="0"/>
              <w:bottom w:val="single" w:color="auto" w:sz="4" w:space="0"/>
              <w:right w:val="single" w:color="auto" w:sz="4" w:space="0"/>
            </w:tcBorders>
            <w:vAlign w:val="center"/>
          </w:tcPr>
          <w:p w14:paraId="7EBC4C4D">
            <w:pPr>
              <w:autoSpaceDE w:val="0"/>
              <w:autoSpaceDN w:val="0"/>
              <w:adjustRightInd w:val="0"/>
              <w:snapToGrid w:val="0"/>
              <w:spacing w:line="300" w:lineRule="exact"/>
              <w:jc w:val="center"/>
              <w:rPr>
                <w:rFonts w:hint="eastAsia" w:ascii="宋体" w:hAnsi="宋体" w:eastAsia="宋体" w:cs="宋体"/>
                <w:b/>
                <w:color w:val="000000" w:themeColor="text1"/>
                <w:kern w:val="0"/>
                <w:szCs w:val="21"/>
                <w:lang w:eastAsia="zh-TW"/>
                <w14:textFill>
                  <w14:solidFill>
                    <w14:schemeClr w14:val="tx1"/>
                  </w14:solidFill>
                </w14:textFill>
              </w:rPr>
            </w:pPr>
            <w:r>
              <w:rPr>
                <w:rFonts w:hint="eastAsia" w:ascii="宋体" w:hAnsi="宋体" w:eastAsia="宋体" w:cs="宋体"/>
                <w:b/>
                <w:color w:val="000000" w:themeColor="text1"/>
                <w:kern w:val="0"/>
                <w:szCs w:val="21"/>
                <w14:textFill>
                  <w14:solidFill>
                    <w14:schemeClr w14:val="tx1"/>
                  </w14:solidFill>
                </w14:textFill>
              </w:rPr>
              <w:t>分数值</w:t>
            </w:r>
          </w:p>
        </w:tc>
        <w:tc>
          <w:tcPr>
            <w:tcW w:w="4344" w:type="dxa"/>
            <w:tcBorders>
              <w:top w:val="single" w:color="auto" w:sz="4" w:space="0"/>
              <w:left w:val="single" w:color="auto" w:sz="4" w:space="0"/>
              <w:bottom w:val="single" w:color="auto" w:sz="4" w:space="0"/>
              <w:right w:val="single" w:color="auto" w:sz="4" w:space="0"/>
            </w:tcBorders>
            <w:vAlign w:val="center"/>
          </w:tcPr>
          <w:p w14:paraId="1A3BBF11">
            <w:pPr>
              <w:autoSpaceDE w:val="0"/>
              <w:autoSpaceDN w:val="0"/>
              <w:adjustRightInd w:val="0"/>
              <w:snapToGrid w:val="0"/>
              <w:spacing w:line="300" w:lineRule="exact"/>
              <w:jc w:val="center"/>
              <w:rPr>
                <w:rFonts w:hint="eastAsia" w:ascii="宋体" w:hAnsi="宋体" w:eastAsia="宋体" w:cs="宋体"/>
                <w:b/>
                <w:color w:val="000000" w:themeColor="text1"/>
                <w:kern w:val="0"/>
                <w:szCs w:val="21"/>
                <w14:textFill>
                  <w14:solidFill>
                    <w14:schemeClr w14:val="tx1"/>
                  </w14:solidFill>
                </w14:textFill>
              </w:rPr>
            </w:pPr>
            <w:r>
              <w:rPr>
                <w:rFonts w:hint="eastAsia" w:ascii="宋体" w:hAnsi="宋体" w:eastAsia="宋体" w:cs="宋体"/>
                <w:b/>
                <w:color w:val="000000" w:themeColor="text1"/>
                <w:kern w:val="0"/>
                <w:szCs w:val="21"/>
                <w14:textFill>
                  <w14:solidFill>
                    <w14:schemeClr w14:val="tx1"/>
                  </w14:solidFill>
                </w14:textFill>
              </w:rPr>
              <w:t>暴露于危险环境的频率</w:t>
            </w:r>
          </w:p>
        </w:tc>
      </w:tr>
      <w:tr w14:paraId="76B65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397" w:type="dxa"/>
            <w:tcBorders>
              <w:top w:val="single" w:color="auto" w:sz="4" w:space="0"/>
              <w:left w:val="single" w:color="auto" w:sz="4" w:space="0"/>
              <w:bottom w:val="single" w:color="auto" w:sz="4" w:space="0"/>
              <w:right w:val="single" w:color="auto" w:sz="4" w:space="0"/>
            </w:tcBorders>
            <w:vAlign w:val="center"/>
          </w:tcPr>
          <w:p w14:paraId="0DDF79CD">
            <w:pPr>
              <w:autoSpaceDE w:val="0"/>
              <w:autoSpaceDN w:val="0"/>
              <w:adjustRightInd w:val="0"/>
              <w:snapToGrid w:val="0"/>
              <w:spacing w:line="300" w:lineRule="exact"/>
              <w:jc w:val="center"/>
              <w:rPr>
                <w:rFonts w:hint="eastAsia" w:ascii="宋体" w:hAnsi="宋体" w:eastAsia="宋体" w:cs="宋体"/>
                <w:color w:val="000000" w:themeColor="text1"/>
                <w:kern w:val="0"/>
                <w:szCs w:val="21"/>
                <w:lang w:eastAsia="zh-TW"/>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10</w:t>
            </w:r>
          </w:p>
        </w:tc>
        <w:tc>
          <w:tcPr>
            <w:tcW w:w="4344" w:type="dxa"/>
            <w:tcBorders>
              <w:top w:val="single" w:color="auto" w:sz="4" w:space="0"/>
              <w:left w:val="single" w:color="auto" w:sz="4" w:space="0"/>
              <w:bottom w:val="single" w:color="auto" w:sz="4" w:space="0"/>
              <w:right w:val="single" w:color="auto" w:sz="4" w:space="0"/>
            </w:tcBorders>
            <w:vAlign w:val="center"/>
          </w:tcPr>
          <w:p w14:paraId="1DE07537">
            <w:pPr>
              <w:autoSpaceDE w:val="0"/>
              <w:autoSpaceDN w:val="0"/>
              <w:adjustRightInd w:val="0"/>
              <w:snapToGrid w:val="0"/>
              <w:spacing w:line="300" w:lineRule="exact"/>
              <w:jc w:val="center"/>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连续暴露于潜在危险环境</w:t>
            </w:r>
          </w:p>
        </w:tc>
      </w:tr>
      <w:tr w14:paraId="5A82B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397" w:type="dxa"/>
            <w:tcBorders>
              <w:top w:val="single" w:color="auto" w:sz="4" w:space="0"/>
              <w:left w:val="single" w:color="auto" w:sz="4" w:space="0"/>
              <w:bottom w:val="single" w:color="auto" w:sz="4" w:space="0"/>
              <w:right w:val="single" w:color="auto" w:sz="4" w:space="0"/>
            </w:tcBorders>
            <w:vAlign w:val="center"/>
          </w:tcPr>
          <w:p w14:paraId="5345659B">
            <w:pPr>
              <w:autoSpaceDE w:val="0"/>
              <w:autoSpaceDN w:val="0"/>
              <w:adjustRightInd w:val="0"/>
              <w:snapToGrid w:val="0"/>
              <w:spacing w:line="300" w:lineRule="exact"/>
              <w:jc w:val="center"/>
              <w:rPr>
                <w:rFonts w:hint="eastAsia" w:ascii="宋体" w:hAnsi="宋体" w:eastAsia="宋体" w:cs="宋体"/>
                <w:color w:val="000000" w:themeColor="text1"/>
                <w:kern w:val="0"/>
                <w:szCs w:val="21"/>
                <w:lang w:eastAsia="zh-TW"/>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6</w:t>
            </w:r>
          </w:p>
        </w:tc>
        <w:tc>
          <w:tcPr>
            <w:tcW w:w="4344" w:type="dxa"/>
            <w:tcBorders>
              <w:top w:val="single" w:color="auto" w:sz="4" w:space="0"/>
              <w:left w:val="single" w:color="auto" w:sz="4" w:space="0"/>
              <w:bottom w:val="single" w:color="auto" w:sz="4" w:space="0"/>
              <w:right w:val="single" w:color="auto" w:sz="4" w:space="0"/>
            </w:tcBorders>
            <w:vAlign w:val="center"/>
          </w:tcPr>
          <w:p w14:paraId="2DBB8FD1">
            <w:pPr>
              <w:autoSpaceDE w:val="0"/>
              <w:autoSpaceDN w:val="0"/>
              <w:adjustRightInd w:val="0"/>
              <w:snapToGrid w:val="0"/>
              <w:spacing w:line="300" w:lineRule="exact"/>
              <w:jc w:val="center"/>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逐日在工作时间内暴露</w:t>
            </w:r>
          </w:p>
        </w:tc>
      </w:tr>
      <w:tr w14:paraId="3027C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397" w:type="dxa"/>
            <w:tcBorders>
              <w:top w:val="single" w:color="auto" w:sz="4" w:space="0"/>
              <w:left w:val="single" w:color="auto" w:sz="4" w:space="0"/>
              <w:bottom w:val="single" w:color="auto" w:sz="4" w:space="0"/>
              <w:right w:val="single" w:color="auto" w:sz="4" w:space="0"/>
            </w:tcBorders>
            <w:vAlign w:val="center"/>
          </w:tcPr>
          <w:p w14:paraId="7131E2B8">
            <w:pPr>
              <w:autoSpaceDE w:val="0"/>
              <w:autoSpaceDN w:val="0"/>
              <w:adjustRightInd w:val="0"/>
              <w:snapToGrid w:val="0"/>
              <w:spacing w:line="300" w:lineRule="exact"/>
              <w:jc w:val="center"/>
              <w:rPr>
                <w:rFonts w:hint="eastAsia" w:ascii="宋体" w:hAnsi="宋体" w:eastAsia="宋体" w:cs="宋体"/>
                <w:color w:val="000000" w:themeColor="text1"/>
                <w:kern w:val="0"/>
                <w:szCs w:val="21"/>
                <w:lang w:eastAsia="zh-TW"/>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3</w:t>
            </w:r>
          </w:p>
        </w:tc>
        <w:tc>
          <w:tcPr>
            <w:tcW w:w="4344" w:type="dxa"/>
            <w:tcBorders>
              <w:top w:val="single" w:color="auto" w:sz="4" w:space="0"/>
              <w:left w:val="single" w:color="auto" w:sz="4" w:space="0"/>
              <w:bottom w:val="single" w:color="auto" w:sz="4" w:space="0"/>
              <w:right w:val="single" w:color="auto" w:sz="4" w:space="0"/>
            </w:tcBorders>
            <w:vAlign w:val="center"/>
          </w:tcPr>
          <w:p w14:paraId="401BA591">
            <w:pPr>
              <w:autoSpaceDE w:val="0"/>
              <w:autoSpaceDN w:val="0"/>
              <w:adjustRightInd w:val="0"/>
              <w:snapToGrid w:val="0"/>
              <w:spacing w:line="300" w:lineRule="exact"/>
              <w:jc w:val="center"/>
              <w:rPr>
                <w:rFonts w:hint="eastAsia" w:ascii="宋体" w:hAnsi="宋体" w:eastAsia="宋体" w:cs="宋体"/>
                <w:color w:val="000000" w:themeColor="text1"/>
                <w:kern w:val="0"/>
                <w:szCs w:val="21"/>
                <w:lang w:eastAsia="zh-TW"/>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每周一次或偶然暴露</w:t>
            </w:r>
          </w:p>
        </w:tc>
      </w:tr>
      <w:tr w14:paraId="6EE03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trPr>
        <w:tc>
          <w:tcPr>
            <w:tcW w:w="4397" w:type="dxa"/>
            <w:tcBorders>
              <w:top w:val="single" w:color="auto" w:sz="4" w:space="0"/>
              <w:left w:val="single" w:color="auto" w:sz="4" w:space="0"/>
              <w:bottom w:val="single" w:color="auto" w:sz="4" w:space="0"/>
              <w:right w:val="single" w:color="auto" w:sz="4" w:space="0"/>
            </w:tcBorders>
            <w:vAlign w:val="center"/>
          </w:tcPr>
          <w:p w14:paraId="59098812">
            <w:pPr>
              <w:autoSpaceDE w:val="0"/>
              <w:autoSpaceDN w:val="0"/>
              <w:adjustRightInd w:val="0"/>
              <w:snapToGrid w:val="0"/>
              <w:spacing w:line="300" w:lineRule="exact"/>
              <w:jc w:val="center"/>
              <w:rPr>
                <w:rFonts w:hint="eastAsia" w:ascii="宋体" w:hAnsi="宋体" w:eastAsia="宋体" w:cs="宋体"/>
                <w:color w:val="000000" w:themeColor="text1"/>
                <w:kern w:val="0"/>
                <w:szCs w:val="21"/>
                <w:lang w:eastAsia="zh-TW"/>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w:t>
            </w:r>
          </w:p>
        </w:tc>
        <w:tc>
          <w:tcPr>
            <w:tcW w:w="4344" w:type="dxa"/>
            <w:tcBorders>
              <w:top w:val="single" w:color="auto" w:sz="4" w:space="0"/>
              <w:left w:val="single" w:color="auto" w:sz="4" w:space="0"/>
              <w:bottom w:val="single" w:color="auto" w:sz="4" w:space="0"/>
              <w:right w:val="single" w:color="auto" w:sz="4" w:space="0"/>
            </w:tcBorders>
            <w:vAlign w:val="center"/>
          </w:tcPr>
          <w:p w14:paraId="282D27EB">
            <w:pPr>
              <w:autoSpaceDE w:val="0"/>
              <w:autoSpaceDN w:val="0"/>
              <w:adjustRightInd w:val="0"/>
              <w:snapToGrid w:val="0"/>
              <w:spacing w:line="300" w:lineRule="exact"/>
              <w:jc w:val="center"/>
              <w:rPr>
                <w:rFonts w:hint="eastAsia" w:ascii="宋体" w:hAnsi="宋体" w:eastAsia="宋体" w:cs="宋体"/>
                <w:color w:val="000000" w:themeColor="text1"/>
                <w:kern w:val="0"/>
                <w:szCs w:val="21"/>
                <w:lang w:eastAsia="zh-TW"/>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每月暴露一次</w:t>
            </w:r>
          </w:p>
        </w:tc>
      </w:tr>
      <w:tr w14:paraId="204D4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397" w:type="dxa"/>
            <w:tcBorders>
              <w:top w:val="single" w:color="auto" w:sz="4" w:space="0"/>
              <w:left w:val="single" w:color="auto" w:sz="4" w:space="0"/>
              <w:bottom w:val="single" w:color="auto" w:sz="4" w:space="0"/>
              <w:right w:val="single" w:color="auto" w:sz="4" w:space="0"/>
            </w:tcBorders>
            <w:vAlign w:val="center"/>
          </w:tcPr>
          <w:p w14:paraId="56192766">
            <w:pPr>
              <w:autoSpaceDE w:val="0"/>
              <w:autoSpaceDN w:val="0"/>
              <w:adjustRightInd w:val="0"/>
              <w:snapToGrid w:val="0"/>
              <w:spacing w:line="300" w:lineRule="exact"/>
              <w:jc w:val="center"/>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w:t>
            </w:r>
          </w:p>
        </w:tc>
        <w:tc>
          <w:tcPr>
            <w:tcW w:w="4344" w:type="dxa"/>
            <w:tcBorders>
              <w:top w:val="single" w:color="auto" w:sz="4" w:space="0"/>
              <w:left w:val="single" w:color="auto" w:sz="4" w:space="0"/>
              <w:bottom w:val="single" w:color="auto" w:sz="4" w:space="0"/>
              <w:right w:val="single" w:color="auto" w:sz="4" w:space="0"/>
            </w:tcBorders>
            <w:vAlign w:val="center"/>
          </w:tcPr>
          <w:p w14:paraId="3932DF6E">
            <w:pPr>
              <w:autoSpaceDE w:val="0"/>
              <w:autoSpaceDN w:val="0"/>
              <w:adjustRightInd w:val="0"/>
              <w:snapToGrid w:val="0"/>
              <w:spacing w:line="300" w:lineRule="exact"/>
              <w:jc w:val="center"/>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每年几次出现在危险环境</w:t>
            </w:r>
          </w:p>
        </w:tc>
      </w:tr>
      <w:tr w14:paraId="12688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397" w:type="dxa"/>
            <w:tcBorders>
              <w:top w:val="single" w:color="auto" w:sz="4" w:space="0"/>
              <w:left w:val="single" w:color="auto" w:sz="4" w:space="0"/>
              <w:bottom w:val="single" w:color="auto" w:sz="4" w:space="0"/>
              <w:right w:val="single" w:color="auto" w:sz="4" w:space="0"/>
            </w:tcBorders>
            <w:vAlign w:val="center"/>
          </w:tcPr>
          <w:p w14:paraId="59CE686D">
            <w:pPr>
              <w:autoSpaceDE w:val="0"/>
              <w:autoSpaceDN w:val="0"/>
              <w:adjustRightInd w:val="0"/>
              <w:snapToGrid w:val="0"/>
              <w:spacing w:line="300" w:lineRule="exact"/>
              <w:jc w:val="center"/>
              <w:rPr>
                <w:rFonts w:hint="eastAsia" w:ascii="宋体" w:hAnsi="宋体" w:eastAsia="宋体" w:cs="宋体"/>
                <w:color w:val="000000" w:themeColor="text1"/>
                <w:kern w:val="0"/>
                <w:szCs w:val="21"/>
                <w:lang w:eastAsia="zh-TW"/>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0.5</w:t>
            </w:r>
          </w:p>
        </w:tc>
        <w:tc>
          <w:tcPr>
            <w:tcW w:w="4344" w:type="dxa"/>
            <w:tcBorders>
              <w:top w:val="single" w:color="auto" w:sz="4" w:space="0"/>
              <w:left w:val="single" w:color="auto" w:sz="4" w:space="0"/>
              <w:bottom w:val="single" w:color="auto" w:sz="4" w:space="0"/>
              <w:right w:val="single" w:color="auto" w:sz="4" w:space="0"/>
            </w:tcBorders>
            <w:vAlign w:val="center"/>
          </w:tcPr>
          <w:p w14:paraId="3ECADDC7">
            <w:pPr>
              <w:autoSpaceDE w:val="0"/>
              <w:autoSpaceDN w:val="0"/>
              <w:adjustRightInd w:val="0"/>
              <w:snapToGrid w:val="0"/>
              <w:spacing w:line="300" w:lineRule="exact"/>
              <w:jc w:val="center"/>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非常罕见地暴露于危险环境</w:t>
            </w:r>
          </w:p>
        </w:tc>
      </w:tr>
    </w:tbl>
    <w:p w14:paraId="62663B19">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3.事故或危险事件的危险严重度C</w:t>
      </w:r>
    </w:p>
    <w:p w14:paraId="5210FA9D">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kern w:val="0"/>
          <w:sz w:val="28"/>
          <w:szCs w:val="28"/>
          <w:lang w:val="en-US" w:eastAsia="zh-CN"/>
          <w14:textFill>
            <w14:solidFill>
              <w14:schemeClr w14:val="tx1"/>
            </w14:solidFill>
          </w14:textFill>
        </w:rPr>
      </w:pPr>
      <w:r>
        <w:rPr>
          <w:rFonts w:hint="eastAsia" w:ascii="宋体" w:hAnsi="宋体" w:eastAsia="宋体" w:cs="宋体"/>
          <w:color w:val="000000" w:themeColor="text1"/>
          <w:kern w:val="0"/>
          <w:sz w:val="28"/>
          <w:szCs w:val="28"/>
          <w:lang w:val="en-US" w:eastAsia="zh-CN"/>
          <w14:textFill>
            <w14:solidFill>
              <w14:schemeClr w14:val="tx1"/>
            </w14:solidFill>
          </w14:textFill>
        </w:rPr>
        <w:t>事故或危险事件对人身伤害的严重程度变化范围很大，可以从伤害直至死亡事故，规定分数值1～l00。具体分数值见表4-4。</w:t>
      </w:r>
    </w:p>
    <w:p w14:paraId="023AF023">
      <w:pPr>
        <w:tabs>
          <w:tab w:val="left" w:pos="1948"/>
        </w:tabs>
        <w:autoSpaceDE w:val="0"/>
        <w:autoSpaceDN w:val="0"/>
        <w:adjustRightInd w:val="0"/>
        <w:snapToGrid w:val="0"/>
        <w:spacing w:line="500" w:lineRule="exact"/>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表4-4  事故或危险事件的危险严重度C的分数值</w:t>
      </w:r>
    </w:p>
    <w:tbl>
      <w:tblPr>
        <w:tblStyle w:val="24"/>
        <w:tblW w:w="87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458"/>
        <w:gridCol w:w="5283"/>
      </w:tblGrid>
      <w:tr w14:paraId="03FD7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458" w:type="dxa"/>
            <w:tcBorders>
              <w:top w:val="single" w:color="auto" w:sz="4" w:space="0"/>
              <w:left w:val="single" w:color="auto" w:sz="4" w:space="0"/>
              <w:bottom w:val="single" w:color="auto" w:sz="4" w:space="0"/>
              <w:right w:val="single" w:color="auto" w:sz="4" w:space="0"/>
            </w:tcBorders>
            <w:vAlign w:val="center"/>
          </w:tcPr>
          <w:p w14:paraId="3C8298C7">
            <w:pPr>
              <w:autoSpaceDE w:val="0"/>
              <w:autoSpaceDN w:val="0"/>
              <w:adjustRightInd w:val="0"/>
              <w:spacing w:line="300" w:lineRule="exact"/>
              <w:jc w:val="center"/>
              <w:rPr>
                <w:rFonts w:hint="eastAsia" w:ascii="宋体" w:hAnsi="宋体" w:eastAsia="宋体" w:cs="宋体"/>
                <w:b/>
                <w:color w:val="000000" w:themeColor="text1"/>
                <w:kern w:val="0"/>
                <w:sz w:val="21"/>
                <w:szCs w:val="21"/>
                <w:lang w:eastAsia="zh-TW"/>
                <w14:textFill>
                  <w14:solidFill>
                    <w14:schemeClr w14:val="tx1"/>
                  </w14:solidFill>
                </w14:textFill>
              </w:rPr>
            </w:pPr>
            <w:r>
              <w:rPr>
                <w:rFonts w:hint="eastAsia" w:ascii="宋体" w:hAnsi="宋体" w:eastAsia="宋体" w:cs="宋体"/>
                <w:b/>
                <w:color w:val="000000" w:themeColor="text1"/>
                <w:kern w:val="0"/>
                <w:sz w:val="21"/>
                <w:szCs w:val="21"/>
                <w14:textFill>
                  <w14:solidFill>
                    <w14:schemeClr w14:val="tx1"/>
                  </w14:solidFill>
                </w14:textFill>
              </w:rPr>
              <w:t>分数值</w:t>
            </w:r>
          </w:p>
        </w:tc>
        <w:tc>
          <w:tcPr>
            <w:tcW w:w="5283" w:type="dxa"/>
            <w:tcBorders>
              <w:top w:val="single" w:color="auto" w:sz="4" w:space="0"/>
              <w:left w:val="single" w:color="auto" w:sz="4" w:space="0"/>
              <w:bottom w:val="single" w:color="auto" w:sz="4" w:space="0"/>
              <w:right w:val="single" w:color="auto" w:sz="4" w:space="0"/>
            </w:tcBorders>
            <w:vAlign w:val="center"/>
          </w:tcPr>
          <w:p w14:paraId="0BF3E433">
            <w:pPr>
              <w:autoSpaceDE w:val="0"/>
              <w:autoSpaceDN w:val="0"/>
              <w:adjustRightInd w:val="0"/>
              <w:spacing w:line="300" w:lineRule="exact"/>
              <w:jc w:val="center"/>
              <w:rPr>
                <w:rFonts w:hint="eastAsia" w:ascii="宋体" w:hAnsi="宋体" w:eastAsia="宋体" w:cs="宋体"/>
                <w:b/>
                <w:color w:val="000000" w:themeColor="text1"/>
                <w:kern w:val="0"/>
                <w:sz w:val="21"/>
                <w:szCs w:val="21"/>
                <w:lang w:eastAsia="zh-TW"/>
                <w14:textFill>
                  <w14:solidFill>
                    <w14:schemeClr w14:val="tx1"/>
                  </w14:solidFill>
                </w14:textFill>
              </w:rPr>
            </w:pPr>
            <w:r>
              <w:rPr>
                <w:rFonts w:hint="eastAsia" w:ascii="宋体" w:hAnsi="宋体" w:eastAsia="宋体" w:cs="宋体"/>
                <w:b/>
                <w:color w:val="000000" w:themeColor="text1"/>
                <w:kern w:val="0"/>
                <w:sz w:val="21"/>
                <w:szCs w:val="21"/>
                <w14:textFill>
                  <w14:solidFill>
                    <w14:schemeClr w14:val="tx1"/>
                  </w14:solidFill>
                </w14:textFill>
              </w:rPr>
              <w:t>可能结果</w:t>
            </w:r>
          </w:p>
        </w:tc>
      </w:tr>
      <w:tr w14:paraId="79ABC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458" w:type="dxa"/>
            <w:tcBorders>
              <w:top w:val="single" w:color="auto" w:sz="4" w:space="0"/>
              <w:left w:val="single" w:color="auto" w:sz="4" w:space="0"/>
              <w:bottom w:val="single" w:color="auto" w:sz="4" w:space="0"/>
              <w:right w:val="single" w:color="auto" w:sz="4" w:space="0"/>
            </w:tcBorders>
            <w:vAlign w:val="center"/>
          </w:tcPr>
          <w:p w14:paraId="465F243B">
            <w:pPr>
              <w:autoSpaceDE w:val="0"/>
              <w:autoSpaceDN w:val="0"/>
              <w:adjustRightInd w:val="0"/>
              <w:spacing w:line="300" w:lineRule="exact"/>
              <w:jc w:val="center"/>
              <w:rPr>
                <w:rFonts w:hint="eastAsia" w:ascii="宋体" w:hAnsi="宋体" w:eastAsia="宋体" w:cs="宋体"/>
                <w:color w:val="000000" w:themeColor="text1"/>
                <w:kern w:val="0"/>
                <w:sz w:val="21"/>
                <w:szCs w:val="21"/>
                <w:lang w:eastAsia="zh-TW"/>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w:t>
            </w:r>
          </w:p>
        </w:tc>
        <w:tc>
          <w:tcPr>
            <w:tcW w:w="5283" w:type="dxa"/>
            <w:tcBorders>
              <w:top w:val="single" w:color="auto" w:sz="4" w:space="0"/>
              <w:left w:val="single" w:color="auto" w:sz="4" w:space="0"/>
              <w:bottom w:val="single" w:color="auto" w:sz="4" w:space="0"/>
              <w:right w:val="single" w:color="auto" w:sz="4" w:space="0"/>
            </w:tcBorders>
            <w:vAlign w:val="center"/>
          </w:tcPr>
          <w:p w14:paraId="2EE4D840">
            <w:pPr>
              <w:autoSpaceDE w:val="0"/>
              <w:autoSpaceDN w:val="0"/>
              <w:adjustRightInd w:val="0"/>
              <w:spacing w:line="300" w:lineRule="exact"/>
              <w:jc w:val="center"/>
              <w:rPr>
                <w:rFonts w:hint="eastAsia" w:ascii="宋体" w:hAnsi="宋体" w:eastAsia="宋体" w:cs="宋体"/>
                <w:color w:val="000000" w:themeColor="text1"/>
                <w:kern w:val="0"/>
                <w:sz w:val="21"/>
                <w:szCs w:val="21"/>
                <w:lang w:eastAsia="zh-TW"/>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10人死亡</w:t>
            </w:r>
          </w:p>
        </w:tc>
      </w:tr>
      <w:tr w14:paraId="24084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458" w:type="dxa"/>
            <w:tcBorders>
              <w:top w:val="single" w:color="auto" w:sz="4" w:space="0"/>
              <w:left w:val="single" w:color="auto" w:sz="4" w:space="0"/>
              <w:bottom w:val="single" w:color="auto" w:sz="4" w:space="0"/>
              <w:right w:val="single" w:color="auto" w:sz="4" w:space="0"/>
            </w:tcBorders>
            <w:vAlign w:val="center"/>
          </w:tcPr>
          <w:p w14:paraId="3567B4E2">
            <w:pPr>
              <w:autoSpaceDE w:val="0"/>
              <w:autoSpaceDN w:val="0"/>
              <w:adjustRightInd w:val="0"/>
              <w:spacing w:line="300" w:lineRule="exact"/>
              <w:jc w:val="center"/>
              <w:rPr>
                <w:rFonts w:hint="eastAsia" w:ascii="宋体" w:hAnsi="宋体" w:eastAsia="宋体" w:cs="宋体"/>
                <w:color w:val="000000" w:themeColor="text1"/>
                <w:kern w:val="0"/>
                <w:sz w:val="21"/>
                <w:szCs w:val="21"/>
                <w:lang w:eastAsia="zh-TW"/>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40</w:t>
            </w:r>
          </w:p>
        </w:tc>
        <w:tc>
          <w:tcPr>
            <w:tcW w:w="5283" w:type="dxa"/>
            <w:tcBorders>
              <w:top w:val="single" w:color="auto" w:sz="4" w:space="0"/>
              <w:left w:val="single" w:color="auto" w:sz="4" w:space="0"/>
              <w:bottom w:val="single" w:color="auto" w:sz="4" w:space="0"/>
              <w:right w:val="single" w:color="auto" w:sz="4" w:space="0"/>
            </w:tcBorders>
            <w:vAlign w:val="center"/>
          </w:tcPr>
          <w:p w14:paraId="17D64095">
            <w:pPr>
              <w:autoSpaceDE w:val="0"/>
              <w:autoSpaceDN w:val="0"/>
              <w:adjustRightInd w:val="0"/>
              <w:spacing w:line="300" w:lineRule="exact"/>
              <w:jc w:val="center"/>
              <w:rPr>
                <w:rFonts w:hint="eastAsia" w:ascii="宋体" w:hAnsi="宋体" w:eastAsia="宋体" w:cs="宋体"/>
                <w:color w:val="000000" w:themeColor="text1"/>
                <w:kern w:val="0"/>
                <w:sz w:val="21"/>
                <w:szCs w:val="21"/>
                <w:lang w:eastAsia="zh-TW"/>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数人死亡</w:t>
            </w:r>
          </w:p>
        </w:tc>
      </w:tr>
      <w:tr w14:paraId="03EB1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458" w:type="dxa"/>
            <w:tcBorders>
              <w:top w:val="single" w:color="auto" w:sz="4" w:space="0"/>
              <w:left w:val="single" w:color="auto" w:sz="4" w:space="0"/>
              <w:bottom w:val="single" w:color="auto" w:sz="4" w:space="0"/>
              <w:right w:val="single" w:color="auto" w:sz="4" w:space="0"/>
            </w:tcBorders>
            <w:vAlign w:val="center"/>
          </w:tcPr>
          <w:p w14:paraId="03A990A7">
            <w:pPr>
              <w:autoSpaceDE w:val="0"/>
              <w:autoSpaceDN w:val="0"/>
              <w:adjustRightInd w:val="0"/>
              <w:spacing w:line="300" w:lineRule="exact"/>
              <w:jc w:val="center"/>
              <w:rPr>
                <w:rFonts w:hint="eastAsia" w:ascii="宋体" w:hAnsi="宋体" w:eastAsia="宋体" w:cs="宋体"/>
                <w:color w:val="000000" w:themeColor="text1"/>
                <w:kern w:val="0"/>
                <w:sz w:val="21"/>
                <w:szCs w:val="21"/>
                <w:lang w:eastAsia="zh-TW"/>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15</w:t>
            </w:r>
          </w:p>
        </w:tc>
        <w:tc>
          <w:tcPr>
            <w:tcW w:w="5283" w:type="dxa"/>
            <w:tcBorders>
              <w:top w:val="single" w:color="auto" w:sz="4" w:space="0"/>
              <w:left w:val="single" w:color="auto" w:sz="4" w:space="0"/>
              <w:bottom w:val="single" w:color="auto" w:sz="4" w:space="0"/>
              <w:right w:val="single" w:color="auto" w:sz="4" w:space="0"/>
            </w:tcBorders>
            <w:vAlign w:val="center"/>
          </w:tcPr>
          <w:p w14:paraId="0A3C02B3">
            <w:pPr>
              <w:autoSpaceDE w:val="0"/>
              <w:autoSpaceDN w:val="0"/>
              <w:adjustRightInd w:val="0"/>
              <w:spacing w:line="300" w:lineRule="exact"/>
              <w:jc w:val="center"/>
              <w:rPr>
                <w:rFonts w:hint="eastAsia" w:ascii="宋体" w:hAnsi="宋体" w:eastAsia="宋体" w:cs="宋体"/>
                <w:color w:val="000000" w:themeColor="text1"/>
                <w:kern w:val="0"/>
                <w:sz w:val="21"/>
                <w:szCs w:val="21"/>
                <w:lang w:eastAsia="zh-TW"/>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1人死亡</w:t>
            </w:r>
          </w:p>
        </w:tc>
      </w:tr>
      <w:tr w14:paraId="31F53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458" w:type="dxa"/>
            <w:tcBorders>
              <w:top w:val="single" w:color="auto" w:sz="4" w:space="0"/>
              <w:left w:val="single" w:color="auto" w:sz="4" w:space="0"/>
              <w:bottom w:val="single" w:color="auto" w:sz="4" w:space="0"/>
              <w:right w:val="single" w:color="auto" w:sz="4" w:space="0"/>
            </w:tcBorders>
            <w:vAlign w:val="center"/>
          </w:tcPr>
          <w:p w14:paraId="5F2412C1">
            <w:pPr>
              <w:autoSpaceDE w:val="0"/>
              <w:autoSpaceDN w:val="0"/>
              <w:adjustRightInd w:val="0"/>
              <w:spacing w:line="300" w:lineRule="exact"/>
              <w:jc w:val="center"/>
              <w:rPr>
                <w:rFonts w:hint="eastAsia" w:ascii="宋体" w:hAnsi="宋体" w:eastAsia="宋体" w:cs="宋体"/>
                <w:color w:val="000000" w:themeColor="text1"/>
                <w:kern w:val="0"/>
                <w:sz w:val="21"/>
                <w:szCs w:val="21"/>
                <w:lang w:eastAsia="zh-TW"/>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w:t>
            </w:r>
          </w:p>
        </w:tc>
        <w:tc>
          <w:tcPr>
            <w:tcW w:w="5283" w:type="dxa"/>
            <w:tcBorders>
              <w:top w:val="single" w:color="auto" w:sz="4" w:space="0"/>
              <w:left w:val="single" w:color="auto" w:sz="4" w:space="0"/>
              <w:bottom w:val="single" w:color="auto" w:sz="4" w:space="0"/>
              <w:right w:val="single" w:color="auto" w:sz="4" w:space="0"/>
            </w:tcBorders>
            <w:vAlign w:val="center"/>
          </w:tcPr>
          <w:p w14:paraId="0E527F05">
            <w:pPr>
              <w:autoSpaceDE w:val="0"/>
              <w:autoSpaceDN w:val="0"/>
              <w:adjustRightInd w:val="0"/>
              <w:spacing w:line="300" w:lineRule="exact"/>
              <w:jc w:val="center"/>
              <w:rPr>
                <w:rFonts w:hint="eastAsia" w:ascii="宋体" w:hAnsi="宋体" w:eastAsia="宋体" w:cs="宋体"/>
                <w:color w:val="000000" w:themeColor="text1"/>
                <w:kern w:val="0"/>
                <w:sz w:val="21"/>
                <w:szCs w:val="21"/>
                <w:lang w:eastAsia="zh-TW"/>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严重伤害</w:t>
            </w:r>
          </w:p>
        </w:tc>
      </w:tr>
      <w:tr w14:paraId="6F202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458" w:type="dxa"/>
            <w:tcBorders>
              <w:top w:val="single" w:color="auto" w:sz="4" w:space="0"/>
              <w:left w:val="single" w:color="auto" w:sz="4" w:space="0"/>
              <w:bottom w:val="single" w:color="auto" w:sz="4" w:space="0"/>
              <w:right w:val="single" w:color="auto" w:sz="4" w:space="0"/>
            </w:tcBorders>
            <w:vAlign w:val="center"/>
          </w:tcPr>
          <w:p w14:paraId="2B49EE3D">
            <w:pPr>
              <w:autoSpaceDE w:val="0"/>
              <w:autoSpaceDN w:val="0"/>
              <w:adjustRightInd w:val="0"/>
              <w:spacing w:line="300" w:lineRule="exact"/>
              <w:jc w:val="center"/>
              <w:rPr>
                <w:rFonts w:hint="eastAsia" w:ascii="宋体" w:hAnsi="宋体" w:eastAsia="宋体" w:cs="宋体"/>
                <w:color w:val="000000" w:themeColor="text1"/>
                <w:kern w:val="0"/>
                <w:sz w:val="21"/>
                <w:szCs w:val="21"/>
                <w:lang w:eastAsia="zh-TW"/>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w:t>
            </w:r>
          </w:p>
        </w:tc>
        <w:tc>
          <w:tcPr>
            <w:tcW w:w="5283" w:type="dxa"/>
            <w:tcBorders>
              <w:top w:val="single" w:color="auto" w:sz="4" w:space="0"/>
              <w:left w:val="single" w:color="auto" w:sz="4" w:space="0"/>
              <w:bottom w:val="single" w:color="auto" w:sz="4" w:space="0"/>
              <w:right w:val="single" w:color="auto" w:sz="4" w:space="0"/>
            </w:tcBorders>
            <w:vAlign w:val="center"/>
          </w:tcPr>
          <w:p w14:paraId="5EB4B6C0">
            <w:pPr>
              <w:autoSpaceDE w:val="0"/>
              <w:autoSpaceDN w:val="0"/>
              <w:adjustRightInd w:val="0"/>
              <w:spacing w:line="300" w:lineRule="exact"/>
              <w:jc w:val="center"/>
              <w:rPr>
                <w:rFonts w:hint="eastAsia" w:ascii="宋体" w:hAnsi="宋体" w:eastAsia="宋体" w:cs="宋体"/>
                <w:color w:val="000000" w:themeColor="text1"/>
                <w:kern w:val="0"/>
                <w:sz w:val="21"/>
                <w:szCs w:val="21"/>
                <w:lang w:eastAsia="zh-TW"/>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有致残</w:t>
            </w:r>
          </w:p>
        </w:tc>
      </w:tr>
      <w:tr w14:paraId="7C797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458" w:type="dxa"/>
            <w:tcBorders>
              <w:top w:val="single" w:color="auto" w:sz="4" w:space="0"/>
              <w:left w:val="single" w:color="auto" w:sz="4" w:space="0"/>
              <w:bottom w:val="single" w:color="auto" w:sz="4" w:space="0"/>
              <w:right w:val="single" w:color="auto" w:sz="4" w:space="0"/>
            </w:tcBorders>
            <w:vAlign w:val="center"/>
          </w:tcPr>
          <w:p w14:paraId="5876CFF5">
            <w:pPr>
              <w:autoSpaceDE w:val="0"/>
              <w:autoSpaceDN w:val="0"/>
              <w:adjustRightIn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w:t>
            </w:r>
          </w:p>
        </w:tc>
        <w:tc>
          <w:tcPr>
            <w:tcW w:w="5283" w:type="dxa"/>
            <w:tcBorders>
              <w:top w:val="single" w:color="auto" w:sz="4" w:space="0"/>
              <w:left w:val="single" w:color="auto" w:sz="4" w:space="0"/>
              <w:bottom w:val="single" w:color="auto" w:sz="4" w:space="0"/>
              <w:right w:val="single" w:color="auto" w:sz="4" w:space="0"/>
            </w:tcBorders>
            <w:vAlign w:val="center"/>
          </w:tcPr>
          <w:p w14:paraId="106784BD">
            <w:pPr>
              <w:autoSpaceDE w:val="0"/>
              <w:autoSpaceDN w:val="0"/>
              <w:adjustRightInd w:val="0"/>
              <w:spacing w:line="300" w:lineRule="exact"/>
              <w:jc w:val="center"/>
              <w:rPr>
                <w:rFonts w:hint="eastAsia" w:ascii="宋体" w:hAnsi="宋体" w:eastAsia="宋体" w:cs="宋体"/>
                <w:color w:val="000000" w:themeColor="text1"/>
                <w:kern w:val="0"/>
                <w:sz w:val="21"/>
                <w:szCs w:val="21"/>
                <w:lang w:eastAsia="zh-TW"/>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有轻伤，需要救护</w:t>
            </w:r>
          </w:p>
        </w:tc>
      </w:tr>
    </w:tbl>
    <w:p w14:paraId="1378BF2D">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4.危险性程度分级D</w:t>
      </w:r>
    </w:p>
    <w:p w14:paraId="2981CA65">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在确定了上述三个因素的分数值后，其三者的乘积即为总的危险性分数值 D。根据相关资料，将危险性程度分级的相应分数值列入表4-5。</w:t>
      </w:r>
    </w:p>
    <w:p w14:paraId="68376B62">
      <w:pPr>
        <w:tabs>
          <w:tab w:val="left" w:pos="1948"/>
        </w:tabs>
        <w:autoSpaceDE w:val="0"/>
        <w:autoSpaceDN w:val="0"/>
        <w:adjustRightInd w:val="0"/>
        <w:snapToGrid w:val="0"/>
        <w:spacing w:line="500" w:lineRule="exact"/>
        <w:ind w:right="28"/>
        <w:jc w:val="center"/>
        <w:rPr>
          <w:rFonts w:hint="eastAsia"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表4-5  危险性程度分级的分数值</w:t>
      </w:r>
    </w:p>
    <w:tbl>
      <w:tblPr>
        <w:tblStyle w:val="24"/>
        <w:tblW w:w="87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39"/>
        <w:gridCol w:w="4402"/>
      </w:tblGrid>
      <w:tr w14:paraId="7F5A8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trPr>
        <w:tc>
          <w:tcPr>
            <w:tcW w:w="4339" w:type="dxa"/>
            <w:tcBorders>
              <w:top w:val="single" w:color="auto" w:sz="4" w:space="0"/>
              <w:left w:val="single" w:color="auto" w:sz="4" w:space="0"/>
              <w:bottom w:val="single" w:color="auto" w:sz="4" w:space="0"/>
              <w:right w:val="single" w:color="auto" w:sz="4" w:space="0"/>
            </w:tcBorders>
            <w:vAlign w:val="center"/>
          </w:tcPr>
          <w:p w14:paraId="0841EE87">
            <w:pPr>
              <w:autoSpaceDE w:val="0"/>
              <w:autoSpaceDN w:val="0"/>
              <w:adjustRightInd w:val="0"/>
              <w:spacing w:line="300" w:lineRule="exact"/>
              <w:jc w:val="center"/>
              <w:rPr>
                <w:rFonts w:hint="eastAsia" w:ascii="宋体" w:hAnsi="宋体" w:eastAsia="宋体" w:cs="宋体"/>
                <w:b/>
                <w:bCs/>
                <w:color w:val="000000" w:themeColor="text1"/>
                <w:kern w:val="0"/>
                <w:szCs w:val="21"/>
                <w:lang w:eastAsia="zh-TW"/>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分数值</w:t>
            </w:r>
          </w:p>
        </w:tc>
        <w:tc>
          <w:tcPr>
            <w:tcW w:w="4402" w:type="dxa"/>
            <w:tcBorders>
              <w:top w:val="single" w:color="auto" w:sz="4" w:space="0"/>
              <w:left w:val="single" w:color="auto" w:sz="4" w:space="0"/>
              <w:bottom w:val="single" w:color="auto" w:sz="4" w:space="0"/>
              <w:right w:val="single" w:color="auto" w:sz="4" w:space="0"/>
            </w:tcBorders>
            <w:vAlign w:val="center"/>
          </w:tcPr>
          <w:p w14:paraId="5CEAD9C0">
            <w:pPr>
              <w:autoSpaceDE w:val="0"/>
              <w:autoSpaceDN w:val="0"/>
              <w:adjustRightInd w:val="0"/>
              <w:spacing w:line="300" w:lineRule="exact"/>
              <w:jc w:val="center"/>
              <w:rPr>
                <w:rFonts w:hint="eastAsia" w:ascii="宋体" w:hAnsi="宋体" w:eastAsia="宋体" w:cs="宋体"/>
                <w:b/>
                <w:bCs/>
                <w:color w:val="000000" w:themeColor="text1"/>
                <w:kern w:val="0"/>
                <w:szCs w:val="21"/>
                <w:lang w:eastAsia="zh-TW"/>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危险性程度</w:t>
            </w:r>
          </w:p>
        </w:tc>
      </w:tr>
      <w:tr w14:paraId="34F38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339" w:type="dxa"/>
            <w:tcBorders>
              <w:top w:val="single" w:color="auto" w:sz="4" w:space="0"/>
              <w:left w:val="single" w:color="auto" w:sz="4" w:space="0"/>
              <w:bottom w:val="single" w:color="auto" w:sz="4" w:space="0"/>
              <w:right w:val="single" w:color="auto" w:sz="4" w:space="0"/>
            </w:tcBorders>
            <w:vAlign w:val="center"/>
          </w:tcPr>
          <w:p w14:paraId="1EE96BB6">
            <w:pPr>
              <w:autoSpaceDE w:val="0"/>
              <w:autoSpaceDN w:val="0"/>
              <w:adjustRightInd w:val="0"/>
              <w:snapToGrid w:val="0"/>
              <w:spacing w:line="300" w:lineRule="exact"/>
              <w:jc w:val="center"/>
              <w:rPr>
                <w:rFonts w:hint="eastAsia" w:ascii="宋体" w:hAnsi="宋体" w:eastAsia="宋体" w:cs="宋体"/>
                <w:color w:val="000000" w:themeColor="text1"/>
                <w:kern w:val="0"/>
                <w:szCs w:val="21"/>
                <w:lang w:eastAsia="zh-TW"/>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&gt;320</w:t>
            </w:r>
          </w:p>
        </w:tc>
        <w:tc>
          <w:tcPr>
            <w:tcW w:w="4402" w:type="dxa"/>
            <w:tcBorders>
              <w:top w:val="single" w:color="auto" w:sz="4" w:space="0"/>
              <w:left w:val="single" w:color="auto" w:sz="4" w:space="0"/>
              <w:bottom w:val="single" w:color="auto" w:sz="4" w:space="0"/>
              <w:right w:val="single" w:color="auto" w:sz="4" w:space="0"/>
            </w:tcBorders>
            <w:vAlign w:val="center"/>
          </w:tcPr>
          <w:p w14:paraId="23D08D90">
            <w:pPr>
              <w:autoSpaceDE w:val="0"/>
              <w:autoSpaceDN w:val="0"/>
              <w:adjustRightInd w:val="0"/>
              <w:snapToGrid w:val="0"/>
              <w:spacing w:line="300" w:lineRule="exact"/>
              <w:jc w:val="center"/>
              <w:rPr>
                <w:rFonts w:hint="eastAsia" w:ascii="宋体" w:hAnsi="宋体" w:eastAsia="宋体" w:cs="宋体"/>
                <w:color w:val="000000" w:themeColor="text1"/>
                <w:kern w:val="0"/>
                <w:szCs w:val="21"/>
                <w:lang w:eastAsia="zh-TW"/>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极其危险</w:t>
            </w:r>
          </w:p>
        </w:tc>
      </w:tr>
      <w:tr w14:paraId="5D8C9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339" w:type="dxa"/>
            <w:tcBorders>
              <w:top w:val="single" w:color="auto" w:sz="4" w:space="0"/>
              <w:left w:val="single" w:color="auto" w:sz="4" w:space="0"/>
              <w:bottom w:val="single" w:color="auto" w:sz="4" w:space="0"/>
              <w:right w:val="single" w:color="auto" w:sz="4" w:space="0"/>
            </w:tcBorders>
            <w:vAlign w:val="center"/>
          </w:tcPr>
          <w:p w14:paraId="4B94B255">
            <w:pPr>
              <w:autoSpaceDE w:val="0"/>
              <w:autoSpaceDN w:val="0"/>
              <w:adjustRightInd w:val="0"/>
              <w:snapToGrid w:val="0"/>
              <w:spacing w:line="300" w:lineRule="exact"/>
              <w:jc w:val="center"/>
              <w:rPr>
                <w:rFonts w:hint="eastAsia" w:ascii="宋体" w:hAnsi="宋体" w:eastAsia="宋体" w:cs="宋体"/>
                <w:color w:val="000000" w:themeColor="text1"/>
                <w:kern w:val="0"/>
                <w:szCs w:val="21"/>
                <w:lang w:eastAsia="zh-TW"/>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160～320</w:t>
            </w:r>
          </w:p>
        </w:tc>
        <w:tc>
          <w:tcPr>
            <w:tcW w:w="4402" w:type="dxa"/>
            <w:tcBorders>
              <w:top w:val="single" w:color="auto" w:sz="4" w:space="0"/>
              <w:left w:val="single" w:color="auto" w:sz="4" w:space="0"/>
              <w:bottom w:val="single" w:color="auto" w:sz="4" w:space="0"/>
              <w:right w:val="single" w:color="auto" w:sz="4" w:space="0"/>
            </w:tcBorders>
            <w:vAlign w:val="center"/>
          </w:tcPr>
          <w:p w14:paraId="4E5C33D5">
            <w:pPr>
              <w:autoSpaceDE w:val="0"/>
              <w:autoSpaceDN w:val="0"/>
              <w:adjustRightInd w:val="0"/>
              <w:snapToGrid w:val="0"/>
              <w:spacing w:line="300" w:lineRule="exact"/>
              <w:jc w:val="center"/>
              <w:rPr>
                <w:rFonts w:hint="eastAsia" w:ascii="宋体" w:hAnsi="宋体" w:eastAsia="宋体" w:cs="宋体"/>
                <w:color w:val="000000" w:themeColor="text1"/>
                <w:kern w:val="0"/>
                <w:szCs w:val="21"/>
                <w:lang w:eastAsia="zh-TW"/>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高度危险</w:t>
            </w:r>
          </w:p>
        </w:tc>
      </w:tr>
      <w:tr w14:paraId="24E0F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339" w:type="dxa"/>
            <w:tcBorders>
              <w:top w:val="single" w:color="auto" w:sz="4" w:space="0"/>
              <w:left w:val="single" w:color="auto" w:sz="4" w:space="0"/>
              <w:bottom w:val="single" w:color="auto" w:sz="4" w:space="0"/>
              <w:right w:val="single" w:color="auto" w:sz="4" w:space="0"/>
            </w:tcBorders>
            <w:vAlign w:val="center"/>
          </w:tcPr>
          <w:p w14:paraId="33330C18">
            <w:pPr>
              <w:autoSpaceDE w:val="0"/>
              <w:autoSpaceDN w:val="0"/>
              <w:adjustRightInd w:val="0"/>
              <w:snapToGrid w:val="0"/>
              <w:spacing w:line="300" w:lineRule="exact"/>
              <w:jc w:val="center"/>
              <w:rPr>
                <w:rFonts w:hint="eastAsia" w:ascii="宋体" w:hAnsi="宋体" w:eastAsia="宋体" w:cs="宋体"/>
                <w:color w:val="000000" w:themeColor="text1"/>
                <w:kern w:val="0"/>
                <w:szCs w:val="21"/>
                <w:lang w:eastAsia="zh-TW"/>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70～160</w:t>
            </w:r>
          </w:p>
        </w:tc>
        <w:tc>
          <w:tcPr>
            <w:tcW w:w="4402" w:type="dxa"/>
            <w:tcBorders>
              <w:top w:val="single" w:color="auto" w:sz="4" w:space="0"/>
              <w:left w:val="single" w:color="auto" w:sz="4" w:space="0"/>
              <w:bottom w:val="single" w:color="auto" w:sz="4" w:space="0"/>
              <w:right w:val="single" w:color="auto" w:sz="4" w:space="0"/>
            </w:tcBorders>
            <w:vAlign w:val="center"/>
          </w:tcPr>
          <w:p w14:paraId="35E6B42D">
            <w:pPr>
              <w:autoSpaceDE w:val="0"/>
              <w:autoSpaceDN w:val="0"/>
              <w:adjustRightInd w:val="0"/>
              <w:snapToGrid w:val="0"/>
              <w:spacing w:line="300" w:lineRule="exact"/>
              <w:jc w:val="center"/>
              <w:rPr>
                <w:rFonts w:hint="eastAsia" w:ascii="宋体" w:hAnsi="宋体" w:eastAsia="宋体" w:cs="宋体"/>
                <w:color w:val="000000" w:themeColor="text1"/>
                <w:kern w:val="0"/>
                <w:szCs w:val="21"/>
                <w:lang w:eastAsia="zh-TW"/>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显著危险</w:t>
            </w:r>
          </w:p>
        </w:tc>
      </w:tr>
      <w:tr w14:paraId="7B0F6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2" w:hRule="atLeast"/>
        </w:trPr>
        <w:tc>
          <w:tcPr>
            <w:tcW w:w="4339" w:type="dxa"/>
            <w:tcBorders>
              <w:top w:val="single" w:color="auto" w:sz="4" w:space="0"/>
              <w:left w:val="single" w:color="auto" w:sz="4" w:space="0"/>
              <w:bottom w:val="single" w:color="auto" w:sz="4" w:space="0"/>
              <w:right w:val="single" w:color="auto" w:sz="4" w:space="0"/>
            </w:tcBorders>
            <w:vAlign w:val="center"/>
          </w:tcPr>
          <w:p w14:paraId="019A5D41">
            <w:pPr>
              <w:autoSpaceDE w:val="0"/>
              <w:autoSpaceDN w:val="0"/>
              <w:adjustRightInd w:val="0"/>
              <w:snapToGrid w:val="0"/>
              <w:spacing w:line="300" w:lineRule="exact"/>
              <w:jc w:val="center"/>
              <w:rPr>
                <w:rFonts w:hint="eastAsia" w:ascii="宋体" w:hAnsi="宋体" w:eastAsia="宋体" w:cs="宋体"/>
                <w:color w:val="000000" w:themeColor="text1"/>
                <w:kern w:val="0"/>
                <w:szCs w:val="21"/>
                <w:lang w:eastAsia="zh-TW"/>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20～70</w:t>
            </w:r>
          </w:p>
        </w:tc>
        <w:tc>
          <w:tcPr>
            <w:tcW w:w="4402" w:type="dxa"/>
            <w:tcBorders>
              <w:top w:val="single" w:color="auto" w:sz="4" w:space="0"/>
              <w:left w:val="single" w:color="auto" w:sz="4" w:space="0"/>
              <w:bottom w:val="single" w:color="auto" w:sz="4" w:space="0"/>
              <w:right w:val="single" w:color="auto" w:sz="4" w:space="0"/>
            </w:tcBorders>
            <w:vAlign w:val="center"/>
          </w:tcPr>
          <w:p w14:paraId="345AF917">
            <w:pPr>
              <w:autoSpaceDE w:val="0"/>
              <w:autoSpaceDN w:val="0"/>
              <w:adjustRightInd w:val="0"/>
              <w:snapToGrid w:val="0"/>
              <w:spacing w:line="300" w:lineRule="exact"/>
              <w:jc w:val="center"/>
              <w:rPr>
                <w:rFonts w:hint="eastAsia" w:ascii="宋体" w:hAnsi="宋体" w:eastAsia="宋体" w:cs="宋体"/>
                <w:color w:val="000000" w:themeColor="text1"/>
                <w:kern w:val="0"/>
                <w:szCs w:val="21"/>
                <w:lang w:eastAsia="zh-TW"/>
                <w14:textFill>
                  <w14:solidFill>
                    <w14:schemeClr w14:val="tx1"/>
                  </w14:solidFill>
                </w14:textFill>
              </w:rPr>
            </w:pPr>
            <w:bookmarkStart w:id="620" w:name="_Toc28887"/>
            <w:bookmarkStart w:id="621" w:name="_Toc14915"/>
            <w:bookmarkStart w:id="622" w:name="_Toc10985"/>
            <w:bookmarkStart w:id="623" w:name="_Toc23598"/>
            <w:bookmarkStart w:id="624" w:name="_Toc6519"/>
            <w:bookmarkStart w:id="625" w:name="_Toc12927"/>
            <w:bookmarkStart w:id="626" w:name="_Toc25681"/>
            <w:bookmarkStart w:id="627" w:name="_Toc1069"/>
            <w:bookmarkStart w:id="628" w:name="_Toc32009"/>
            <w:bookmarkStart w:id="629" w:name="_Toc8751"/>
            <w:bookmarkStart w:id="630" w:name="_Toc30727"/>
            <w:bookmarkStart w:id="631" w:name="_Toc1874"/>
            <w:bookmarkStart w:id="632" w:name="_Toc12678"/>
            <w:bookmarkStart w:id="633" w:name="_Toc30495"/>
            <w:bookmarkStart w:id="634" w:name="_Toc8861"/>
            <w:r>
              <w:rPr>
                <w:rFonts w:hint="eastAsia" w:ascii="宋体" w:hAnsi="宋体" w:eastAsia="宋体" w:cs="宋体"/>
                <w:color w:val="000000" w:themeColor="text1"/>
                <w:kern w:val="0"/>
                <w:szCs w:val="21"/>
                <w14:textFill>
                  <w14:solidFill>
                    <w14:schemeClr w14:val="tx1"/>
                  </w14:solidFill>
                </w14:textFill>
              </w:rPr>
              <w:t>可能危险</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tc>
      </w:tr>
      <w:tr w14:paraId="1B0BB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339" w:type="dxa"/>
            <w:tcBorders>
              <w:top w:val="single" w:color="auto" w:sz="4" w:space="0"/>
              <w:left w:val="single" w:color="auto" w:sz="4" w:space="0"/>
              <w:bottom w:val="single" w:color="auto" w:sz="4" w:space="0"/>
              <w:right w:val="single" w:color="auto" w:sz="4" w:space="0"/>
            </w:tcBorders>
            <w:vAlign w:val="center"/>
          </w:tcPr>
          <w:p w14:paraId="1DB81216">
            <w:pPr>
              <w:autoSpaceDE w:val="0"/>
              <w:autoSpaceDN w:val="0"/>
              <w:adjustRightInd w:val="0"/>
              <w:snapToGrid w:val="0"/>
              <w:spacing w:line="300" w:lineRule="exact"/>
              <w:jc w:val="center"/>
              <w:rPr>
                <w:rFonts w:hint="eastAsia" w:ascii="宋体" w:hAnsi="宋体" w:eastAsia="宋体" w:cs="宋体"/>
                <w:color w:val="000000" w:themeColor="text1"/>
                <w:kern w:val="0"/>
                <w:szCs w:val="21"/>
                <w:lang w:eastAsia="zh-TW"/>
                <w14:textFill>
                  <w14:solidFill>
                    <w14:schemeClr w14:val="tx1"/>
                  </w14:solidFill>
                </w14:textFill>
              </w:rPr>
            </w:pPr>
            <w:bookmarkStart w:id="635" w:name="_Toc4276"/>
            <w:bookmarkStart w:id="636" w:name="_Toc1127"/>
            <w:bookmarkStart w:id="637" w:name="_Toc12387"/>
            <w:bookmarkStart w:id="638" w:name="_Toc5139"/>
            <w:bookmarkStart w:id="639" w:name="_Toc3087"/>
            <w:bookmarkStart w:id="640" w:name="_Toc7939"/>
            <w:bookmarkStart w:id="641" w:name="_Toc27421"/>
            <w:bookmarkStart w:id="642" w:name="_Toc5515"/>
            <w:bookmarkStart w:id="643" w:name="_Toc11207"/>
            <w:bookmarkStart w:id="644" w:name="_Toc5807"/>
            <w:bookmarkStart w:id="645" w:name="_Toc31920"/>
            <w:bookmarkStart w:id="646" w:name="_Toc8676"/>
            <w:bookmarkStart w:id="647" w:name="_Toc10792"/>
            <w:bookmarkStart w:id="648" w:name="_Toc5289"/>
            <w:bookmarkStart w:id="649" w:name="_Toc1905"/>
            <w:r>
              <w:rPr>
                <w:rFonts w:hint="eastAsia" w:ascii="宋体" w:hAnsi="宋体" w:eastAsia="宋体" w:cs="宋体"/>
                <w:color w:val="000000" w:themeColor="text1"/>
                <w:kern w:val="0"/>
                <w:szCs w:val="21"/>
                <w14:textFill>
                  <w14:solidFill>
                    <w14:schemeClr w14:val="tx1"/>
                  </w14:solidFill>
                </w14:textFill>
              </w:rPr>
              <w:t>&lt;20</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tc>
        <w:tc>
          <w:tcPr>
            <w:tcW w:w="4402" w:type="dxa"/>
            <w:tcBorders>
              <w:top w:val="single" w:color="auto" w:sz="4" w:space="0"/>
              <w:left w:val="single" w:color="auto" w:sz="4" w:space="0"/>
              <w:bottom w:val="single" w:color="auto" w:sz="4" w:space="0"/>
              <w:right w:val="single" w:color="auto" w:sz="4" w:space="0"/>
            </w:tcBorders>
            <w:vAlign w:val="center"/>
          </w:tcPr>
          <w:p w14:paraId="118B0CBE">
            <w:pPr>
              <w:autoSpaceDE w:val="0"/>
              <w:autoSpaceDN w:val="0"/>
              <w:adjustRightInd w:val="0"/>
              <w:snapToGrid w:val="0"/>
              <w:spacing w:line="300" w:lineRule="exact"/>
              <w:jc w:val="center"/>
              <w:rPr>
                <w:rFonts w:hint="eastAsia" w:ascii="宋体" w:hAnsi="宋体" w:eastAsia="宋体" w:cs="宋体"/>
                <w:color w:val="000000" w:themeColor="text1"/>
                <w:kern w:val="0"/>
                <w:szCs w:val="21"/>
                <w:lang w:eastAsia="zh-TW"/>
                <w14:textFill>
                  <w14:solidFill>
                    <w14:schemeClr w14:val="tx1"/>
                  </w14:solidFill>
                </w14:textFill>
              </w:rPr>
            </w:pPr>
            <w:bookmarkStart w:id="650" w:name="_Toc10232"/>
            <w:bookmarkStart w:id="651" w:name="_Toc16735"/>
            <w:bookmarkStart w:id="652" w:name="_Toc27865"/>
            <w:bookmarkStart w:id="653" w:name="_Toc11913"/>
            <w:bookmarkStart w:id="654" w:name="_Toc24128"/>
            <w:bookmarkStart w:id="655" w:name="_Toc11775"/>
            <w:bookmarkStart w:id="656" w:name="_Toc30792"/>
            <w:bookmarkStart w:id="657" w:name="_Toc26155"/>
            <w:bookmarkStart w:id="658" w:name="_Toc31811"/>
            <w:bookmarkStart w:id="659" w:name="_Toc31399"/>
            <w:bookmarkStart w:id="660" w:name="_Toc6824"/>
            <w:bookmarkStart w:id="661" w:name="_Toc22270"/>
            <w:bookmarkStart w:id="662" w:name="_Toc21170"/>
            <w:bookmarkStart w:id="663" w:name="_Toc4104"/>
            <w:bookmarkStart w:id="664" w:name="_Toc20038"/>
            <w:r>
              <w:rPr>
                <w:rFonts w:hint="eastAsia" w:ascii="宋体" w:hAnsi="宋体" w:eastAsia="宋体" w:cs="宋体"/>
                <w:color w:val="000000" w:themeColor="text1"/>
                <w:kern w:val="0"/>
                <w:szCs w:val="21"/>
                <w14:textFill>
                  <w14:solidFill>
                    <w14:schemeClr w14:val="tx1"/>
                  </w14:solidFill>
                </w14:textFill>
              </w:rPr>
              <w:t>稍有危险</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tc>
      </w:tr>
      <w:bookmarkEnd w:id="618"/>
      <w:bookmarkEnd w:id="619"/>
    </w:tbl>
    <w:p w14:paraId="76551D7F">
      <w:pPr>
        <w:bidi w:val="0"/>
        <w:rPr>
          <w:rFonts w:hint="eastAsia" w:ascii="宋体" w:hAnsi="宋体" w:eastAsia="宋体" w:cs="宋体"/>
          <w:lang w:val="en-US" w:eastAsia="zh-CN"/>
        </w:rPr>
      </w:pPr>
      <w:bookmarkStart w:id="665" w:name="_Toc10460"/>
      <w:bookmarkStart w:id="666" w:name="_Toc19160"/>
      <w:bookmarkStart w:id="667" w:name="_Toc426117929"/>
      <w:bookmarkStart w:id="668" w:name="_Toc8074"/>
      <w:bookmarkStart w:id="669" w:name="_Toc20956"/>
      <w:bookmarkStart w:id="670" w:name="_Toc424893560"/>
      <w:bookmarkStart w:id="671" w:name="_Toc424816957"/>
      <w:bookmarkStart w:id="672" w:name="_Toc22587"/>
      <w:bookmarkStart w:id="673" w:name="_Toc274895698"/>
      <w:bookmarkStart w:id="674" w:name="_Toc58751357"/>
      <w:bookmarkStart w:id="675" w:name="_Toc15354"/>
      <w:bookmarkStart w:id="676" w:name="_Toc424136718"/>
      <w:bookmarkStart w:id="677" w:name="_Toc424893432"/>
    </w:p>
    <w:p w14:paraId="7ED4D4D4">
      <w:pPr>
        <w:pStyle w:val="3"/>
        <w:keepNext/>
        <w:keepLines/>
        <w:pageBreakBefore w:val="0"/>
        <w:widowControl w:val="0"/>
        <w:kinsoku/>
        <w:wordWrap/>
        <w:overflowPunct/>
        <w:topLinePunct w:val="0"/>
        <w:autoSpaceDE/>
        <w:autoSpaceDN/>
        <w:bidi w:val="0"/>
        <w:adjustRightInd/>
        <w:snapToGrid w:val="0"/>
        <w:spacing w:before="0" w:after="0" w:line="520" w:lineRule="exact"/>
        <w:jc w:val="both"/>
        <w:textAlignment w:val="auto"/>
        <w:rPr>
          <w:rFonts w:hint="eastAsia" w:ascii="宋体" w:hAnsi="宋体" w:eastAsia="宋体" w:cs="宋体"/>
          <w:color w:val="000000" w:themeColor="text1"/>
          <w:kern w:val="0"/>
          <w14:textFill>
            <w14:solidFill>
              <w14:schemeClr w14:val="tx1"/>
            </w14:solidFill>
          </w14:textFill>
        </w:rPr>
      </w:pPr>
      <w:bookmarkStart w:id="678" w:name="_Toc15186"/>
      <w:bookmarkStart w:id="679" w:name="_Toc28062"/>
      <w:bookmarkStart w:id="680" w:name="_Toc3588"/>
      <w:r>
        <w:rPr>
          <w:rFonts w:hint="eastAsia" w:ascii="宋体" w:hAnsi="宋体" w:eastAsia="宋体" w:cs="宋体"/>
          <w:color w:val="000000" w:themeColor="text1"/>
          <w:kern w:val="0"/>
          <w:lang w:val="en-US" w:eastAsia="zh-CN"/>
          <w14:textFill>
            <w14:solidFill>
              <w14:schemeClr w14:val="tx1"/>
            </w14:solidFill>
          </w14:textFill>
        </w:rPr>
        <w:t>4.5</w:t>
      </w:r>
      <w:r>
        <w:rPr>
          <w:rFonts w:hint="eastAsia" w:ascii="宋体" w:hAnsi="宋体" w:eastAsia="宋体" w:cs="宋体"/>
          <w:color w:val="000000" w:themeColor="text1"/>
          <w:kern w:val="0"/>
          <w14:textFill>
            <w14:solidFill>
              <w14:schemeClr w14:val="tx1"/>
            </w14:solidFill>
          </w14:textFill>
        </w:rPr>
        <w:t>评价方法选择理由</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14:paraId="52D19604">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kern w:val="0"/>
          <w:sz w:val="28"/>
          <w:szCs w:val="28"/>
          <w:lang w:val="en-US" w:eastAsia="zh-CN"/>
          <w14:textFill>
            <w14:solidFill>
              <w14:schemeClr w14:val="tx1"/>
            </w14:solidFill>
          </w14:textFill>
        </w:rPr>
      </w:pPr>
      <w:r>
        <w:rPr>
          <w:rFonts w:hint="eastAsia" w:ascii="宋体" w:hAnsi="宋体" w:eastAsia="宋体" w:cs="宋体"/>
          <w:color w:val="000000" w:themeColor="text1"/>
          <w:kern w:val="0"/>
          <w:sz w:val="28"/>
          <w:szCs w:val="28"/>
          <w:lang w:val="en-US" w:eastAsia="zh-CN"/>
          <w14:textFill>
            <w14:solidFill>
              <w14:schemeClr w14:val="tx1"/>
            </w14:solidFill>
          </w14:textFill>
        </w:rPr>
        <w:t>安全检查表的优缺点：</w:t>
      </w:r>
    </w:p>
    <w:p w14:paraId="10C257F1">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kern w:val="0"/>
          <w:sz w:val="28"/>
          <w:szCs w:val="28"/>
          <w:lang w:val="en-US" w:eastAsia="zh-CN"/>
          <w14:textFill>
            <w14:solidFill>
              <w14:schemeClr w14:val="tx1"/>
            </w14:solidFill>
          </w14:textFill>
        </w:rPr>
      </w:pPr>
      <w:r>
        <w:rPr>
          <w:rFonts w:hint="eastAsia" w:ascii="宋体" w:hAnsi="宋体" w:eastAsia="宋体" w:cs="宋体"/>
          <w:color w:val="000000" w:themeColor="text1"/>
          <w:kern w:val="0"/>
          <w:sz w:val="28"/>
          <w:szCs w:val="28"/>
          <w:lang w:val="en-US" w:eastAsia="zh-CN"/>
          <w14:textFill>
            <w14:solidFill>
              <w14:schemeClr w14:val="tx1"/>
            </w14:solidFill>
          </w14:textFill>
        </w:rPr>
        <w:t>1.优点</w:t>
      </w:r>
    </w:p>
    <w:p w14:paraId="759BCB63">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kern w:val="0"/>
          <w:sz w:val="28"/>
          <w:szCs w:val="28"/>
          <w:lang w:val="en-US" w:eastAsia="zh-CN"/>
          <w14:textFill>
            <w14:solidFill>
              <w14:schemeClr w14:val="tx1"/>
            </w14:solidFill>
          </w14:textFill>
        </w:rPr>
      </w:pPr>
      <w:r>
        <w:rPr>
          <w:rFonts w:hint="eastAsia" w:ascii="宋体" w:hAnsi="宋体" w:eastAsia="宋体" w:cs="宋体"/>
          <w:color w:val="000000" w:themeColor="text1"/>
          <w:kern w:val="0"/>
          <w:sz w:val="28"/>
          <w:szCs w:val="28"/>
          <w:lang w:val="en-US" w:eastAsia="zh-CN"/>
          <w14:textFill>
            <w14:solidFill>
              <w14:schemeClr w14:val="tx1"/>
            </w14:solidFill>
          </w14:textFill>
        </w:rPr>
        <w:t>（1）避免传统的安全检查中易发生的疏忽、遗漏等弊端，可全面地查出危险、有害因素（包括各类隐患）和工作漏项。</w:t>
      </w:r>
    </w:p>
    <w:p w14:paraId="0342B4FA">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kern w:val="0"/>
          <w:sz w:val="28"/>
          <w:szCs w:val="28"/>
          <w:lang w:val="en-US" w:eastAsia="zh-CN"/>
          <w14:textFill>
            <w14:solidFill>
              <w14:schemeClr w14:val="tx1"/>
            </w14:solidFill>
          </w14:textFill>
        </w:rPr>
      </w:pPr>
      <w:r>
        <w:rPr>
          <w:rFonts w:hint="eastAsia" w:ascii="宋体" w:hAnsi="宋体" w:eastAsia="宋体" w:cs="宋体"/>
          <w:color w:val="000000" w:themeColor="text1"/>
          <w:kern w:val="0"/>
          <w:sz w:val="28"/>
          <w:szCs w:val="28"/>
          <w:lang w:val="en-US" w:eastAsia="zh-CN"/>
          <w14:textFill>
            <w14:solidFill>
              <w14:schemeClr w14:val="tx1"/>
            </w14:solidFill>
          </w14:textFill>
        </w:rPr>
        <w:t>（2）应用预先编制的系统检查表并依据有关法规、标准在检查表中列出了检查要求，使检查工作标准化、规范化。</w:t>
      </w:r>
    </w:p>
    <w:p w14:paraId="35E884F1">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kern w:val="0"/>
          <w:sz w:val="28"/>
          <w:szCs w:val="28"/>
          <w:lang w:val="en-US" w:eastAsia="zh-CN"/>
          <w14:textFill>
            <w14:solidFill>
              <w14:schemeClr w14:val="tx1"/>
            </w14:solidFill>
          </w14:textFill>
        </w:rPr>
      </w:pPr>
      <w:r>
        <w:rPr>
          <w:rFonts w:hint="eastAsia" w:ascii="宋体" w:hAnsi="宋体" w:eastAsia="宋体" w:cs="宋体"/>
          <w:color w:val="000000" w:themeColor="text1"/>
          <w:kern w:val="0"/>
          <w:sz w:val="28"/>
          <w:szCs w:val="28"/>
          <w:lang w:val="en-US" w:eastAsia="zh-CN"/>
          <w14:textFill>
            <w14:solidFill>
              <w14:schemeClr w14:val="tx1"/>
            </w14:solidFill>
          </w14:textFill>
        </w:rPr>
        <w:t>（3）对不同的检查对象、检查目的有不同的检查表，应用范围广。</w:t>
      </w:r>
    </w:p>
    <w:p w14:paraId="1C09E96E">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kern w:val="0"/>
          <w:sz w:val="28"/>
          <w:szCs w:val="28"/>
          <w:lang w:val="en-US" w:eastAsia="zh-CN"/>
          <w14:textFill>
            <w14:solidFill>
              <w14:schemeClr w14:val="tx1"/>
            </w14:solidFill>
          </w14:textFill>
        </w:rPr>
      </w:pPr>
      <w:r>
        <w:rPr>
          <w:rFonts w:hint="eastAsia" w:ascii="宋体" w:hAnsi="宋体" w:eastAsia="宋体" w:cs="宋体"/>
          <w:color w:val="000000" w:themeColor="text1"/>
          <w:kern w:val="0"/>
          <w:sz w:val="28"/>
          <w:szCs w:val="28"/>
          <w:lang w:val="en-US" w:eastAsia="zh-CN"/>
          <w14:textFill>
            <w14:solidFill>
              <w14:schemeClr w14:val="tx1"/>
            </w14:solidFill>
          </w14:textFill>
        </w:rPr>
        <w:t>（4）安全检查表简明易懂、使用方便、易于掌握，能弥补有关人员知识、经验不足的缺陷，减少盲目性。</w:t>
      </w:r>
    </w:p>
    <w:p w14:paraId="1A517700">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kern w:val="0"/>
          <w:sz w:val="28"/>
          <w:szCs w:val="28"/>
          <w:lang w:val="en-US" w:eastAsia="zh-CN"/>
          <w14:textFill>
            <w14:solidFill>
              <w14:schemeClr w14:val="tx1"/>
            </w14:solidFill>
          </w14:textFill>
        </w:rPr>
      </w:pPr>
      <w:r>
        <w:rPr>
          <w:rFonts w:hint="eastAsia" w:ascii="宋体" w:hAnsi="宋体" w:eastAsia="宋体" w:cs="宋体"/>
          <w:color w:val="000000" w:themeColor="text1"/>
          <w:kern w:val="0"/>
          <w:sz w:val="28"/>
          <w:szCs w:val="28"/>
          <w:lang w:val="en-US" w:eastAsia="zh-CN"/>
          <w14:textFill>
            <w14:solidFill>
              <w14:schemeClr w14:val="tx1"/>
            </w14:solidFill>
          </w14:textFill>
        </w:rPr>
        <w:t>（5）检查人员依据安全检查表进行检查，检查结果即为履行职责的凭证。</w:t>
      </w:r>
    </w:p>
    <w:p w14:paraId="15DF8E59">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kern w:val="0"/>
          <w:sz w:val="28"/>
          <w:szCs w:val="28"/>
          <w:lang w:val="en-US" w:eastAsia="zh-CN"/>
          <w14:textFill>
            <w14:solidFill>
              <w14:schemeClr w14:val="tx1"/>
            </w14:solidFill>
          </w14:textFill>
        </w:rPr>
      </w:pPr>
      <w:r>
        <w:rPr>
          <w:rFonts w:hint="eastAsia" w:ascii="宋体" w:hAnsi="宋体" w:eastAsia="宋体" w:cs="宋体"/>
          <w:color w:val="000000" w:themeColor="text1"/>
          <w:kern w:val="0"/>
          <w:sz w:val="28"/>
          <w:szCs w:val="28"/>
          <w:lang w:val="en-US" w:eastAsia="zh-CN"/>
          <w14:textFill>
            <w14:solidFill>
              <w14:schemeClr w14:val="tx1"/>
            </w14:solidFill>
          </w14:textFill>
        </w:rPr>
        <w:t>2.缺点</w:t>
      </w:r>
    </w:p>
    <w:p w14:paraId="6A230F42">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kern w:val="0"/>
          <w:sz w:val="28"/>
          <w:szCs w:val="28"/>
          <w:lang w:val="en-US" w:eastAsia="zh-CN"/>
          <w14:textFill>
            <w14:solidFill>
              <w14:schemeClr w14:val="tx1"/>
            </w14:solidFill>
          </w14:textFill>
        </w:rPr>
      </w:pPr>
      <w:r>
        <w:rPr>
          <w:rFonts w:hint="eastAsia" w:ascii="宋体" w:hAnsi="宋体" w:eastAsia="宋体" w:cs="宋体"/>
          <w:color w:val="000000" w:themeColor="text1"/>
          <w:kern w:val="0"/>
          <w:sz w:val="28"/>
          <w:szCs w:val="28"/>
          <w:lang w:val="en-US" w:eastAsia="zh-CN"/>
          <w14:textFill>
            <w14:solidFill>
              <w14:schemeClr w14:val="tx1"/>
            </w14:solidFill>
          </w14:textFill>
        </w:rPr>
        <w:t>针对不同的需要，须事先编制大量的检查表，工作量大，且安全检查表的质量受编制人员的知识水平和经验影响。</w:t>
      </w:r>
    </w:p>
    <w:p w14:paraId="251D97EA">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kern w:val="0"/>
          <w:sz w:val="28"/>
          <w:szCs w:val="28"/>
          <w:lang w:val="en-US" w:eastAsia="zh-CN"/>
          <w14:textFill>
            <w14:solidFill>
              <w14:schemeClr w14:val="tx1"/>
            </w14:solidFill>
          </w14:textFill>
        </w:rPr>
      </w:pPr>
    </w:p>
    <w:p w14:paraId="7F6F8F8C">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kern w:val="0"/>
          <w:sz w:val="28"/>
          <w:szCs w:val="28"/>
          <w:lang w:val="en-US" w:eastAsia="zh-CN"/>
          <w14:textFill>
            <w14:solidFill>
              <w14:schemeClr w14:val="tx1"/>
            </w14:solidFill>
          </w14:textFill>
        </w:rPr>
      </w:pPr>
    </w:p>
    <w:p w14:paraId="6602870D">
      <w:pPr>
        <w:pStyle w:val="2"/>
        <w:bidi w:val="0"/>
        <w:rPr>
          <w:rFonts w:hint="eastAsia" w:ascii="宋体" w:hAnsi="宋体" w:eastAsia="宋体" w:cs="宋体"/>
          <w:color w:val="000000" w:themeColor="text1"/>
          <w14:textFill>
            <w14:solidFill>
              <w14:schemeClr w14:val="tx1"/>
            </w14:solidFill>
          </w14:textFill>
        </w:rPr>
      </w:pPr>
      <w:bookmarkStart w:id="681" w:name="_Toc27992"/>
      <w:bookmarkStart w:id="682" w:name="_Toc763"/>
      <w:bookmarkStart w:id="683" w:name="_Toc26640"/>
      <w:bookmarkStart w:id="684" w:name="_Toc27063"/>
      <w:r>
        <w:rPr>
          <w:rFonts w:hint="eastAsia" w:ascii="宋体" w:hAnsi="宋体" w:eastAsia="宋体" w:cs="宋体"/>
          <w:color w:val="000000" w:themeColor="text1"/>
          <w14:textFill>
            <w14:solidFill>
              <w14:schemeClr w14:val="tx1"/>
            </w14:solidFill>
          </w14:textFill>
        </w:rPr>
        <w:t>第5章  定性、定量评价</w:t>
      </w:r>
      <w:bookmarkEnd w:id="681"/>
      <w:bookmarkEnd w:id="682"/>
      <w:bookmarkEnd w:id="683"/>
      <w:bookmarkEnd w:id="684"/>
    </w:p>
    <w:p w14:paraId="375A95F8">
      <w:pPr>
        <w:pStyle w:val="3"/>
        <w:keepNext/>
        <w:keepLines/>
        <w:pageBreakBefore w:val="0"/>
        <w:widowControl w:val="0"/>
        <w:kinsoku/>
        <w:wordWrap/>
        <w:overflowPunct/>
        <w:topLinePunct w:val="0"/>
        <w:autoSpaceDE/>
        <w:autoSpaceDN/>
        <w:bidi w:val="0"/>
        <w:adjustRightInd/>
        <w:snapToGrid w:val="0"/>
        <w:spacing w:before="0" w:after="0" w:line="520" w:lineRule="exact"/>
        <w:jc w:val="both"/>
        <w:textAlignment w:val="auto"/>
        <w:rPr>
          <w:rFonts w:hint="eastAsia" w:ascii="宋体" w:hAnsi="宋体" w:eastAsia="宋体" w:cs="宋体"/>
          <w:color w:val="000000" w:themeColor="text1"/>
          <w:kern w:val="0"/>
          <w14:textFill>
            <w14:solidFill>
              <w14:schemeClr w14:val="tx1"/>
            </w14:solidFill>
          </w14:textFill>
        </w:rPr>
      </w:pPr>
      <w:bookmarkStart w:id="685" w:name="_Toc5689"/>
      <w:bookmarkStart w:id="686" w:name="_Toc29878"/>
      <w:bookmarkStart w:id="687" w:name="_Toc937"/>
      <w:bookmarkStart w:id="688" w:name="_Toc25710"/>
      <w:bookmarkStart w:id="689" w:name="_Toc25341"/>
      <w:bookmarkStart w:id="690" w:name="_Toc15879"/>
      <w:bookmarkStart w:id="691" w:name="_Toc202575709"/>
      <w:bookmarkStart w:id="692" w:name="_Toc309682497"/>
      <w:bookmarkStart w:id="693" w:name="_Toc335926267"/>
      <w:bookmarkStart w:id="694" w:name="_Toc201767299"/>
      <w:bookmarkStart w:id="695" w:name="_Toc8228"/>
      <w:bookmarkStart w:id="696" w:name="_Toc327017834"/>
      <w:bookmarkStart w:id="697" w:name="_Toc278151421"/>
      <w:r>
        <w:rPr>
          <w:rFonts w:hint="eastAsia" w:ascii="宋体" w:hAnsi="宋体" w:eastAsia="宋体" w:cs="宋体"/>
          <w:color w:val="000000" w:themeColor="text1"/>
          <w:kern w:val="0"/>
          <w14:textFill>
            <w14:solidFill>
              <w14:schemeClr w14:val="tx1"/>
            </w14:solidFill>
          </w14:textFill>
        </w:rPr>
        <w:t>5.1</w:t>
      </w:r>
      <w:r>
        <w:rPr>
          <w:rFonts w:hint="eastAsia" w:ascii="宋体" w:hAnsi="宋体" w:eastAsia="宋体" w:cs="宋体"/>
          <w:color w:val="000000" w:themeColor="text1"/>
          <w:kern w:val="0"/>
          <w:lang w:val="en-US" w:eastAsia="zh-CN"/>
          <w14:textFill>
            <w14:solidFill>
              <w14:schemeClr w14:val="tx1"/>
            </w14:solidFill>
          </w14:textFill>
        </w:rPr>
        <w:t xml:space="preserve"> </w:t>
      </w:r>
      <w:r>
        <w:rPr>
          <w:rFonts w:hint="eastAsia" w:ascii="宋体" w:hAnsi="宋体" w:eastAsia="宋体" w:cs="宋体"/>
          <w:color w:val="000000" w:themeColor="text1"/>
          <w:kern w:val="0"/>
          <w14:textFill>
            <w14:solidFill>
              <w14:schemeClr w14:val="tx1"/>
            </w14:solidFill>
          </w14:textFill>
        </w:rPr>
        <w:t>厂址及总平面布置评价单元</w:t>
      </w:r>
      <w:bookmarkEnd w:id="685"/>
      <w:bookmarkEnd w:id="686"/>
      <w:bookmarkEnd w:id="687"/>
      <w:bookmarkEnd w:id="688"/>
      <w:bookmarkEnd w:id="689"/>
      <w:bookmarkEnd w:id="690"/>
    </w:p>
    <w:p w14:paraId="7BE66B7C">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698" w:name="_Toc2499"/>
      <w:bookmarkStart w:id="699" w:name="_Toc8965"/>
      <w:bookmarkStart w:id="700" w:name="_Toc18062"/>
      <w:bookmarkStart w:id="701" w:name="_Toc15050"/>
      <w:bookmarkStart w:id="702" w:name="_Toc22349"/>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5.1.1厂址及总平面布置安全检查表</w:t>
      </w:r>
      <w:bookmarkEnd w:id="691"/>
      <w:bookmarkEnd w:id="692"/>
      <w:bookmarkEnd w:id="693"/>
      <w:bookmarkEnd w:id="694"/>
      <w:bookmarkEnd w:id="695"/>
      <w:bookmarkEnd w:id="696"/>
      <w:bookmarkEnd w:id="697"/>
      <w:bookmarkEnd w:id="698"/>
      <w:bookmarkEnd w:id="699"/>
      <w:bookmarkEnd w:id="700"/>
      <w:bookmarkEnd w:id="701"/>
      <w:bookmarkEnd w:id="702"/>
    </w:p>
    <w:p w14:paraId="2480E810">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本评价单元依据《工业企业总平面设计规范》（GB50187-2012）、《工业企业厂内铁路、道路运输安全规程》（GB4387-2008）</w:t>
      </w:r>
      <w:r>
        <w:rPr>
          <w:rFonts w:hint="eastAsia" w:ascii="宋体" w:hAnsi="宋体" w:eastAsia="宋体" w:cs="宋体"/>
          <w:color w:val="000000" w:themeColor="text1"/>
          <w:sz w:val="28"/>
          <w:szCs w:val="28"/>
          <w:lang w:eastAsia="zh-CN"/>
          <w14:textFill>
            <w14:solidFill>
              <w14:schemeClr w14:val="tx1"/>
            </w14:solidFill>
          </w14:textFill>
        </w:rPr>
        <w:t>和</w:t>
      </w:r>
      <w:r>
        <w:rPr>
          <w:rFonts w:hint="eastAsia" w:ascii="宋体" w:hAnsi="宋体" w:eastAsia="宋体" w:cs="宋体"/>
          <w:color w:val="000000" w:themeColor="text1"/>
          <w:sz w:val="28"/>
          <w:szCs w:val="28"/>
          <w14:textFill>
            <w14:solidFill>
              <w14:schemeClr w14:val="tx1"/>
            </w14:solidFill>
          </w14:textFill>
        </w:rPr>
        <w:t>《建筑设计防火规范〔2018</w:t>
      </w:r>
      <w:r>
        <w:rPr>
          <w:rFonts w:hint="eastAsia" w:ascii="宋体" w:hAnsi="宋体" w:eastAsia="宋体" w:cs="宋体"/>
          <w:color w:val="000000" w:themeColor="text1"/>
          <w:sz w:val="28"/>
          <w:szCs w:val="28"/>
          <w:lang w:val="en-US" w:eastAsia="zh-CN"/>
          <w14:textFill>
            <w14:solidFill>
              <w14:schemeClr w14:val="tx1"/>
            </w14:solidFill>
          </w14:textFill>
        </w:rPr>
        <w:t>年</w:t>
      </w:r>
      <w:r>
        <w:rPr>
          <w:rFonts w:hint="eastAsia" w:ascii="宋体" w:hAnsi="宋体" w:eastAsia="宋体" w:cs="宋体"/>
          <w:color w:val="000000" w:themeColor="text1"/>
          <w:sz w:val="28"/>
          <w:szCs w:val="28"/>
          <w14:textFill>
            <w14:solidFill>
              <w14:schemeClr w14:val="tx1"/>
            </w14:solidFill>
          </w14:textFill>
        </w:rPr>
        <w:t>版〕》（GB 50016-2014）</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《建筑防火通用规范》（GB55037-2022）等相关标准和规范中的相关内容对该项目的厂址和总平面布置采用安全检查表进行分析评价，检查其是否符合有关标准、规范的要求。</w:t>
      </w:r>
    </w:p>
    <w:p w14:paraId="12D130CF">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表5-1  厂址及总平面布置安全检查表</w:t>
      </w:r>
    </w:p>
    <w:tbl>
      <w:tblPr>
        <w:tblStyle w:val="24"/>
        <w:tblW w:w="84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2520"/>
        <w:gridCol w:w="2400"/>
        <w:gridCol w:w="2145"/>
        <w:gridCol w:w="720"/>
      </w:tblGrid>
      <w:tr w14:paraId="6FFA4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637" w:type="dxa"/>
            <w:vAlign w:val="center"/>
          </w:tcPr>
          <w:p w14:paraId="7D6080E2">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序号</w:t>
            </w:r>
          </w:p>
        </w:tc>
        <w:tc>
          <w:tcPr>
            <w:tcW w:w="2520" w:type="dxa"/>
            <w:vAlign w:val="center"/>
          </w:tcPr>
          <w:p w14:paraId="0766C011">
            <w:pPr>
              <w:keepNext w:val="0"/>
              <w:keepLines w:val="0"/>
              <w:pageBreakBefore w:val="0"/>
              <w:suppressAutoHyphens/>
              <w:kinsoku/>
              <w:wordWrap/>
              <w:overflowPunct/>
              <w:topLinePunct w:val="0"/>
              <w:bidi w:val="0"/>
              <w:snapToGrid w:val="0"/>
              <w:jc w:val="center"/>
              <w:textAlignment w:val="auto"/>
              <w:rPr>
                <w:rFonts w:hint="eastAsia" w:ascii="宋体" w:hAnsi="宋体" w:eastAsia="宋体" w:cs="宋体"/>
                <w:snapToGrid w:val="0"/>
                <w:color w:val="000000" w:themeColor="text1"/>
                <w:sz w:val="21"/>
                <w:szCs w:val="21"/>
                <w14:textFill>
                  <w14:solidFill>
                    <w14:schemeClr w14:val="tx1"/>
                  </w14:solidFill>
                </w14:textFill>
              </w:rPr>
            </w:pPr>
            <w:r>
              <w:rPr>
                <w:rFonts w:hint="eastAsia" w:ascii="宋体" w:hAnsi="宋体" w:eastAsia="宋体" w:cs="宋体"/>
                <w:snapToGrid w:val="0"/>
                <w:color w:val="000000" w:themeColor="text1"/>
                <w:sz w:val="21"/>
                <w:szCs w:val="21"/>
                <w14:textFill>
                  <w14:solidFill>
                    <w14:schemeClr w14:val="tx1"/>
                  </w14:solidFill>
                </w14:textFill>
              </w:rPr>
              <w:t>检查内容</w:t>
            </w:r>
          </w:p>
        </w:tc>
        <w:tc>
          <w:tcPr>
            <w:tcW w:w="2400" w:type="dxa"/>
            <w:vAlign w:val="center"/>
          </w:tcPr>
          <w:p w14:paraId="432A50CA">
            <w:pPr>
              <w:keepNext w:val="0"/>
              <w:keepLines w:val="0"/>
              <w:pageBreakBefore w:val="0"/>
              <w:suppressAutoHyphens/>
              <w:kinsoku/>
              <w:wordWrap/>
              <w:overflowPunct/>
              <w:topLinePunct w:val="0"/>
              <w:bidi w:val="0"/>
              <w:snapToGrid w:val="0"/>
              <w:jc w:val="center"/>
              <w:textAlignment w:val="auto"/>
              <w:rPr>
                <w:rFonts w:hint="eastAsia" w:ascii="宋体" w:hAnsi="宋体" w:eastAsia="宋体" w:cs="宋体"/>
                <w:snapToGrid w:val="0"/>
                <w:color w:val="000000" w:themeColor="text1"/>
                <w:sz w:val="21"/>
                <w:szCs w:val="21"/>
                <w14:textFill>
                  <w14:solidFill>
                    <w14:schemeClr w14:val="tx1"/>
                  </w14:solidFill>
                </w14:textFill>
              </w:rPr>
            </w:pPr>
            <w:r>
              <w:rPr>
                <w:rFonts w:hint="eastAsia" w:ascii="宋体" w:hAnsi="宋体" w:eastAsia="宋体" w:cs="宋体"/>
                <w:snapToGrid w:val="0"/>
                <w:color w:val="000000" w:themeColor="text1"/>
                <w:sz w:val="21"/>
                <w:szCs w:val="21"/>
                <w14:textFill>
                  <w14:solidFill>
                    <w14:schemeClr w14:val="tx1"/>
                  </w14:solidFill>
                </w14:textFill>
              </w:rPr>
              <w:t>依据标准</w:t>
            </w:r>
          </w:p>
        </w:tc>
        <w:tc>
          <w:tcPr>
            <w:tcW w:w="2145" w:type="dxa"/>
            <w:vAlign w:val="center"/>
          </w:tcPr>
          <w:p w14:paraId="61BA3306">
            <w:pPr>
              <w:keepNext w:val="0"/>
              <w:keepLines w:val="0"/>
              <w:pageBreakBefore w:val="0"/>
              <w:suppressAutoHyphens/>
              <w:kinsoku/>
              <w:wordWrap/>
              <w:overflowPunct/>
              <w:topLinePunct w:val="0"/>
              <w:bidi w:val="0"/>
              <w:snapToGrid w:val="0"/>
              <w:jc w:val="center"/>
              <w:textAlignment w:val="auto"/>
              <w:rPr>
                <w:rFonts w:hint="eastAsia" w:ascii="宋体" w:hAnsi="宋体" w:eastAsia="宋体" w:cs="宋体"/>
                <w:snapToGrid w:val="0"/>
                <w:color w:val="000000" w:themeColor="text1"/>
                <w:sz w:val="21"/>
                <w:szCs w:val="21"/>
                <w14:textFill>
                  <w14:solidFill>
                    <w14:schemeClr w14:val="tx1"/>
                  </w14:solidFill>
                </w14:textFill>
              </w:rPr>
            </w:pPr>
            <w:r>
              <w:rPr>
                <w:rFonts w:hint="eastAsia" w:ascii="宋体" w:hAnsi="宋体" w:eastAsia="宋体" w:cs="宋体"/>
                <w:snapToGrid w:val="0"/>
                <w:color w:val="000000" w:themeColor="text1"/>
                <w:sz w:val="21"/>
                <w:szCs w:val="21"/>
                <w14:textFill>
                  <w14:solidFill>
                    <w14:schemeClr w14:val="tx1"/>
                  </w14:solidFill>
                </w14:textFill>
              </w:rPr>
              <w:t>检查情况</w:t>
            </w:r>
          </w:p>
        </w:tc>
        <w:tc>
          <w:tcPr>
            <w:tcW w:w="720" w:type="dxa"/>
            <w:vAlign w:val="center"/>
          </w:tcPr>
          <w:p w14:paraId="722D60C6">
            <w:pPr>
              <w:keepNext w:val="0"/>
              <w:keepLines w:val="0"/>
              <w:pageBreakBefore w:val="0"/>
              <w:suppressAutoHyphens/>
              <w:kinsoku/>
              <w:wordWrap/>
              <w:overflowPunct/>
              <w:topLinePunct w:val="0"/>
              <w:bidi w:val="0"/>
              <w:snapToGrid w:val="0"/>
              <w:jc w:val="center"/>
              <w:textAlignment w:val="auto"/>
              <w:rPr>
                <w:rFonts w:hint="eastAsia" w:ascii="宋体" w:hAnsi="宋体" w:eastAsia="宋体" w:cs="宋体"/>
                <w:snapToGrid w:val="0"/>
                <w:color w:val="000000" w:themeColor="text1"/>
                <w:sz w:val="21"/>
                <w:szCs w:val="21"/>
                <w14:textFill>
                  <w14:solidFill>
                    <w14:schemeClr w14:val="tx1"/>
                  </w14:solidFill>
                </w14:textFill>
              </w:rPr>
            </w:pPr>
            <w:r>
              <w:rPr>
                <w:rFonts w:hint="eastAsia" w:ascii="宋体" w:hAnsi="宋体" w:eastAsia="宋体" w:cs="宋体"/>
                <w:snapToGrid w:val="0"/>
                <w:color w:val="000000" w:themeColor="text1"/>
                <w:sz w:val="21"/>
                <w:szCs w:val="21"/>
                <w14:textFill>
                  <w14:solidFill>
                    <w14:schemeClr w14:val="tx1"/>
                  </w14:solidFill>
                </w14:textFill>
              </w:rPr>
              <w:t>结论</w:t>
            </w:r>
          </w:p>
        </w:tc>
      </w:tr>
      <w:tr w14:paraId="183EE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422" w:type="dxa"/>
            <w:gridSpan w:val="5"/>
            <w:vAlign w:val="center"/>
          </w:tcPr>
          <w:p w14:paraId="5150C9E3">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厂址检查</w:t>
            </w:r>
          </w:p>
        </w:tc>
      </w:tr>
      <w:tr w14:paraId="543A0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29F0D804">
            <w:pPr>
              <w:keepNext w:val="0"/>
              <w:keepLines w:val="0"/>
              <w:pageBreakBefore w:val="0"/>
              <w:kinsoku/>
              <w:wordWrap/>
              <w:overflowPunct/>
              <w:topLinePunct w:val="0"/>
              <w:autoSpaceDE w:val="0"/>
              <w:autoSpaceDN w:val="0"/>
              <w:bidi w:val="0"/>
              <w:adjustRightInd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1</w:t>
            </w:r>
          </w:p>
        </w:tc>
        <w:tc>
          <w:tcPr>
            <w:tcW w:w="2520" w:type="dxa"/>
            <w:vAlign w:val="center"/>
          </w:tcPr>
          <w:p w14:paraId="1D2C05CC">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厂址选择应符合国家的工业布局、城镇（乡）总体规划及土地利用总体规划的要求。  </w:t>
            </w:r>
          </w:p>
        </w:tc>
        <w:tc>
          <w:tcPr>
            <w:tcW w:w="2400" w:type="dxa"/>
            <w:vAlign w:val="center"/>
          </w:tcPr>
          <w:p w14:paraId="6D67E58D">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《工业企业总平面设计规范》（GB50187-2012）</w:t>
            </w:r>
          </w:p>
          <w:p w14:paraId="6F78B22C">
            <w:pPr>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第3.0.1条</w:t>
            </w:r>
          </w:p>
        </w:tc>
        <w:tc>
          <w:tcPr>
            <w:tcW w:w="2145" w:type="dxa"/>
            <w:vAlign w:val="center"/>
          </w:tcPr>
          <w:p w14:paraId="4E501149">
            <w:pPr>
              <w:keepNext w:val="0"/>
              <w:keepLines w:val="0"/>
              <w:pageBreakBefore w:val="0"/>
              <w:kinsoku/>
              <w:wordWrap/>
              <w:overflowPunct/>
              <w:topLinePunct w:val="0"/>
              <w:autoSpaceDE w:val="0"/>
              <w:autoSpaceDN w:val="0"/>
              <w:bidi w:val="0"/>
              <w:adjustRightInd w:val="0"/>
              <w:snapToGrid w:val="0"/>
              <w:textAlignment w:val="auto"/>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该厂有土地使用</w:t>
            </w:r>
            <w:r>
              <w:rPr>
                <w:rFonts w:hint="eastAsia" w:ascii="宋体" w:hAnsi="宋体" w:eastAsia="宋体" w:cs="宋体"/>
                <w:color w:val="000000" w:themeColor="text1"/>
                <w:kern w:val="2"/>
                <w:sz w:val="21"/>
                <w:szCs w:val="21"/>
                <w:lang w:val="en-US" w:eastAsia="zh-CN"/>
                <w14:textFill>
                  <w14:solidFill>
                    <w14:schemeClr w14:val="tx1"/>
                  </w14:solidFill>
                </w14:textFill>
              </w:rPr>
              <w:t>证</w:t>
            </w:r>
            <w:r>
              <w:rPr>
                <w:rFonts w:hint="eastAsia" w:ascii="宋体" w:hAnsi="宋体" w:eastAsia="宋体" w:cs="宋体"/>
                <w:color w:val="000000" w:themeColor="text1"/>
                <w:kern w:val="2"/>
                <w:sz w:val="21"/>
                <w:szCs w:val="21"/>
                <w14:textFill>
                  <w14:solidFill>
                    <w14:schemeClr w14:val="tx1"/>
                  </w14:solidFill>
                </w14:textFill>
              </w:rPr>
              <w:t>，选址选择</w:t>
            </w:r>
            <w:r>
              <w:rPr>
                <w:rFonts w:hint="eastAsia" w:ascii="宋体" w:hAnsi="宋体" w:eastAsia="宋体" w:cs="宋体"/>
                <w:color w:val="000000" w:themeColor="text1"/>
                <w:sz w:val="21"/>
                <w:szCs w:val="21"/>
                <w14:textFill>
                  <w14:solidFill>
                    <w14:schemeClr w14:val="tx1"/>
                  </w14:solidFill>
                </w14:textFill>
              </w:rPr>
              <w:t>符合城镇总体规划的要求。</w:t>
            </w:r>
          </w:p>
        </w:tc>
        <w:tc>
          <w:tcPr>
            <w:tcW w:w="720" w:type="dxa"/>
            <w:vAlign w:val="center"/>
          </w:tcPr>
          <w:p w14:paraId="6E51AD1D">
            <w:pPr>
              <w:keepNext w:val="0"/>
              <w:keepLines w:val="0"/>
              <w:pageBreakBefore w:val="0"/>
              <w:tabs>
                <w:tab w:val="left" w:pos="4635"/>
              </w:tabs>
              <w:kinsoku/>
              <w:wordWrap/>
              <w:overflowPunct/>
              <w:topLinePunct w:val="0"/>
              <w:autoSpaceDE w:val="0"/>
              <w:autoSpaceDN w:val="0"/>
              <w:bidi w:val="0"/>
              <w:adjustRightInd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79D81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16BC85D9">
            <w:pPr>
              <w:keepNext w:val="0"/>
              <w:keepLines w:val="0"/>
              <w:pageBreakBefore w:val="0"/>
              <w:kinsoku/>
              <w:wordWrap/>
              <w:overflowPunct/>
              <w:topLinePunct w:val="0"/>
              <w:autoSpaceDE w:val="0"/>
              <w:autoSpaceDN w:val="0"/>
              <w:bidi w:val="0"/>
              <w:adjustRightInd w:val="0"/>
              <w:snapToGrid w:val="0"/>
              <w:jc w:val="center"/>
              <w:textAlignment w:val="auto"/>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2</w:t>
            </w:r>
          </w:p>
        </w:tc>
        <w:tc>
          <w:tcPr>
            <w:tcW w:w="2520" w:type="dxa"/>
            <w:vAlign w:val="center"/>
          </w:tcPr>
          <w:p w14:paraId="1D433B67">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配套和服务工业企业的居住区、交通运输、动力公用设施、废料场及环境保护工程、施工基地等用地，应与厂区用地同时选择。 </w:t>
            </w:r>
          </w:p>
        </w:tc>
        <w:tc>
          <w:tcPr>
            <w:tcW w:w="2400" w:type="dxa"/>
            <w:vAlign w:val="center"/>
          </w:tcPr>
          <w:p w14:paraId="1DA66F43">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《工业企业总平面设计规范》（GB50187-2012）</w:t>
            </w:r>
          </w:p>
          <w:p w14:paraId="188FCBF1">
            <w:pPr>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第3.0.2条</w:t>
            </w:r>
          </w:p>
        </w:tc>
        <w:tc>
          <w:tcPr>
            <w:tcW w:w="2145" w:type="dxa"/>
            <w:vAlign w:val="center"/>
          </w:tcPr>
          <w:p w14:paraId="7BAE36AE">
            <w:pPr>
              <w:keepNext w:val="0"/>
              <w:keepLines w:val="0"/>
              <w:pageBreakBefore w:val="0"/>
              <w:kinsoku/>
              <w:wordWrap/>
              <w:overflowPunct/>
              <w:topLinePunct w:val="0"/>
              <w:autoSpaceDE w:val="0"/>
              <w:autoSpaceDN w:val="0"/>
              <w:bidi w:val="0"/>
              <w:adjustRightInd w:val="0"/>
              <w:snapToGrid w:val="0"/>
              <w:textAlignment w:val="auto"/>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生活区、交通运输、动力公用设施、废料场及环境保护工程、施工基地等用地，厂区用地同时选择。</w:t>
            </w:r>
          </w:p>
        </w:tc>
        <w:tc>
          <w:tcPr>
            <w:tcW w:w="720" w:type="dxa"/>
            <w:vAlign w:val="center"/>
          </w:tcPr>
          <w:p w14:paraId="2062FDED">
            <w:pPr>
              <w:keepNext w:val="0"/>
              <w:keepLines w:val="0"/>
              <w:pageBreakBefore w:val="0"/>
              <w:tabs>
                <w:tab w:val="left" w:pos="4635"/>
              </w:tabs>
              <w:kinsoku/>
              <w:wordWrap/>
              <w:overflowPunct/>
              <w:topLinePunct w:val="0"/>
              <w:autoSpaceDE w:val="0"/>
              <w:autoSpaceDN w:val="0"/>
              <w:bidi w:val="0"/>
              <w:adjustRightInd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7DD3C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1FFF604D">
            <w:pPr>
              <w:keepNext w:val="0"/>
              <w:keepLines w:val="0"/>
              <w:pageBreakBefore w:val="0"/>
              <w:kinsoku/>
              <w:wordWrap/>
              <w:overflowPunct/>
              <w:topLinePunct w:val="0"/>
              <w:autoSpaceDE w:val="0"/>
              <w:autoSpaceDN w:val="0"/>
              <w:bidi w:val="0"/>
              <w:adjustRightInd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2520" w:type="dxa"/>
            <w:vAlign w:val="center"/>
          </w:tcPr>
          <w:p w14:paraId="547CCA18">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原料、燃料或产品运输量（特别）大的工业企业，厂址宜靠近原料、燃料基地或产品主要销售地及协作条件好的地区。 </w:t>
            </w:r>
          </w:p>
        </w:tc>
        <w:tc>
          <w:tcPr>
            <w:tcW w:w="2400" w:type="dxa"/>
            <w:vAlign w:val="center"/>
          </w:tcPr>
          <w:p w14:paraId="31F69B4E">
            <w:pPr>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《工业企业总平面设计规范》（GB50187-2012）</w:t>
            </w:r>
          </w:p>
          <w:p w14:paraId="06BE8209">
            <w:pPr>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第3.0.4条</w:t>
            </w:r>
          </w:p>
        </w:tc>
        <w:tc>
          <w:tcPr>
            <w:tcW w:w="2145" w:type="dxa"/>
            <w:vAlign w:val="center"/>
          </w:tcPr>
          <w:p w14:paraId="7574CAF9">
            <w:pPr>
              <w:keepNext w:val="0"/>
              <w:keepLines w:val="0"/>
              <w:pageBreakBefore w:val="0"/>
              <w:kinsoku/>
              <w:wordWrap/>
              <w:overflowPunct/>
              <w:topLinePunct w:val="0"/>
              <w:autoSpaceDE w:val="0"/>
              <w:autoSpaceDN w:val="0"/>
              <w:bidi w:val="0"/>
              <w:adjustRightInd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该项目原、辅料等的来源进行多方案技术经济比较，择优确定。</w:t>
            </w:r>
          </w:p>
        </w:tc>
        <w:tc>
          <w:tcPr>
            <w:tcW w:w="720" w:type="dxa"/>
            <w:vAlign w:val="center"/>
          </w:tcPr>
          <w:p w14:paraId="32C52BE9">
            <w:pPr>
              <w:keepNext w:val="0"/>
              <w:keepLines w:val="0"/>
              <w:pageBreakBefore w:val="0"/>
              <w:tabs>
                <w:tab w:val="left" w:pos="4635"/>
              </w:tabs>
              <w:kinsoku/>
              <w:wordWrap/>
              <w:overflowPunct/>
              <w:topLinePunct w:val="0"/>
              <w:autoSpaceDE w:val="0"/>
              <w:autoSpaceDN w:val="0"/>
              <w:bidi w:val="0"/>
              <w:adjustRightInd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40B9B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68A7AACE">
            <w:pPr>
              <w:keepNext w:val="0"/>
              <w:keepLines w:val="0"/>
              <w:pageBreakBefore w:val="0"/>
              <w:kinsoku/>
              <w:wordWrap/>
              <w:overflowPunct/>
              <w:topLinePunct w:val="0"/>
              <w:autoSpaceDE w:val="0"/>
              <w:autoSpaceDN w:val="0"/>
              <w:bidi w:val="0"/>
              <w:adjustRightInd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w:t>
            </w:r>
          </w:p>
        </w:tc>
        <w:tc>
          <w:tcPr>
            <w:tcW w:w="2520" w:type="dxa"/>
            <w:vAlign w:val="center"/>
          </w:tcPr>
          <w:p w14:paraId="63098C28">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厂址应有便利和经济的交通运输条件，与厂外铁路、公路的连接，应便捷、工程量小。临近江、河、湖、海的厂址，通航条件满足企业运输要求时，应尽量利用水运，且厂址宜靠近适合建设码头的地段。 </w:t>
            </w:r>
          </w:p>
        </w:tc>
        <w:tc>
          <w:tcPr>
            <w:tcW w:w="2400" w:type="dxa"/>
            <w:vAlign w:val="center"/>
          </w:tcPr>
          <w:p w14:paraId="0A6DFEC7">
            <w:pPr>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《工业企业总平面设计规范》（GB50187-2012）</w:t>
            </w:r>
          </w:p>
          <w:p w14:paraId="05128CF3">
            <w:pPr>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第3.0.5条</w:t>
            </w:r>
          </w:p>
        </w:tc>
        <w:tc>
          <w:tcPr>
            <w:tcW w:w="2145" w:type="dxa"/>
            <w:vAlign w:val="center"/>
          </w:tcPr>
          <w:p w14:paraId="1E641051">
            <w:pPr>
              <w:keepNext w:val="0"/>
              <w:keepLines w:val="0"/>
              <w:pageBreakBefore w:val="0"/>
              <w:kinsoku/>
              <w:wordWrap/>
              <w:overflowPunct/>
              <w:topLinePunct w:val="0"/>
              <w:autoSpaceDE w:val="0"/>
              <w:autoSpaceDN w:val="0"/>
              <w:bidi w:val="0"/>
              <w:adjustRightInd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主要原、辅料、产品运输较方便。</w:t>
            </w:r>
          </w:p>
        </w:tc>
        <w:tc>
          <w:tcPr>
            <w:tcW w:w="720" w:type="dxa"/>
            <w:vAlign w:val="center"/>
          </w:tcPr>
          <w:p w14:paraId="1A49D4C4">
            <w:pPr>
              <w:keepNext w:val="0"/>
              <w:keepLines w:val="0"/>
              <w:pageBreakBefore w:val="0"/>
              <w:tabs>
                <w:tab w:val="left" w:pos="4635"/>
              </w:tabs>
              <w:kinsoku/>
              <w:wordWrap/>
              <w:overflowPunct/>
              <w:topLinePunct w:val="0"/>
              <w:autoSpaceDE w:val="0"/>
              <w:autoSpaceDN w:val="0"/>
              <w:bidi w:val="0"/>
              <w:adjustRightInd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5EF8B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55A4C679">
            <w:pPr>
              <w:keepNext w:val="0"/>
              <w:keepLines w:val="0"/>
              <w:pageBreakBefore w:val="0"/>
              <w:kinsoku/>
              <w:wordWrap/>
              <w:overflowPunct/>
              <w:topLinePunct w:val="0"/>
              <w:autoSpaceDE w:val="0"/>
              <w:autoSpaceDN w:val="0"/>
              <w:bidi w:val="0"/>
              <w:adjustRightInd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w:t>
            </w:r>
          </w:p>
        </w:tc>
        <w:tc>
          <w:tcPr>
            <w:tcW w:w="2520" w:type="dxa"/>
            <w:vAlign w:val="center"/>
          </w:tcPr>
          <w:p w14:paraId="068D1855">
            <w:pPr>
              <w:keepNext w:val="0"/>
              <w:keepLines w:val="0"/>
              <w:pageBreakBefore w:val="0"/>
              <w:kinsoku/>
              <w:wordWrap/>
              <w:overflowPunct/>
              <w:topLinePunct w:val="0"/>
              <w:autoSpaceDE w:val="0"/>
              <w:autoSpaceDN w:val="0"/>
              <w:bidi w:val="0"/>
              <w:adjustRightInd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厂址应具有满足生产、生活及发展所必需的水源和电源。水源和电源与厂址之间的管线连接应尽量短捷，且用水、用电量（特别）大的工业企业宜靠近水源及电源地。 </w:t>
            </w:r>
          </w:p>
        </w:tc>
        <w:tc>
          <w:tcPr>
            <w:tcW w:w="2400" w:type="dxa"/>
            <w:vAlign w:val="center"/>
          </w:tcPr>
          <w:p w14:paraId="1589B25A">
            <w:pPr>
              <w:keepNext w:val="0"/>
              <w:keepLines w:val="0"/>
              <w:pageBreakBefore w:val="0"/>
              <w:kinsoku/>
              <w:wordWrap/>
              <w:overflowPunct/>
              <w:topLinePunct w:val="0"/>
              <w:autoSpaceDE w:val="0"/>
              <w:autoSpaceDN w:val="0"/>
              <w:bidi w:val="0"/>
              <w:adjustRightInd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《工业企业总平面设计规范》（GB50187-2012）</w:t>
            </w:r>
          </w:p>
          <w:p w14:paraId="2C55209F">
            <w:pPr>
              <w:keepNext w:val="0"/>
              <w:keepLines w:val="0"/>
              <w:pageBreakBefore w:val="0"/>
              <w:kinsoku/>
              <w:wordWrap/>
              <w:overflowPunct/>
              <w:topLinePunct w:val="0"/>
              <w:autoSpaceDE w:val="0"/>
              <w:autoSpaceDN w:val="0"/>
              <w:bidi w:val="0"/>
              <w:adjustRightInd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第3.0.6条</w:t>
            </w:r>
          </w:p>
        </w:tc>
        <w:tc>
          <w:tcPr>
            <w:tcW w:w="2145" w:type="dxa"/>
            <w:vAlign w:val="center"/>
          </w:tcPr>
          <w:p w14:paraId="27CD5F08">
            <w:pPr>
              <w:keepNext w:val="0"/>
              <w:keepLines w:val="0"/>
              <w:pageBreakBefore w:val="0"/>
              <w:kinsoku/>
              <w:wordWrap/>
              <w:overflowPunct/>
              <w:topLinePunct w:val="0"/>
              <w:autoSpaceDE w:val="0"/>
              <w:autoSpaceDN w:val="0"/>
              <w:bidi w:val="0"/>
              <w:adjustRightInd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厂址具有满足生产、生活及发展规划所必需的水源和电源。</w:t>
            </w:r>
          </w:p>
        </w:tc>
        <w:tc>
          <w:tcPr>
            <w:tcW w:w="720" w:type="dxa"/>
            <w:vAlign w:val="center"/>
          </w:tcPr>
          <w:p w14:paraId="46EB6EDB">
            <w:pPr>
              <w:keepNext w:val="0"/>
              <w:keepLines w:val="0"/>
              <w:pageBreakBefore w:val="0"/>
              <w:kinsoku/>
              <w:wordWrap/>
              <w:overflowPunct/>
              <w:topLinePunct w:val="0"/>
              <w:autoSpaceDE w:val="0"/>
              <w:autoSpaceDN w:val="0"/>
              <w:bidi w:val="0"/>
              <w:adjustRightInd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10E14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37" w:type="dxa"/>
            <w:vAlign w:val="center"/>
          </w:tcPr>
          <w:p w14:paraId="37671D7B">
            <w:pPr>
              <w:keepNext w:val="0"/>
              <w:keepLines w:val="0"/>
              <w:pageBreakBefore w:val="0"/>
              <w:kinsoku/>
              <w:wordWrap/>
              <w:overflowPunct/>
              <w:topLinePunct w:val="0"/>
              <w:autoSpaceDE w:val="0"/>
              <w:autoSpaceDN w:val="0"/>
              <w:bidi w:val="0"/>
              <w:adjustRightInd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p>
        </w:tc>
        <w:tc>
          <w:tcPr>
            <w:tcW w:w="2520" w:type="dxa"/>
            <w:shd w:val="clear" w:color="auto" w:fill="auto"/>
            <w:vAlign w:val="center"/>
          </w:tcPr>
          <w:p w14:paraId="7A49895A">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散发有害物质的工业企业厂址，应位于城镇、相邻工业企业和居住区全年最小频率风向的上风侧，不应位于窝风地段，并应满足有关防护距离的要求。</w:t>
            </w:r>
          </w:p>
        </w:tc>
        <w:tc>
          <w:tcPr>
            <w:tcW w:w="2400" w:type="dxa"/>
            <w:shd w:val="clear" w:color="auto" w:fill="auto"/>
            <w:vAlign w:val="center"/>
          </w:tcPr>
          <w:p w14:paraId="3D01A80B">
            <w:pPr>
              <w:widowControl/>
              <w:rPr>
                <w:rFonts w:hint="eastAsia" w:ascii="宋体" w:hAnsi="Times New Roman" w:eastAsia="宋体" w:cs="Times New Roman"/>
                <w:sz w:val="21"/>
                <w:szCs w:val="21"/>
                <w:lang w:val="en-US" w:eastAsia="zh-CN" w:bidi="ar-SA"/>
              </w:rPr>
            </w:pPr>
            <w:r>
              <w:rPr>
                <w:sz w:val="21"/>
                <w:szCs w:val="21"/>
              </w:rPr>
              <w:t>《工业企业</w:t>
            </w:r>
            <w:r>
              <w:rPr>
                <w:rFonts w:hint="eastAsia"/>
                <w:sz w:val="21"/>
                <w:szCs w:val="21"/>
              </w:rPr>
              <w:t>总</w:t>
            </w:r>
            <w:r>
              <w:rPr>
                <w:sz w:val="21"/>
                <w:szCs w:val="21"/>
              </w:rPr>
              <w:t>平面设计规范》GB50187-20</w:t>
            </w:r>
            <w:r>
              <w:rPr>
                <w:rFonts w:hint="eastAsia"/>
                <w:sz w:val="21"/>
                <w:szCs w:val="21"/>
              </w:rPr>
              <w:t>12</w:t>
            </w:r>
            <w:r>
              <w:rPr>
                <w:sz w:val="21"/>
                <w:szCs w:val="21"/>
              </w:rPr>
              <w:t>第3.0.</w:t>
            </w:r>
            <w:r>
              <w:rPr>
                <w:rFonts w:hint="eastAsia"/>
                <w:sz w:val="21"/>
                <w:szCs w:val="21"/>
              </w:rPr>
              <w:t>7</w:t>
            </w:r>
            <w:r>
              <w:rPr>
                <w:sz w:val="21"/>
                <w:szCs w:val="21"/>
              </w:rPr>
              <w:t>条</w:t>
            </w:r>
          </w:p>
        </w:tc>
        <w:tc>
          <w:tcPr>
            <w:tcW w:w="2145" w:type="dxa"/>
            <w:shd w:val="clear" w:color="auto" w:fill="auto"/>
            <w:vAlign w:val="center"/>
          </w:tcPr>
          <w:p w14:paraId="6D4205D9">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本项目无有害物散发，不在窝风地段。</w:t>
            </w:r>
          </w:p>
        </w:tc>
        <w:tc>
          <w:tcPr>
            <w:tcW w:w="720" w:type="dxa"/>
            <w:shd w:val="clear" w:color="auto" w:fill="auto"/>
            <w:vAlign w:val="center"/>
          </w:tcPr>
          <w:p w14:paraId="50706CFE">
            <w:pPr>
              <w:widowControl/>
              <w:spacing w:line="600" w:lineRule="exact"/>
              <w:jc w:val="center"/>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符合</w:t>
            </w:r>
          </w:p>
        </w:tc>
      </w:tr>
      <w:tr w14:paraId="441E7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37" w:type="dxa"/>
            <w:vAlign w:val="center"/>
          </w:tcPr>
          <w:p w14:paraId="5BF90C57">
            <w:pPr>
              <w:keepNext w:val="0"/>
              <w:keepLines w:val="0"/>
              <w:pageBreakBefore w:val="0"/>
              <w:kinsoku/>
              <w:wordWrap/>
              <w:overflowPunct/>
              <w:topLinePunct w:val="0"/>
              <w:autoSpaceDE w:val="0"/>
              <w:autoSpaceDN w:val="0"/>
              <w:bidi w:val="0"/>
              <w:adjustRightInd w:val="0"/>
              <w:snapToGrid w:val="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7</w:t>
            </w:r>
          </w:p>
        </w:tc>
        <w:tc>
          <w:tcPr>
            <w:tcW w:w="2520" w:type="dxa"/>
            <w:vAlign w:val="center"/>
          </w:tcPr>
          <w:p w14:paraId="5681E66D">
            <w:pPr>
              <w:adjustRightInd w:val="0"/>
              <w:snapToGrid w:val="0"/>
              <w:spacing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厂址应具有满足建设工程需要的工程地质条件和水文地质条件。</w:t>
            </w:r>
          </w:p>
        </w:tc>
        <w:tc>
          <w:tcPr>
            <w:tcW w:w="2400" w:type="dxa"/>
            <w:vAlign w:val="center"/>
          </w:tcPr>
          <w:p w14:paraId="53335A87">
            <w:pPr>
              <w:adjustRightInd w:val="0"/>
              <w:snapToGrid w:val="0"/>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《工业企业总平面设计规范》（GB50187-2012）</w:t>
            </w:r>
          </w:p>
          <w:p w14:paraId="36E634DA">
            <w:pPr>
              <w:adjustRightInd w:val="0"/>
              <w:snapToGrid w:val="0"/>
              <w:spacing w:line="240" w:lineRule="auto"/>
              <w:ind w:firstLine="0" w:firstLineChars="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第</w:t>
            </w:r>
            <w:r>
              <w:rPr>
                <w:rFonts w:hint="eastAsia" w:ascii="宋体" w:hAnsi="宋体" w:eastAsia="宋体" w:cs="宋体"/>
                <w:color w:val="000000" w:themeColor="text1"/>
                <w:sz w:val="21"/>
                <w:szCs w:val="21"/>
                <w14:textFill>
                  <w14:solidFill>
                    <w14:schemeClr w14:val="tx1"/>
                  </w14:solidFill>
                </w14:textFill>
              </w:rPr>
              <w:t>3.0.8</w:t>
            </w:r>
            <w:r>
              <w:rPr>
                <w:rFonts w:hint="eastAsia" w:hAnsi="宋体" w:cs="宋体"/>
                <w:color w:val="000000" w:themeColor="text1"/>
                <w:sz w:val="21"/>
                <w:szCs w:val="21"/>
                <w:lang w:val="en-US" w:eastAsia="zh-CN"/>
                <w14:textFill>
                  <w14:solidFill>
                    <w14:schemeClr w14:val="tx1"/>
                  </w14:solidFill>
                </w14:textFill>
              </w:rPr>
              <w:t>条</w:t>
            </w:r>
          </w:p>
        </w:tc>
        <w:tc>
          <w:tcPr>
            <w:tcW w:w="2145" w:type="dxa"/>
            <w:vAlign w:val="center"/>
          </w:tcPr>
          <w:p w14:paraId="35E99A23">
            <w:pPr>
              <w:spacing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据项目组现场勘查，场地满足建设工程需要的工程地质条件。</w:t>
            </w:r>
          </w:p>
        </w:tc>
        <w:tc>
          <w:tcPr>
            <w:tcW w:w="720" w:type="dxa"/>
            <w:vAlign w:val="center"/>
          </w:tcPr>
          <w:p w14:paraId="41AC9F19">
            <w:pPr>
              <w:keepNext w:val="0"/>
              <w:keepLines w:val="0"/>
              <w:pageBreakBefore w:val="0"/>
              <w:kinsoku/>
              <w:wordWrap/>
              <w:overflowPunct/>
              <w:topLinePunct w:val="0"/>
              <w:autoSpaceDE w:val="0"/>
              <w:autoSpaceDN w:val="0"/>
              <w:bidi w:val="0"/>
              <w:adjustRightInd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09F74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2652B55D">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w:t>
            </w:r>
          </w:p>
        </w:tc>
        <w:tc>
          <w:tcPr>
            <w:tcW w:w="2520" w:type="dxa"/>
            <w:vAlign w:val="center"/>
          </w:tcPr>
          <w:p w14:paraId="19905204">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厂址应满足近期建设所必需的场地面积和适宜的建厂地形，并应根据工业企业远期发展规划的需要，留有适当的发展余地。</w:t>
            </w:r>
          </w:p>
        </w:tc>
        <w:tc>
          <w:tcPr>
            <w:tcW w:w="2400" w:type="dxa"/>
            <w:vAlign w:val="center"/>
          </w:tcPr>
          <w:p w14:paraId="450F04D0">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《工业企业总平面设计规范》（GB50187-2012）</w:t>
            </w:r>
          </w:p>
          <w:p w14:paraId="0F5B1A6A">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第3.0.9条</w:t>
            </w:r>
          </w:p>
        </w:tc>
        <w:tc>
          <w:tcPr>
            <w:tcW w:w="2145" w:type="dxa"/>
            <w:vAlign w:val="center"/>
          </w:tcPr>
          <w:p w14:paraId="685AD193">
            <w:pPr>
              <w:keepNext w:val="0"/>
              <w:keepLines w:val="0"/>
              <w:pageBreakBefore w:val="0"/>
              <w:widowControl/>
              <w:kinsoku/>
              <w:wordWrap/>
              <w:overflowPunct/>
              <w:topLinePunct w:val="0"/>
              <w:bidi w:val="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厂址满足近期建设所 </w:t>
            </w:r>
          </w:p>
          <w:p w14:paraId="0A8D7C65">
            <w:pPr>
              <w:keepNext w:val="0"/>
              <w:keepLines w:val="0"/>
              <w:pageBreakBefore w:val="0"/>
              <w:widowControl/>
              <w:kinsoku/>
              <w:wordWrap/>
              <w:overflowPunct/>
              <w:topLinePunct w:val="0"/>
              <w:bidi w:val="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必需的场地面积和适 </w:t>
            </w:r>
          </w:p>
          <w:p w14:paraId="7FFC36D3">
            <w:pPr>
              <w:keepNext w:val="0"/>
              <w:keepLines w:val="0"/>
              <w:pageBreakBefore w:val="0"/>
              <w:widowControl/>
              <w:kinsoku/>
              <w:wordWrap/>
              <w:overflowPunct/>
              <w:topLinePunct w:val="0"/>
              <w:bidi w:val="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宜的建厂地形，并预 </w:t>
            </w:r>
          </w:p>
          <w:p w14:paraId="77B0B9A8">
            <w:pPr>
              <w:keepNext w:val="0"/>
              <w:keepLines w:val="0"/>
              <w:pageBreakBefore w:val="0"/>
              <w:widowControl/>
              <w:kinsoku/>
              <w:wordWrap/>
              <w:overflowPunct/>
              <w:topLinePunct w:val="0"/>
              <w:bidi w:val="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留有空地。</w:t>
            </w:r>
          </w:p>
        </w:tc>
        <w:tc>
          <w:tcPr>
            <w:tcW w:w="720" w:type="dxa"/>
            <w:vAlign w:val="center"/>
          </w:tcPr>
          <w:p w14:paraId="3C21F242">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符合要求</w:t>
            </w:r>
          </w:p>
        </w:tc>
      </w:tr>
      <w:tr w14:paraId="69FBA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585B9957">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9</w:t>
            </w:r>
          </w:p>
        </w:tc>
        <w:tc>
          <w:tcPr>
            <w:tcW w:w="2520" w:type="dxa"/>
            <w:vAlign w:val="center"/>
          </w:tcPr>
          <w:p w14:paraId="7A32B158">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厂址应满足适宜的地形坡度，尽量避开自然地形复杂、自然坡度大的地段，应避免将盆地、积水洼地作为厂址。</w:t>
            </w:r>
          </w:p>
        </w:tc>
        <w:tc>
          <w:tcPr>
            <w:tcW w:w="2400" w:type="dxa"/>
            <w:vAlign w:val="center"/>
          </w:tcPr>
          <w:p w14:paraId="49937A25">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《工业企业总平面设计规范》（GB50187-2012）</w:t>
            </w:r>
          </w:p>
          <w:p w14:paraId="37E73405">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第3.0.10条</w:t>
            </w:r>
          </w:p>
        </w:tc>
        <w:tc>
          <w:tcPr>
            <w:tcW w:w="2145" w:type="dxa"/>
            <w:vAlign w:val="center"/>
          </w:tcPr>
          <w:p w14:paraId="791AC057">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厂址具有适宜的地形坡度，不属于自然地形复杂、自然坡度大的地段。</w:t>
            </w:r>
          </w:p>
        </w:tc>
        <w:tc>
          <w:tcPr>
            <w:tcW w:w="720" w:type="dxa"/>
            <w:vAlign w:val="center"/>
          </w:tcPr>
          <w:p w14:paraId="449FE9F6">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符合要求</w:t>
            </w:r>
          </w:p>
        </w:tc>
      </w:tr>
      <w:tr w14:paraId="619D7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47CF57BE">
            <w:pPr>
              <w:keepNext w:val="0"/>
              <w:keepLines w:val="0"/>
              <w:pageBreakBefore w:val="0"/>
              <w:kinsoku/>
              <w:wordWrap/>
              <w:overflowPunct/>
              <w:topLinePunct w:val="0"/>
              <w:bidi w:val="0"/>
              <w:snapToGrid w:val="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10</w:t>
            </w:r>
          </w:p>
        </w:tc>
        <w:tc>
          <w:tcPr>
            <w:tcW w:w="2520" w:type="dxa"/>
            <w:vAlign w:val="center"/>
          </w:tcPr>
          <w:p w14:paraId="45B798BA">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厂址应有利于同邻近工业企业和依托城镇在生产、交通运输、动力公用、机修和器材供应、综合利用、发展循环经济和生活设施等方面的协作等方面的协作。</w:t>
            </w:r>
          </w:p>
        </w:tc>
        <w:tc>
          <w:tcPr>
            <w:tcW w:w="2400" w:type="dxa"/>
            <w:vAlign w:val="center"/>
          </w:tcPr>
          <w:p w14:paraId="3FB5A973">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《工业企业总平面设计规范》（GB50187-2012）</w:t>
            </w:r>
          </w:p>
          <w:p w14:paraId="1A9A85F5">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第3.0.11条</w:t>
            </w:r>
          </w:p>
        </w:tc>
        <w:tc>
          <w:tcPr>
            <w:tcW w:w="2145" w:type="dxa"/>
            <w:vAlign w:val="center"/>
          </w:tcPr>
          <w:p w14:paraId="3D66C3F0">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项目厂址有利于依托城镇在生产、交通运输、动力公用、修理、综合利用和生活设施等方面的协作。</w:t>
            </w:r>
          </w:p>
        </w:tc>
        <w:tc>
          <w:tcPr>
            <w:tcW w:w="720" w:type="dxa"/>
            <w:vAlign w:val="center"/>
          </w:tcPr>
          <w:p w14:paraId="6E764F3A">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符合要求</w:t>
            </w:r>
          </w:p>
        </w:tc>
      </w:tr>
      <w:tr w14:paraId="06227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3091D156">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2520" w:type="dxa"/>
            <w:vAlign w:val="center"/>
          </w:tcPr>
          <w:p w14:paraId="7F02C475">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厂址应位于不受洪水、潮水或内涝威胁的地带，并应符合下列规定： </w:t>
            </w:r>
          </w:p>
          <w:p w14:paraId="055151E9">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 xml:space="preserve">当厂址不可避免不受洪水、潮水、或内涝威胁的地带时，必须采取防洪、排涝措施； </w:t>
            </w:r>
          </w:p>
          <w:p w14:paraId="01385535">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凡受江、河、潮、海洪水、潮水或山洪威胁的工业企业，防洪标准应符合现行国家标准 《防洪标准 》GB 50201的有关规定。</w:t>
            </w:r>
          </w:p>
        </w:tc>
        <w:tc>
          <w:tcPr>
            <w:tcW w:w="2400" w:type="dxa"/>
            <w:vAlign w:val="center"/>
          </w:tcPr>
          <w:p w14:paraId="7CDEDA50">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《工业企业总平面设计规范》（GB50187-2012）</w:t>
            </w:r>
          </w:p>
          <w:p w14:paraId="60BD10A2">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第3.0.12条</w:t>
            </w:r>
          </w:p>
        </w:tc>
        <w:tc>
          <w:tcPr>
            <w:tcW w:w="2145" w:type="dxa"/>
            <w:vAlign w:val="center"/>
          </w:tcPr>
          <w:p w14:paraId="7E3F7467">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该项目厂址不受洪水、潮水和内涝的威胁。</w:t>
            </w:r>
          </w:p>
        </w:tc>
        <w:tc>
          <w:tcPr>
            <w:tcW w:w="720" w:type="dxa"/>
            <w:vAlign w:val="center"/>
          </w:tcPr>
          <w:p w14:paraId="79FB8949">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符合要求</w:t>
            </w:r>
          </w:p>
        </w:tc>
      </w:tr>
      <w:tr w14:paraId="29087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19BC2DD3">
            <w:pPr>
              <w:keepNext w:val="0"/>
              <w:keepLines w:val="0"/>
              <w:pageBreakBefore w:val="0"/>
              <w:kinsoku/>
              <w:wordWrap/>
              <w:overflowPunct/>
              <w:topLinePunct w:val="0"/>
              <w:bidi w:val="0"/>
              <w:snapToGrid w:val="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12</w:t>
            </w:r>
          </w:p>
        </w:tc>
        <w:tc>
          <w:tcPr>
            <w:tcW w:w="2520" w:type="dxa"/>
            <w:shd w:val="clear" w:color="auto" w:fill="auto"/>
            <w:vAlign w:val="center"/>
          </w:tcPr>
          <w:p w14:paraId="58B5E642">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山区建厂，当厂址位于山坡或山脚处时，应采取防止山洪、泥石流等自然灾害的危害的加固措施，应对山坡的稳定性等作出地质灾害的危险性评估报告。</w:t>
            </w:r>
          </w:p>
        </w:tc>
        <w:tc>
          <w:tcPr>
            <w:tcW w:w="2400" w:type="dxa"/>
            <w:shd w:val="clear" w:color="auto" w:fill="auto"/>
            <w:vAlign w:val="center"/>
          </w:tcPr>
          <w:p w14:paraId="02855279">
            <w:pPr>
              <w:widowControl/>
              <w:rPr>
                <w:rFonts w:hint="eastAsia" w:ascii="宋体" w:hAnsi="Times New Roman" w:eastAsia="宋体" w:cs="Times New Roman"/>
                <w:sz w:val="21"/>
                <w:szCs w:val="21"/>
                <w:lang w:val="en-US" w:eastAsia="zh-CN" w:bidi="ar-SA"/>
              </w:rPr>
            </w:pPr>
            <w:r>
              <w:rPr>
                <w:sz w:val="21"/>
                <w:szCs w:val="21"/>
              </w:rPr>
              <w:t>《工业企业</w:t>
            </w:r>
            <w:r>
              <w:rPr>
                <w:rFonts w:hint="eastAsia"/>
                <w:sz w:val="21"/>
                <w:szCs w:val="21"/>
              </w:rPr>
              <w:t>总</w:t>
            </w:r>
            <w:r>
              <w:rPr>
                <w:sz w:val="21"/>
                <w:szCs w:val="21"/>
              </w:rPr>
              <w:t>平面设计规范》GB50187-20</w:t>
            </w:r>
            <w:r>
              <w:rPr>
                <w:rFonts w:hint="eastAsia"/>
                <w:sz w:val="21"/>
                <w:szCs w:val="21"/>
              </w:rPr>
              <w:t>12</w:t>
            </w:r>
            <w:r>
              <w:rPr>
                <w:sz w:val="21"/>
                <w:szCs w:val="21"/>
              </w:rPr>
              <w:t>第3.0.</w:t>
            </w:r>
            <w:r>
              <w:rPr>
                <w:rFonts w:hint="eastAsia"/>
                <w:sz w:val="21"/>
                <w:szCs w:val="21"/>
              </w:rPr>
              <w:t>13</w:t>
            </w:r>
            <w:r>
              <w:rPr>
                <w:sz w:val="21"/>
                <w:szCs w:val="21"/>
              </w:rPr>
              <w:t>条</w:t>
            </w:r>
          </w:p>
        </w:tc>
        <w:tc>
          <w:tcPr>
            <w:tcW w:w="2145" w:type="dxa"/>
            <w:shd w:val="clear" w:color="auto" w:fill="auto"/>
            <w:vAlign w:val="center"/>
          </w:tcPr>
          <w:p w14:paraId="5D90EE79">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厂址不在山坡或山脚</w:t>
            </w:r>
          </w:p>
        </w:tc>
        <w:tc>
          <w:tcPr>
            <w:tcW w:w="720" w:type="dxa"/>
            <w:shd w:val="clear" w:color="auto" w:fill="auto"/>
            <w:vAlign w:val="center"/>
          </w:tcPr>
          <w:p w14:paraId="2494F40A">
            <w:pPr>
              <w:widowControl/>
              <w:spacing w:line="600" w:lineRule="exact"/>
              <w:jc w:val="center"/>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符合</w:t>
            </w:r>
          </w:p>
        </w:tc>
      </w:tr>
      <w:tr w14:paraId="48F03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6B98AE1E">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3</w:t>
            </w:r>
          </w:p>
        </w:tc>
        <w:tc>
          <w:tcPr>
            <w:tcW w:w="2520" w:type="dxa"/>
            <w:vAlign w:val="center"/>
          </w:tcPr>
          <w:p w14:paraId="67E20D87">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下列地段和地区不应选为厂址： </w:t>
            </w:r>
          </w:p>
          <w:p w14:paraId="4805F6E6">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1）发震断层和抗震设防烈度为9 度及高于9度的地震区；</w:t>
            </w:r>
          </w:p>
          <w:p w14:paraId="7E686B1B">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2）有泥石流、滑坡、流沙、溶洞等直接危害的地段；</w:t>
            </w:r>
          </w:p>
          <w:p w14:paraId="63E49869">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3）采矿陷落（错动）区地表界限内；</w:t>
            </w:r>
          </w:p>
          <w:p w14:paraId="0DE71AC7">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4）爆破危险界限内；</w:t>
            </w:r>
          </w:p>
          <w:p w14:paraId="17526CE0">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5）坝或堤决溃后可能淹没的地区； </w:t>
            </w:r>
          </w:p>
          <w:p w14:paraId="29E22164">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6）有严重放射性物质污染影响区；</w:t>
            </w:r>
          </w:p>
          <w:p w14:paraId="0BC15544">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7）生活居住区、文教区、水源保护区、名胜古迹、风景游览区、温泉、疗 养区、自然保护区和其它需要特别保护的区域；</w:t>
            </w:r>
          </w:p>
          <w:p w14:paraId="5911D61F">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8）对飞机起落、电台通讯、电视转播、雷达导航和重要的天文、气象、地震观察以及军事设施等规定有影响的范围内；</w:t>
            </w:r>
          </w:p>
          <w:p w14:paraId="6F380B1B">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9）很严重的自重湿陷性黄土地段，厚度大的新近堆积黄土地段和高压缩性的 饱和黄土地段等地质条件恶劣地段；</w:t>
            </w:r>
          </w:p>
          <w:p w14:paraId="270B4CC0">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10）具有开采价值的矿藏区； 11）受海啸或湖涌危害的地区。</w:t>
            </w:r>
          </w:p>
        </w:tc>
        <w:tc>
          <w:tcPr>
            <w:tcW w:w="2400" w:type="dxa"/>
            <w:vAlign w:val="center"/>
          </w:tcPr>
          <w:p w14:paraId="4BF21F37">
            <w:pPr>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《工业企业总平面设计规范》（GB50187-2012）</w:t>
            </w:r>
          </w:p>
          <w:p w14:paraId="36E9A89B">
            <w:pPr>
              <w:pStyle w:val="44"/>
              <w:keepNext w:val="0"/>
              <w:keepLines w:val="0"/>
              <w:pageBreakBefore w:val="0"/>
              <w:widowControl w:val="0"/>
              <w:kinsoku/>
              <w:wordWrap/>
              <w:overflowPunct/>
              <w:topLinePunct w:val="0"/>
              <w:bidi w:val="0"/>
              <w:adjustRightInd/>
              <w:snapToGrid w:val="0"/>
              <w:spacing w:line="240" w:lineRule="auto"/>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第3.0.14条</w:t>
            </w:r>
          </w:p>
        </w:tc>
        <w:tc>
          <w:tcPr>
            <w:tcW w:w="2145" w:type="dxa"/>
            <w:vAlign w:val="center"/>
          </w:tcPr>
          <w:p w14:paraId="7B12FECC">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厂址选择满足要求。</w:t>
            </w:r>
          </w:p>
        </w:tc>
        <w:tc>
          <w:tcPr>
            <w:tcW w:w="720" w:type="dxa"/>
            <w:vAlign w:val="center"/>
          </w:tcPr>
          <w:p w14:paraId="0D1C1656">
            <w:pPr>
              <w:pStyle w:val="44"/>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07ED7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25794F9B">
            <w:pPr>
              <w:keepNext w:val="0"/>
              <w:keepLines w:val="0"/>
              <w:pageBreakBefore w:val="0"/>
              <w:kinsoku/>
              <w:wordWrap/>
              <w:overflowPunct/>
              <w:topLinePunct w:val="0"/>
              <w:bidi w:val="0"/>
              <w:snapToGrid w:val="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14</w:t>
            </w:r>
          </w:p>
        </w:tc>
        <w:tc>
          <w:tcPr>
            <w:tcW w:w="2520" w:type="dxa"/>
            <w:shd w:val="clear" w:color="auto" w:fill="auto"/>
            <w:vAlign w:val="center"/>
          </w:tcPr>
          <w:p w14:paraId="272BB1F9">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工业企业选址宜避开自然疫源地；对于因建设工程需要等原因不能避开的，应设计具体的疫情综合预防控制措施。</w:t>
            </w:r>
          </w:p>
        </w:tc>
        <w:tc>
          <w:tcPr>
            <w:tcW w:w="2400" w:type="dxa"/>
            <w:shd w:val="clear" w:color="auto" w:fill="auto"/>
            <w:vAlign w:val="center"/>
          </w:tcPr>
          <w:p w14:paraId="77B27DF4">
            <w:pPr>
              <w:widowControl/>
              <w:rPr>
                <w:rFonts w:hint="eastAsia" w:ascii="宋体" w:hAnsi="Times New Roman" w:eastAsia="宋体" w:cs="Times New Roman"/>
                <w:sz w:val="21"/>
                <w:szCs w:val="21"/>
                <w:lang w:val="en-US" w:eastAsia="zh-CN" w:bidi="ar-SA"/>
              </w:rPr>
            </w:pPr>
            <w:r>
              <w:rPr>
                <w:rFonts w:hint="eastAsia" w:hAnsi="宋体" w:cs="宋体"/>
                <w:color w:val="000000"/>
                <w:sz w:val="21"/>
                <w:szCs w:val="21"/>
                <w:lang w:bidi="ar"/>
              </w:rPr>
              <w:t>《工业企业设计卫生标准》（GBZ1-2010）第5.1.2条</w:t>
            </w:r>
          </w:p>
        </w:tc>
        <w:tc>
          <w:tcPr>
            <w:tcW w:w="2145" w:type="dxa"/>
            <w:shd w:val="clear" w:color="auto" w:fill="auto"/>
            <w:vAlign w:val="center"/>
          </w:tcPr>
          <w:p w14:paraId="07A334C1">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厂址所在地不属于自然疫源地。</w:t>
            </w:r>
          </w:p>
        </w:tc>
        <w:tc>
          <w:tcPr>
            <w:tcW w:w="720" w:type="dxa"/>
            <w:shd w:val="clear" w:color="auto" w:fill="auto"/>
            <w:vAlign w:val="center"/>
          </w:tcPr>
          <w:p w14:paraId="3EC92F3A">
            <w:pPr>
              <w:widowControl/>
              <w:spacing w:line="600" w:lineRule="exact"/>
              <w:jc w:val="center"/>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符合</w:t>
            </w:r>
          </w:p>
        </w:tc>
      </w:tr>
      <w:tr w14:paraId="3C46C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3D7B6680">
            <w:pPr>
              <w:keepNext w:val="0"/>
              <w:keepLines w:val="0"/>
              <w:pageBreakBefore w:val="0"/>
              <w:kinsoku/>
              <w:wordWrap/>
              <w:overflowPunct/>
              <w:topLinePunct w:val="0"/>
              <w:bidi w:val="0"/>
              <w:snapToGrid w:val="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hAnsi="宋体" w:cs="宋体"/>
                <w:color w:val="000000" w:themeColor="text1"/>
                <w:sz w:val="21"/>
                <w:szCs w:val="21"/>
                <w:lang w:val="en-US" w:eastAsia="zh-CN"/>
                <w14:textFill>
                  <w14:solidFill>
                    <w14:schemeClr w14:val="tx1"/>
                  </w14:solidFill>
                </w14:textFill>
              </w:rPr>
              <w:t>5</w:t>
            </w:r>
          </w:p>
        </w:tc>
        <w:tc>
          <w:tcPr>
            <w:tcW w:w="2520" w:type="dxa"/>
            <w:vAlign w:val="center"/>
          </w:tcPr>
          <w:p w14:paraId="66F70C54">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选址宜避开可能产生或存在危害健康的场所和设施，如垃圾填埋场、污水处理厂、气体输送管道，以及水、土壤可能已被原工业企业污染的地区；建设工程需要难以避开的，应首先进行卫生学评估，并根据评估结果采取必要的控制措施。设计单位应明确要求施工单位和建设单位制定施工期间和投产运行后突发公共卫生事件应急救援预案。</w:t>
            </w:r>
          </w:p>
        </w:tc>
        <w:tc>
          <w:tcPr>
            <w:tcW w:w="2400" w:type="dxa"/>
            <w:vAlign w:val="center"/>
          </w:tcPr>
          <w:p w14:paraId="07163FFC">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《工业企业设计卫生标准》（GBZ1-2010）</w:t>
            </w:r>
            <w:r>
              <w:rPr>
                <w:rFonts w:hint="eastAsia" w:ascii="宋体" w:hAnsi="宋体" w:eastAsia="宋体" w:cs="宋体"/>
                <w:color w:val="000000" w:themeColor="text1"/>
                <w:sz w:val="21"/>
                <w:szCs w:val="21"/>
                <w:lang w:eastAsia="zh-CN"/>
                <w14:textFill>
                  <w14:solidFill>
                    <w14:schemeClr w14:val="tx1"/>
                  </w14:solidFill>
                </w14:textFill>
              </w:rPr>
              <w:t>第</w:t>
            </w:r>
            <w:r>
              <w:rPr>
                <w:rFonts w:hint="eastAsia" w:ascii="宋体" w:hAnsi="宋体" w:eastAsia="宋体" w:cs="宋体"/>
                <w:color w:val="000000" w:themeColor="text1"/>
                <w:sz w:val="21"/>
                <w:szCs w:val="21"/>
                <w14:textFill>
                  <w14:solidFill>
                    <w14:schemeClr w14:val="tx1"/>
                  </w14:solidFill>
                </w14:textFill>
              </w:rPr>
              <w:t>5.1.3</w:t>
            </w:r>
            <w:r>
              <w:rPr>
                <w:rFonts w:hint="eastAsia" w:ascii="宋体" w:hAnsi="宋体" w:eastAsia="宋体" w:cs="宋体"/>
                <w:color w:val="000000" w:themeColor="text1"/>
                <w:sz w:val="21"/>
                <w:szCs w:val="21"/>
                <w:lang w:eastAsia="zh-CN"/>
                <w14:textFill>
                  <w14:solidFill>
                    <w14:schemeClr w14:val="tx1"/>
                  </w14:solidFill>
                </w14:textFill>
              </w:rPr>
              <w:t>条</w:t>
            </w:r>
          </w:p>
        </w:tc>
        <w:tc>
          <w:tcPr>
            <w:tcW w:w="2145" w:type="dxa"/>
            <w:vAlign w:val="center"/>
          </w:tcPr>
          <w:p w14:paraId="229AE7E6">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该项目厂址避开了可能产生或存在危害健康的场所和设施。</w:t>
            </w:r>
          </w:p>
        </w:tc>
        <w:tc>
          <w:tcPr>
            <w:tcW w:w="720" w:type="dxa"/>
            <w:vAlign w:val="center"/>
          </w:tcPr>
          <w:p w14:paraId="0A8E2A2F">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符合要求</w:t>
            </w:r>
          </w:p>
        </w:tc>
      </w:tr>
      <w:tr w14:paraId="09294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687DE6B3">
            <w:pPr>
              <w:keepNext w:val="0"/>
              <w:keepLines w:val="0"/>
              <w:pageBreakBefore w:val="0"/>
              <w:kinsoku/>
              <w:wordWrap/>
              <w:overflowPunct/>
              <w:topLinePunct w:val="0"/>
              <w:bidi w:val="0"/>
              <w:snapToGrid w:val="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hAnsi="宋体" w:cs="宋体"/>
                <w:color w:val="000000" w:themeColor="text1"/>
                <w:sz w:val="21"/>
                <w:szCs w:val="21"/>
                <w:lang w:val="en-US" w:eastAsia="zh-CN"/>
                <w14:textFill>
                  <w14:solidFill>
                    <w14:schemeClr w14:val="tx1"/>
                  </w14:solidFill>
                </w14:textFill>
              </w:rPr>
              <w:t>6</w:t>
            </w:r>
          </w:p>
        </w:tc>
        <w:tc>
          <w:tcPr>
            <w:tcW w:w="2520" w:type="dxa"/>
            <w:vAlign w:val="center"/>
          </w:tcPr>
          <w:p w14:paraId="206E5940">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在同一工业区内布置不同卫生特征的工业企业时，宜避免不同有害因素产生交叉污染和联合作用。</w:t>
            </w:r>
          </w:p>
        </w:tc>
        <w:tc>
          <w:tcPr>
            <w:tcW w:w="2400" w:type="dxa"/>
            <w:vAlign w:val="center"/>
          </w:tcPr>
          <w:p w14:paraId="23FC5382">
            <w:pPr>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《工业企业设计卫生标准》（GBZ1-2010）</w:t>
            </w:r>
            <w:r>
              <w:rPr>
                <w:rFonts w:hint="eastAsia" w:ascii="宋体" w:hAnsi="宋体" w:eastAsia="宋体" w:cs="宋体"/>
                <w:color w:val="000000" w:themeColor="text1"/>
                <w:sz w:val="21"/>
                <w:szCs w:val="21"/>
                <w:lang w:eastAsia="zh-CN"/>
                <w14:textFill>
                  <w14:solidFill>
                    <w14:schemeClr w14:val="tx1"/>
                  </w14:solidFill>
                </w14:textFill>
              </w:rPr>
              <w:t>第</w:t>
            </w:r>
            <w:r>
              <w:rPr>
                <w:rFonts w:hint="eastAsia" w:ascii="宋体" w:hAnsi="宋体" w:eastAsia="宋体" w:cs="宋体"/>
                <w:color w:val="000000" w:themeColor="text1"/>
                <w:sz w:val="21"/>
                <w:szCs w:val="21"/>
                <w14:textFill>
                  <w14:solidFill>
                    <w14:schemeClr w14:val="tx1"/>
                  </w14:solidFill>
                </w14:textFill>
              </w:rPr>
              <w:t>5.1.5</w:t>
            </w:r>
            <w:r>
              <w:rPr>
                <w:rFonts w:hint="eastAsia" w:ascii="宋体" w:hAnsi="宋体" w:eastAsia="宋体" w:cs="宋体"/>
                <w:color w:val="000000" w:themeColor="text1"/>
                <w:sz w:val="21"/>
                <w:szCs w:val="21"/>
                <w:lang w:eastAsia="zh-CN"/>
                <w14:textFill>
                  <w14:solidFill>
                    <w14:schemeClr w14:val="tx1"/>
                  </w14:solidFill>
                </w14:textFill>
              </w:rPr>
              <w:t>条</w:t>
            </w:r>
          </w:p>
        </w:tc>
        <w:tc>
          <w:tcPr>
            <w:tcW w:w="2145" w:type="dxa"/>
            <w:vAlign w:val="center"/>
          </w:tcPr>
          <w:p w14:paraId="60B77D79">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厂址与周边工业企业基本不会产生交叉污染和联合作用。</w:t>
            </w:r>
          </w:p>
        </w:tc>
        <w:tc>
          <w:tcPr>
            <w:tcW w:w="720" w:type="dxa"/>
            <w:vAlign w:val="center"/>
          </w:tcPr>
          <w:p w14:paraId="0068A2A4">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符合要求</w:t>
            </w:r>
          </w:p>
        </w:tc>
      </w:tr>
      <w:tr w14:paraId="45BE5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24DBF642">
            <w:pPr>
              <w:keepNext w:val="0"/>
              <w:keepLines w:val="0"/>
              <w:pageBreakBefore w:val="0"/>
              <w:kinsoku/>
              <w:wordWrap/>
              <w:overflowPunct/>
              <w:topLinePunct w:val="0"/>
              <w:bidi w:val="0"/>
              <w:snapToGrid w:val="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hAnsi="宋体" w:cs="宋体"/>
                <w:color w:val="000000" w:themeColor="text1"/>
                <w:sz w:val="21"/>
                <w:szCs w:val="21"/>
                <w:lang w:val="en-US" w:eastAsia="zh-CN"/>
                <w14:textFill>
                  <w14:solidFill>
                    <w14:schemeClr w14:val="tx1"/>
                  </w14:solidFill>
                </w14:textFill>
              </w:rPr>
              <w:t>7</w:t>
            </w:r>
          </w:p>
        </w:tc>
        <w:tc>
          <w:tcPr>
            <w:tcW w:w="2520" w:type="dxa"/>
            <w:shd w:val="clear" w:color="auto" w:fill="auto"/>
            <w:vAlign w:val="center"/>
          </w:tcPr>
          <w:p w14:paraId="3D63D94D">
            <w:pPr>
              <w:keepNext w:val="0"/>
              <w:keepLines w:val="0"/>
              <w:pageBreakBefore w:val="0"/>
              <w:kinsoku/>
              <w:wordWrap/>
              <w:overflowPunct/>
              <w:topLinePunct w:val="0"/>
              <w:bidi w:val="0"/>
              <w:snapToGrid w:val="0"/>
              <w:textAlignment w:val="auto"/>
              <w:rPr>
                <w:rFonts w:hint="eastAsia" w:ascii="宋体" w:hAnsi="宋体" w:eastAsia="宋体" w:cs="宋体"/>
                <w:sz w:val="21"/>
                <w:szCs w:val="21"/>
                <w:lang w:val="en-US" w:eastAsia="zh-CN" w:bidi="ar-SA"/>
              </w:rPr>
            </w:pPr>
            <w:r>
              <w:rPr>
                <w:rFonts w:hint="eastAsia" w:ascii="宋体" w:hAnsi="宋体" w:eastAsia="宋体" w:cs="宋体"/>
                <w:color w:val="000000" w:themeColor="text1"/>
                <w:sz w:val="21"/>
                <w:szCs w:val="21"/>
                <w:lang w:val="en-US" w:eastAsia="zh-CN"/>
                <w14:textFill>
                  <w14:solidFill>
                    <w14:schemeClr w14:val="tx1"/>
                  </w14:solidFill>
                </w14:textFill>
              </w:rPr>
              <w:t>工业企业选址宜避开自然疫源地；对于因建设工程需要等原因不能避开的，应设计具体的疫情综合预防控制措施。</w:t>
            </w:r>
          </w:p>
        </w:tc>
        <w:tc>
          <w:tcPr>
            <w:tcW w:w="2400" w:type="dxa"/>
            <w:shd w:val="clear" w:color="auto" w:fill="auto"/>
            <w:vAlign w:val="center"/>
          </w:tcPr>
          <w:p w14:paraId="1AADD0EB">
            <w:pPr>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sz w:val="21"/>
                <w:szCs w:val="21"/>
                <w:lang w:val="en-US" w:eastAsia="zh-CN" w:bidi="ar-SA"/>
              </w:rPr>
            </w:pPr>
            <w:r>
              <w:rPr>
                <w:rFonts w:hint="eastAsia" w:ascii="宋体" w:hAnsi="宋体" w:eastAsia="宋体" w:cs="宋体"/>
                <w:color w:val="000000" w:themeColor="text1"/>
                <w:sz w:val="21"/>
                <w:szCs w:val="21"/>
                <w14:textFill>
                  <w14:solidFill>
                    <w14:schemeClr w14:val="tx1"/>
                  </w14:solidFill>
                </w14:textFill>
              </w:rPr>
              <w:t>《工业企业设计卫生标准》（GB Z1-2010）5.1.2</w:t>
            </w:r>
          </w:p>
        </w:tc>
        <w:tc>
          <w:tcPr>
            <w:tcW w:w="2145" w:type="dxa"/>
            <w:shd w:val="clear" w:color="auto" w:fill="auto"/>
            <w:vAlign w:val="center"/>
          </w:tcPr>
          <w:p w14:paraId="438E414A">
            <w:pPr>
              <w:keepNext w:val="0"/>
              <w:keepLines w:val="0"/>
              <w:pageBreakBefore w:val="0"/>
              <w:kinsoku/>
              <w:wordWrap/>
              <w:overflowPunct/>
              <w:topLinePunct w:val="0"/>
              <w:bidi w:val="0"/>
              <w:snapToGrid w:val="0"/>
              <w:textAlignment w:val="auto"/>
              <w:rPr>
                <w:rFonts w:hint="eastAsia" w:ascii="宋体" w:hAnsi="宋体" w:eastAsia="宋体" w:cs="宋体"/>
                <w:sz w:val="21"/>
                <w:szCs w:val="21"/>
                <w:lang w:val="en-US" w:eastAsia="zh-CN" w:bidi="ar-SA"/>
              </w:rPr>
            </w:pPr>
            <w:r>
              <w:rPr>
                <w:rFonts w:hint="eastAsia" w:ascii="宋体" w:hAnsi="宋体" w:eastAsia="宋体" w:cs="宋体"/>
                <w:color w:val="000000" w:themeColor="text1"/>
                <w:sz w:val="21"/>
                <w:szCs w:val="21"/>
                <w:lang w:val="en-US" w:eastAsia="zh-CN"/>
                <w14:textFill>
                  <w14:solidFill>
                    <w14:schemeClr w14:val="tx1"/>
                  </w14:solidFill>
                </w14:textFill>
              </w:rPr>
              <w:t>该项目厂区不属于自然疫源地。</w:t>
            </w:r>
          </w:p>
        </w:tc>
        <w:tc>
          <w:tcPr>
            <w:tcW w:w="720" w:type="dxa"/>
            <w:shd w:val="clear" w:color="auto" w:fill="auto"/>
            <w:vAlign w:val="center"/>
          </w:tcPr>
          <w:p w14:paraId="6DEB3299">
            <w:pPr>
              <w:pStyle w:val="30"/>
              <w:rPr>
                <w:rFonts w:hint="eastAsia" w:ascii="宋体" w:hAnsi="宋体" w:eastAsia="宋体" w:cs="宋体"/>
                <w:sz w:val="21"/>
                <w:szCs w:val="21"/>
                <w:lang w:val="en-US" w:eastAsia="zh-CN" w:bidi="ar-SA"/>
              </w:rPr>
            </w:pPr>
            <w:r>
              <w:rPr>
                <w:rFonts w:hint="eastAsia" w:ascii="宋体" w:hAnsi="宋体" w:eastAsia="宋体" w:cs="宋体"/>
                <w:sz w:val="21"/>
                <w:szCs w:val="21"/>
              </w:rPr>
              <w:t>符合</w:t>
            </w:r>
          </w:p>
        </w:tc>
      </w:tr>
      <w:tr w14:paraId="36D13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22" w:type="dxa"/>
            <w:gridSpan w:val="5"/>
            <w:vAlign w:val="center"/>
          </w:tcPr>
          <w:p w14:paraId="214B8F87">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总平面布置检查</w:t>
            </w:r>
          </w:p>
        </w:tc>
      </w:tr>
      <w:tr w14:paraId="51C1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578F6198">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2520" w:type="dxa"/>
            <w:vAlign w:val="center"/>
          </w:tcPr>
          <w:p w14:paraId="7C9F2D75">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工业企业总体规划应贯彻节约集约用地的原则，并应严格执行国家规定的土地使用审批程序，应利用荒地、劣地及非耕地，不应占用基本农田。分期建设时，总体规划应正确处理近期和远期的关系。近期应集中布置，远期应预留发展，应分期征地，并应合理有效利用土地。</w:t>
            </w:r>
          </w:p>
        </w:tc>
        <w:tc>
          <w:tcPr>
            <w:tcW w:w="2400" w:type="dxa"/>
            <w:vAlign w:val="center"/>
          </w:tcPr>
          <w:p w14:paraId="65315452">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《工业企业总平面设计规范》 (GB50187-2012)</w:t>
            </w:r>
          </w:p>
          <w:p w14:paraId="563985D6">
            <w:pPr>
              <w:bidi w:val="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第4.1.4</w:t>
            </w:r>
            <w:r>
              <w:rPr>
                <w:rFonts w:hint="eastAsia" w:hAnsi="宋体" w:cs="宋体"/>
                <w:sz w:val="21"/>
                <w:szCs w:val="21"/>
                <w:lang w:val="en-US" w:eastAsia="zh-CN"/>
              </w:rPr>
              <w:t>条</w:t>
            </w:r>
          </w:p>
        </w:tc>
        <w:tc>
          <w:tcPr>
            <w:tcW w:w="2145" w:type="dxa"/>
            <w:vAlign w:val="center"/>
          </w:tcPr>
          <w:p w14:paraId="78168E08">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本项目生产装置布置紧凑，节约用地，在生产区西南侧留有发展用地。</w:t>
            </w:r>
          </w:p>
        </w:tc>
        <w:tc>
          <w:tcPr>
            <w:tcW w:w="720" w:type="dxa"/>
            <w:vAlign w:val="center"/>
          </w:tcPr>
          <w:p w14:paraId="3C6658C7">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r w14:paraId="1602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1D70CE35">
            <w:pPr>
              <w:keepNext w:val="0"/>
              <w:keepLines w:val="0"/>
              <w:pageBreakBefore w:val="0"/>
              <w:kinsoku/>
              <w:wordWrap/>
              <w:overflowPunct/>
              <w:topLinePunct w:val="0"/>
              <w:bidi w:val="0"/>
              <w:adjustRightInd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2520" w:type="dxa"/>
            <w:vAlign w:val="center"/>
          </w:tcPr>
          <w:p w14:paraId="45344C3F">
            <w:pPr>
              <w:pStyle w:val="44"/>
              <w:widowControl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工业企业总体规划，应符合城乡总体规划和土地利用总体规划的要求。有条件时，规划应与城乡和邻近工业企业在生产、交通运输、动力公用、机修和器材供应、综合利用及生活设施等方面进行协作。</w:t>
            </w:r>
          </w:p>
        </w:tc>
        <w:tc>
          <w:tcPr>
            <w:tcW w:w="2400" w:type="dxa"/>
            <w:vAlign w:val="center"/>
          </w:tcPr>
          <w:p w14:paraId="19CFE3A2">
            <w:pPr>
              <w:pStyle w:val="44"/>
              <w:widowControl w:val="0"/>
              <w:snapToGrid w:val="0"/>
              <w:spacing w:line="300" w:lineRule="exact"/>
              <w:contextualSpacing/>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《工业企业总平面设计规范》（GB50187-2012）第4.1.2条</w:t>
            </w:r>
          </w:p>
        </w:tc>
        <w:tc>
          <w:tcPr>
            <w:tcW w:w="2145" w:type="dxa"/>
            <w:vAlign w:val="center"/>
          </w:tcPr>
          <w:p w14:paraId="58DCB417">
            <w:pPr>
              <w:pStyle w:val="44"/>
              <w:widowControl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工业企业总体规划，符合城乡总体规划和土地利用总体规划的要求。</w:t>
            </w:r>
          </w:p>
        </w:tc>
        <w:tc>
          <w:tcPr>
            <w:tcW w:w="720" w:type="dxa"/>
            <w:vAlign w:val="center"/>
          </w:tcPr>
          <w:p w14:paraId="77C55762">
            <w:pPr>
              <w:pStyle w:val="44"/>
              <w:widowControl w:val="0"/>
              <w:snapToGrid w:val="0"/>
              <w:spacing w:line="300" w:lineRule="exact"/>
              <w:contextualSpacing/>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135B0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4232F6D9">
            <w:pPr>
              <w:keepNext w:val="0"/>
              <w:keepLines w:val="0"/>
              <w:pageBreakBefore w:val="0"/>
              <w:kinsoku/>
              <w:wordWrap/>
              <w:overflowPunct/>
              <w:topLinePunct w:val="0"/>
              <w:bidi w:val="0"/>
              <w:adjustRightInd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w:t>
            </w:r>
          </w:p>
        </w:tc>
        <w:tc>
          <w:tcPr>
            <w:tcW w:w="2520" w:type="dxa"/>
            <w:vAlign w:val="center"/>
          </w:tcPr>
          <w:p w14:paraId="465A86F2">
            <w:pPr>
              <w:keepNext w:val="0"/>
              <w:keepLines w:val="0"/>
              <w:pageBreakBefore w:val="0"/>
              <w:kinsoku/>
              <w:wordWrap/>
              <w:overflowPunct/>
              <w:topLinePunct w:val="0"/>
              <w:bidi w:val="0"/>
              <w:adjustRightInd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出入口数量是否满足生产运输需要。</w:t>
            </w:r>
          </w:p>
        </w:tc>
        <w:tc>
          <w:tcPr>
            <w:tcW w:w="2400" w:type="dxa"/>
            <w:vAlign w:val="center"/>
          </w:tcPr>
          <w:p w14:paraId="572A25D8">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《工业企业总平面设计规范》</w:t>
            </w:r>
            <w:r>
              <w:rPr>
                <w:rFonts w:hint="eastAsia" w:ascii="宋体" w:hAnsi="宋体" w:eastAsia="宋体" w:cs="宋体"/>
                <w:color w:val="000000" w:themeColor="text1"/>
                <w:sz w:val="21"/>
                <w:szCs w:val="21"/>
                <w14:textFill>
                  <w14:solidFill>
                    <w14:schemeClr w14:val="tx1"/>
                  </w14:solidFill>
                </w14:textFill>
              </w:rPr>
              <w:t>（GB50187-2012）</w:t>
            </w:r>
            <w:r>
              <w:rPr>
                <w:rFonts w:hint="eastAsia" w:ascii="宋体" w:hAnsi="宋体" w:eastAsia="宋体" w:cs="宋体"/>
                <w:color w:val="000000" w:themeColor="text1"/>
                <w:sz w:val="21"/>
                <w:szCs w:val="21"/>
                <w:lang w:eastAsia="zh-CN"/>
                <w14:textFill>
                  <w14:solidFill>
                    <w14:schemeClr w14:val="tx1"/>
                  </w14:solidFill>
                </w14:textFill>
              </w:rPr>
              <w:t>第</w:t>
            </w:r>
            <w:r>
              <w:rPr>
                <w:rFonts w:hint="eastAsia" w:ascii="宋体" w:hAnsi="宋体" w:eastAsia="宋体" w:cs="宋体"/>
                <w:color w:val="000000" w:themeColor="text1"/>
                <w:sz w:val="21"/>
                <w:szCs w:val="21"/>
                <w:lang w:val="en-US" w:eastAsia="zh-CN"/>
                <w14:textFill>
                  <w14:solidFill>
                    <w14:schemeClr w14:val="tx1"/>
                  </w14:solidFill>
                </w14:textFill>
              </w:rPr>
              <w:t>5</w:t>
            </w:r>
            <w:r>
              <w:rPr>
                <w:rFonts w:hint="eastAsia" w:ascii="宋体" w:hAnsi="宋体" w:eastAsia="宋体" w:cs="宋体"/>
                <w:color w:val="000000" w:themeColor="text1"/>
                <w:sz w:val="21"/>
                <w:szCs w:val="21"/>
                <w14:textFill>
                  <w14:solidFill>
                    <w14:schemeClr w14:val="tx1"/>
                  </w14:solidFill>
                </w14:textFill>
              </w:rPr>
              <w:t>.7.4</w:t>
            </w:r>
            <w:r>
              <w:rPr>
                <w:rFonts w:hint="eastAsia" w:ascii="宋体" w:hAnsi="宋体" w:eastAsia="宋体" w:cs="宋体"/>
                <w:color w:val="000000" w:themeColor="text1"/>
                <w:sz w:val="21"/>
                <w:szCs w:val="21"/>
                <w:lang w:eastAsia="zh-CN"/>
                <w14:textFill>
                  <w14:solidFill>
                    <w14:schemeClr w14:val="tx1"/>
                  </w14:solidFill>
                </w14:textFill>
              </w:rPr>
              <w:t>条</w:t>
            </w:r>
          </w:p>
        </w:tc>
        <w:tc>
          <w:tcPr>
            <w:tcW w:w="2145" w:type="dxa"/>
            <w:vAlign w:val="center"/>
          </w:tcPr>
          <w:p w14:paraId="1C5026D3">
            <w:pPr>
              <w:keepNext w:val="0"/>
              <w:keepLines w:val="0"/>
              <w:pageBreakBefore w:val="0"/>
              <w:kinsoku/>
              <w:wordWrap/>
              <w:overflowPunct/>
              <w:topLinePunct w:val="0"/>
              <w:bidi w:val="0"/>
              <w:adjustRightInd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厂区的出入口，满足要求</w:t>
            </w:r>
          </w:p>
        </w:tc>
        <w:tc>
          <w:tcPr>
            <w:tcW w:w="720" w:type="dxa"/>
            <w:vAlign w:val="center"/>
          </w:tcPr>
          <w:p w14:paraId="26E9EF2E">
            <w:pPr>
              <w:keepNext w:val="0"/>
              <w:keepLines w:val="0"/>
              <w:pageBreakBefore w:val="0"/>
              <w:kinsoku/>
              <w:wordWrap/>
              <w:overflowPunct/>
              <w:topLinePunct w:val="0"/>
              <w:bidi w:val="0"/>
              <w:adjustRightInd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符合</w:t>
            </w:r>
          </w:p>
        </w:tc>
      </w:tr>
      <w:tr w14:paraId="7398A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2CD3885A">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p>
        </w:tc>
        <w:tc>
          <w:tcPr>
            <w:tcW w:w="2520" w:type="dxa"/>
            <w:vAlign w:val="center"/>
          </w:tcPr>
          <w:p w14:paraId="32AE7975">
            <w:pPr>
              <w:keepNext w:val="0"/>
              <w:keepLines w:val="0"/>
              <w:pageBreakBefore w:val="0"/>
              <w:kinsoku/>
              <w:wordWrap/>
              <w:overflowPunct/>
              <w:topLinePunct w:val="0"/>
              <w:bidi w:val="0"/>
              <w:adjustRightInd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总平面布置，应在总体规划的基础上，根据工业企业的性质、规模、生产流程、交通运输、环境保护，以及防火、安全、卫生、节能、施工、检修、厂区发展等要求，结合场地自然条件，经技术经济比较后择优确定。</w:t>
            </w:r>
          </w:p>
        </w:tc>
        <w:tc>
          <w:tcPr>
            <w:tcW w:w="2400" w:type="dxa"/>
            <w:vAlign w:val="center"/>
          </w:tcPr>
          <w:p w14:paraId="7CDBD8CD">
            <w:pPr>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《工业企业总平面设计规范》（GB50187-2012）</w:t>
            </w:r>
          </w:p>
          <w:p w14:paraId="29BF23DE">
            <w:pPr>
              <w:pStyle w:val="18"/>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第 5.1.1条 </w:t>
            </w:r>
          </w:p>
        </w:tc>
        <w:tc>
          <w:tcPr>
            <w:tcW w:w="2145" w:type="dxa"/>
            <w:vAlign w:val="center"/>
          </w:tcPr>
          <w:p w14:paraId="2994DCD2">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厂内总平面布置考虑了上述要求。</w:t>
            </w:r>
          </w:p>
        </w:tc>
        <w:tc>
          <w:tcPr>
            <w:tcW w:w="720" w:type="dxa"/>
            <w:vAlign w:val="center"/>
          </w:tcPr>
          <w:p w14:paraId="494DAC2E">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2BE39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0FE4116E">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w:t>
            </w:r>
          </w:p>
        </w:tc>
        <w:tc>
          <w:tcPr>
            <w:tcW w:w="2520" w:type="dxa"/>
            <w:vAlign w:val="center"/>
          </w:tcPr>
          <w:p w14:paraId="608E64B9">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总平面布置应节约集约用地，提高土地利用率。布置时并应符合下列要求：1</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在符合生产流程、操作要求和使用功能的前提下，建筑物、构筑物等设施，应采用联合、集中、多层布置；2</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应按企业规模和功能分区，合理地确定通道宽度；3</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厂区功能分区及建筑物、构筑物的外形宜规整；4</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功能分区内各项设施的布置，应紧凑、合理。</w:t>
            </w:r>
          </w:p>
        </w:tc>
        <w:tc>
          <w:tcPr>
            <w:tcW w:w="2400" w:type="dxa"/>
            <w:vAlign w:val="center"/>
          </w:tcPr>
          <w:p w14:paraId="5AE3314A">
            <w:pPr>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《工业企业总平面设计规范》（GB50187-2012）</w:t>
            </w:r>
          </w:p>
          <w:p w14:paraId="099D23E1">
            <w:pPr>
              <w:pStyle w:val="18"/>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第5.1.2条</w:t>
            </w:r>
          </w:p>
        </w:tc>
        <w:tc>
          <w:tcPr>
            <w:tcW w:w="2145" w:type="dxa"/>
            <w:vAlign w:val="center"/>
          </w:tcPr>
          <w:p w14:paraId="02A348E9">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本项目工艺设备布置紧凑、合理，作业通道基本满足要求。</w:t>
            </w:r>
          </w:p>
        </w:tc>
        <w:tc>
          <w:tcPr>
            <w:tcW w:w="720" w:type="dxa"/>
            <w:vAlign w:val="center"/>
          </w:tcPr>
          <w:p w14:paraId="234ABAC1">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24A52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06C39C3C">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p>
        </w:tc>
        <w:tc>
          <w:tcPr>
            <w:tcW w:w="2520" w:type="dxa"/>
            <w:vAlign w:val="center"/>
          </w:tcPr>
          <w:p w14:paraId="65DAA49D">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厂区的通道宽度，应符合下列要求：1</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应符合通道两侧建筑物、构筑物及露天设施对防火、安全与卫生间距的要求；2</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应符合铁路、道路与带式输送机通廊等工业运输线路的布置要求；3</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应符合各种工程管线的布置要求；4</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应符合绿化布置的要求；5</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应符合施工、安装与检修的要求；6</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应符合竖向设计的要求；7</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应符合预留发展用地的要求。</w:t>
            </w:r>
          </w:p>
        </w:tc>
        <w:tc>
          <w:tcPr>
            <w:tcW w:w="2400" w:type="dxa"/>
            <w:vAlign w:val="center"/>
          </w:tcPr>
          <w:p w14:paraId="07B333DA">
            <w:pPr>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《工业企业总平面设计规范》（GB50187-2012）</w:t>
            </w:r>
          </w:p>
          <w:p w14:paraId="64B030CE">
            <w:pPr>
              <w:pStyle w:val="18"/>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第5.1.4 条 </w:t>
            </w:r>
          </w:p>
        </w:tc>
        <w:tc>
          <w:tcPr>
            <w:tcW w:w="2145" w:type="dxa"/>
            <w:vAlign w:val="center"/>
          </w:tcPr>
          <w:p w14:paraId="7A0237F3">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本项目工艺设备布置紧凑、合理，厂内通道满足要求。</w:t>
            </w:r>
          </w:p>
        </w:tc>
        <w:tc>
          <w:tcPr>
            <w:tcW w:w="720" w:type="dxa"/>
            <w:vAlign w:val="center"/>
          </w:tcPr>
          <w:p w14:paraId="3A90241F">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1A677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70AA7F5C">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7</w:t>
            </w:r>
          </w:p>
        </w:tc>
        <w:tc>
          <w:tcPr>
            <w:tcW w:w="2520" w:type="dxa"/>
            <w:vAlign w:val="center"/>
          </w:tcPr>
          <w:p w14:paraId="10EB69E5">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总平面布置，应充分利用地形、地势、工程地质及水文地质条件，布置建筑物、构筑物和有关设施，应减少土（石）方工程量和基础工程费用，并应符合下列要求：1</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当厂区地形坡度较大时，建筑物、构筑物的长轴宜顺等高线布置；2</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应结合地形及竖向设计，为物料采用自流管道及高站台、低货位等设施创造条件。</w:t>
            </w:r>
          </w:p>
        </w:tc>
        <w:tc>
          <w:tcPr>
            <w:tcW w:w="2400" w:type="dxa"/>
            <w:vAlign w:val="center"/>
          </w:tcPr>
          <w:p w14:paraId="7BA4EC7E">
            <w:pPr>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《工业企业总平面设计规范》（GB50187-2012）</w:t>
            </w:r>
          </w:p>
          <w:p w14:paraId="78FAC5F7">
            <w:pPr>
              <w:pStyle w:val="18"/>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第5.1.5条  </w:t>
            </w:r>
          </w:p>
        </w:tc>
        <w:tc>
          <w:tcPr>
            <w:tcW w:w="2145" w:type="dxa"/>
            <w:vAlign w:val="center"/>
          </w:tcPr>
          <w:p w14:paraId="4E52452B">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厂内建构筑物布置依托了原有地形、地势条件进行布置。</w:t>
            </w:r>
          </w:p>
        </w:tc>
        <w:tc>
          <w:tcPr>
            <w:tcW w:w="720" w:type="dxa"/>
            <w:vAlign w:val="center"/>
          </w:tcPr>
          <w:p w14:paraId="7E58A190">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6C74C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37" w:type="dxa"/>
            <w:vAlign w:val="center"/>
          </w:tcPr>
          <w:p w14:paraId="08798F4C">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w:t>
            </w:r>
          </w:p>
        </w:tc>
        <w:tc>
          <w:tcPr>
            <w:tcW w:w="2520" w:type="dxa"/>
            <w:vAlign w:val="center"/>
          </w:tcPr>
          <w:p w14:paraId="150EAD56">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总平面布置应采取防止高温、有害气体、烟、雾、粉尘、强烈振动和高噪声对周围环境和人身安全的危害的安全保障措施，并应符合现行国家有关工业企业卫生设计标准的规定。</w:t>
            </w:r>
          </w:p>
        </w:tc>
        <w:tc>
          <w:tcPr>
            <w:tcW w:w="2400" w:type="dxa"/>
            <w:vAlign w:val="center"/>
          </w:tcPr>
          <w:p w14:paraId="650965B8">
            <w:pPr>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《工业企业总平面设计规范》（GB50187-2012）</w:t>
            </w:r>
          </w:p>
          <w:p w14:paraId="0ABF6530">
            <w:pPr>
              <w:pStyle w:val="18"/>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第5.1.7条</w:t>
            </w:r>
          </w:p>
        </w:tc>
        <w:tc>
          <w:tcPr>
            <w:tcW w:w="2145" w:type="dxa"/>
            <w:vAlign w:val="center"/>
          </w:tcPr>
          <w:p w14:paraId="697CCB1C">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本项目</w:t>
            </w:r>
            <w:r>
              <w:rPr>
                <w:rFonts w:hint="eastAsia" w:ascii="宋体" w:hAnsi="宋体" w:eastAsia="宋体" w:cs="宋体"/>
                <w:color w:val="000000" w:themeColor="text1"/>
                <w:sz w:val="21"/>
                <w:szCs w:val="21"/>
                <w:lang w:eastAsia="zh-CN"/>
                <w14:textFill>
                  <w14:solidFill>
                    <w14:schemeClr w14:val="tx1"/>
                  </w14:solidFill>
                </w14:textFill>
              </w:rPr>
              <w:t>不</w:t>
            </w:r>
            <w:r>
              <w:rPr>
                <w:rFonts w:hint="eastAsia" w:ascii="宋体" w:hAnsi="宋体" w:eastAsia="宋体" w:cs="宋体"/>
                <w:color w:val="000000" w:themeColor="text1"/>
                <w:sz w:val="21"/>
                <w:szCs w:val="21"/>
                <w14:textFill>
                  <w14:solidFill>
                    <w14:schemeClr w14:val="tx1"/>
                  </w14:solidFill>
                </w14:textFill>
              </w:rPr>
              <w:t>产生有害物气体，</w:t>
            </w:r>
            <w:r>
              <w:rPr>
                <w:rFonts w:hint="eastAsia" w:ascii="宋体" w:hAnsi="宋体" w:eastAsia="宋体" w:cs="宋体"/>
                <w:color w:val="000000" w:themeColor="text1"/>
                <w:sz w:val="21"/>
                <w:szCs w:val="21"/>
                <w:lang w:eastAsia="zh-CN"/>
                <w14:textFill>
                  <w14:solidFill>
                    <w14:schemeClr w14:val="tx1"/>
                  </w14:solidFill>
                </w14:textFill>
              </w:rPr>
              <w:t>本</w:t>
            </w:r>
            <w:r>
              <w:rPr>
                <w:rFonts w:hint="eastAsia" w:ascii="宋体" w:hAnsi="宋体" w:eastAsia="宋体" w:cs="宋体"/>
                <w:color w:val="000000" w:themeColor="text1"/>
                <w:sz w:val="21"/>
                <w:szCs w:val="21"/>
                <w14:textFill>
                  <w14:solidFill>
                    <w14:schemeClr w14:val="tx1"/>
                  </w14:solidFill>
                </w14:textFill>
              </w:rPr>
              <w:t>项目采取了除尘、降噪措施，配发了相应</w:t>
            </w:r>
            <w:r>
              <w:rPr>
                <w:rFonts w:hint="eastAsia" w:ascii="宋体" w:hAnsi="宋体" w:eastAsia="宋体" w:cs="宋体"/>
                <w:color w:val="000000" w:themeColor="text1"/>
                <w:sz w:val="21"/>
                <w:szCs w:val="21"/>
                <w:lang w:eastAsia="zh-CN"/>
                <w14:textFill>
                  <w14:solidFill>
                    <w14:schemeClr w14:val="tx1"/>
                  </w14:solidFill>
                </w14:textFill>
              </w:rPr>
              <w:t>的</w:t>
            </w:r>
            <w:r>
              <w:rPr>
                <w:rFonts w:hint="eastAsia" w:ascii="宋体" w:hAnsi="宋体" w:eastAsia="宋体" w:cs="宋体"/>
                <w:color w:val="000000" w:themeColor="text1"/>
                <w:sz w:val="21"/>
                <w:szCs w:val="21"/>
                <w14:textFill>
                  <w14:solidFill>
                    <w14:schemeClr w14:val="tx1"/>
                  </w14:solidFill>
                </w14:textFill>
              </w:rPr>
              <w:t>劳</w:t>
            </w:r>
            <w:r>
              <w:rPr>
                <w:rFonts w:hint="eastAsia" w:ascii="宋体" w:hAnsi="宋体" w:eastAsia="宋体" w:cs="宋体"/>
                <w:color w:val="000000" w:themeColor="text1"/>
                <w:sz w:val="21"/>
                <w:szCs w:val="21"/>
                <w:lang w:eastAsia="zh-CN"/>
                <w14:textFill>
                  <w14:solidFill>
                    <w14:schemeClr w14:val="tx1"/>
                  </w14:solidFill>
                </w14:textFill>
              </w:rPr>
              <w:t>动防护用</w:t>
            </w:r>
            <w:r>
              <w:rPr>
                <w:rFonts w:hint="eastAsia" w:ascii="宋体" w:hAnsi="宋体" w:eastAsia="宋体" w:cs="宋体"/>
                <w:color w:val="000000" w:themeColor="text1"/>
                <w:sz w:val="21"/>
                <w:szCs w:val="21"/>
                <w14:textFill>
                  <w14:solidFill>
                    <w14:schemeClr w14:val="tx1"/>
                  </w14:solidFill>
                </w14:textFill>
              </w:rPr>
              <w:t>品。</w:t>
            </w:r>
          </w:p>
        </w:tc>
        <w:tc>
          <w:tcPr>
            <w:tcW w:w="720" w:type="dxa"/>
            <w:vAlign w:val="center"/>
          </w:tcPr>
          <w:p w14:paraId="25040F88">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35E8E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7955C77E">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9</w:t>
            </w:r>
          </w:p>
        </w:tc>
        <w:tc>
          <w:tcPr>
            <w:tcW w:w="2520" w:type="dxa"/>
            <w:vAlign w:val="center"/>
          </w:tcPr>
          <w:p w14:paraId="11E805EA">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总平面布置，应合理地组织货流和人流，并应符合下列要求：1</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运输线路的布置，应保证物流顺畅、径路短捷、不折返；2</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应避免运输繁忙的铁路与道路平面交叉；3</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应使人、货分流，应避免运输繁忙的货流与人流交叉；4应避免进出厂的主要货流与企业外部交通干线的平面交叉。</w:t>
            </w:r>
          </w:p>
        </w:tc>
        <w:tc>
          <w:tcPr>
            <w:tcW w:w="2400" w:type="dxa"/>
            <w:vAlign w:val="center"/>
          </w:tcPr>
          <w:p w14:paraId="4B9FE924">
            <w:pPr>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《工业企业总平面设计规范》（GB50187-2012）</w:t>
            </w:r>
          </w:p>
          <w:p w14:paraId="61E1720B">
            <w:pPr>
              <w:pStyle w:val="44"/>
              <w:keepNext w:val="0"/>
              <w:keepLines w:val="0"/>
              <w:pageBreakBefore w:val="0"/>
              <w:widowControl w:val="0"/>
              <w:kinsoku/>
              <w:wordWrap/>
              <w:overflowPunct/>
              <w:topLinePunct w:val="0"/>
              <w:bidi w:val="0"/>
              <w:adjustRightInd/>
              <w:snapToGrid w:val="0"/>
              <w:spacing w:line="240" w:lineRule="auto"/>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第5.1.8条</w:t>
            </w:r>
          </w:p>
        </w:tc>
        <w:tc>
          <w:tcPr>
            <w:tcW w:w="2145" w:type="dxa"/>
            <w:vAlign w:val="center"/>
          </w:tcPr>
          <w:p w14:paraId="3D738E3A">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厂区交通运输通畅。</w:t>
            </w:r>
          </w:p>
        </w:tc>
        <w:tc>
          <w:tcPr>
            <w:tcW w:w="720" w:type="dxa"/>
            <w:vAlign w:val="center"/>
          </w:tcPr>
          <w:p w14:paraId="7AD09DB6">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4D9D2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8" w:hRule="atLeast"/>
          <w:jc w:val="center"/>
        </w:trPr>
        <w:tc>
          <w:tcPr>
            <w:tcW w:w="637" w:type="dxa"/>
            <w:vAlign w:val="center"/>
          </w:tcPr>
          <w:p w14:paraId="654F8BCB">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bookmarkStart w:id="703" w:name="_Toc202575710"/>
            <w:bookmarkStart w:id="704" w:name="_Toc327017835"/>
            <w:bookmarkStart w:id="705" w:name="_Toc309682498"/>
            <w:bookmarkStart w:id="706" w:name="_Toc278151422"/>
            <w:bookmarkStart w:id="707" w:name="_Toc201767300"/>
            <w:r>
              <w:rPr>
                <w:rFonts w:hint="eastAsia" w:ascii="宋体" w:hAnsi="宋体" w:eastAsia="宋体" w:cs="宋体"/>
                <w:color w:val="000000" w:themeColor="text1"/>
                <w:sz w:val="21"/>
                <w:szCs w:val="21"/>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2520" w:type="dxa"/>
            <w:vAlign w:val="center"/>
          </w:tcPr>
          <w:p w14:paraId="22031232">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仓库与堆场，应根据贮存物料的性质、货流出入方向、供应对象、贮存面积、运输方式等因素，按不同类别相对集中布置，并为运输、装卸、管理创造有利条件，且应符合国家现行的防火、防爆、安全、卫生等工程设计标准的有关规定。</w:t>
            </w:r>
          </w:p>
        </w:tc>
        <w:tc>
          <w:tcPr>
            <w:tcW w:w="2400" w:type="dxa"/>
            <w:vAlign w:val="center"/>
          </w:tcPr>
          <w:p w14:paraId="26BBB023">
            <w:pPr>
              <w:keepNext w:val="0"/>
              <w:keepLines w:val="0"/>
              <w:pageBreakBefore w:val="0"/>
              <w:kinsoku/>
              <w:wordWrap/>
              <w:overflowPunct/>
              <w:topLinePunct w:val="0"/>
              <w:bidi w:val="0"/>
              <w:snapToGrid w:val="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w:t>
            </w:r>
            <w:r>
              <w:rPr>
                <w:rFonts w:hint="eastAsia" w:ascii="宋体" w:hAnsi="宋体" w:eastAsia="宋体" w:cs="宋体"/>
                <w:color w:val="000000" w:themeColor="text1"/>
                <w:sz w:val="21"/>
                <w:szCs w:val="21"/>
                <w:lang w:val="zh-CN"/>
                <w14:textFill>
                  <w14:solidFill>
                    <w14:schemeClr w14:val="tx1"/>
                  </w14:solidFill>
                </w14:textFill>
              </w:rPr>
              <w:t>GB50187-2012）第</w:t>
            </w:r>
            <w:r>
              <w:rPr>
                <w:rFonts w:hint="eastAsia" w:ascii="宋体" w:hAnsi="宋体" w:eastAsia="宋体" w:cs="宋体"/>
                <w:color w:val="000000" w:themeColor="text1"/>
                <w:sz w:val="21"/>
                <w:szCs w:val="21"/>
                <w14:textFill>
                  <w14:solidFill>
                    <w14:schemeClr w14:val="tx1"/>
                  </w14:solidFill>
                </w14:textFill>
              </w:rPr>
              <w:t>5</w:t>
            </w:r>
            <w:r>
              <w:rPr>
                <w:rFonts w:hint="eastAsia" w:ascii="宋体" w:hAnsi="宋体" w:eastAsia="宋体" w:cs="宋体"/>
                <w:color w:val="000000" w:themeColor="text1"/>
                <w:sz w:val="21"/>
                <w:szCs w:val="21"/>
                <w:lang w:val="zh-CN"/>
                <w14:textFill>
                  <w14:solidFill>
                    <w14:schemeClr w14:val="tx1"/>
                  </w14:solidFill>
                </w14:textFill>
              </w:rPr>
              <w:t>.6.1条</w:t>
            </w:r>
          </w:p>
        </w:tc>
        <w:tc>
          <w:tcPr>
            <w:tcW w:w="2145" w:type="dxa"/>
            <w:vAlign w:val="center"/>
          </w:tcPr>
          <w:p w14:paraId="62BE9316">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仓库</w:t>
            </w:r>
            <w:r>
              <w:rPr>
                <w:rFonts w:hint="eastAsia" w:ascii="宋体" w:hAnsi="宋体" w:eastAsia="宋体" w:cs="宋体"/>
                <w:color w:val="000000" w:themeColor="text1"/>
                <w:sz w:val="21"/>
                <w:szCs w:val="21"/>
                <w:lang w:val="en-US" w:eastAsia="zh-CN"/>
                <w14:textFill>
                  <w14:solidFill>
                    <w14:schemeClr w14:val="tx1"/>
                  </w14:solidFill>
                </w14:textFill>
              </w:rPr>
              <w:t>原料分区存放</w:t>
            </w:r>
            <w:r>
              <w:rPr>
                <w:rFonts w:hint="eastAsia" w:ascii="宋体" w:hAnsi="宋体" w:eastAsia="宋体" w:cs="宋体"/>
                <w:color w:val="000000" w:themeColor="text1"/>
                <w:sz w:val="21"/>
                <w:szCs w:val="21"/>
                <w:lang w:val="zh-CN"/>
                <w14:textFill>
                  <w14:solidFill>
                    <w14:schemeClr w14:val="tx1"/>
                  </w14:solidFill>
                </w14:textFill>
              </w:rPr>
              <w:t>。</w:t>
            </w:r>
          </w:p>
        </w:tc>
        <w:tc>
          <w:tcPr>
            <w:tcW w:w="720" w:type="dxa"/>
            <w:vAlign w:val="center"/>
          </w:tcPr>
          <w:p w14:paraId="365B2695">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76416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35DF95BA">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11</w:t>
            </w:r>
          </w:p>
        </w:tc>
        <w:tc>
          <w:tcPr>
            <w:tcW w:w="2520" w:type="dxa"/>
            <w:shd w:val="clear" w:color="auto" w:fill="auto"/>
            <w:vAlign w:val="center"/>
          </w:tcPr>
          <w:p w14:paraId="7049D90C">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lang w:val="zh-CN" w:eastAsia="zh-CN"/>
                <w14:textFill>
                  <w14:solidFill>
                    <w14:schemeClr w14:val="tx1"/>
                  </w14:solidFill>
                </w14:textFill>
              </w:rPr>
            </w:pPr>
            <w:r>
              <w:rPr>
                <w:rFonts w:hint="eastAsia" w:ascii="宋体" w:hAnsi="宋体" w:eastAsia="宋体" w:cs="宋体"/>
                <w:color w:val="000000" w:themeColor="text1"/>
                <w:sz w:val="21"/>
                <w:szCs w:val="21"/>
                <w:lang w:val="zh-CN" w:eastAsia="zh-CN"/>
                <w14:textFill>
                  <w14:solidFill>
                    <w14:schemeClr w14:val="tx1"/>
                  </w14:solidFill>
                </w14:textFill>
              </w:rPr>
              <w:t>总平面布置，应合理地组织货流和人流，并应符合下列要求：（1）运输线路的布置，应保证物流顺畅、路径短捷、不折返；（2）应避免运输繁忙的铁路与道路平面交叉；（3）应使人、货分流，应避免运输繁忙的货流与人流交叉；（4）应避免进出厂的主要货流与企业外部交通干线的平面交叉。</w:t>
            </w:r>
          </w:p>
        </w:tc>
        <w:tc>
          <w:tcPr>
            <w:tcW w:w="2400" w:type="dxa"/>
            <w:shd w:val="clear" w:color="auto" w:fill="auto"/>
            <w:vAlign w:val="center"/>
          </w:tcPr>
          <w:p w14:paraId="0411EF9E">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lang w:val="zh-CN" w:eastAsia="zh-CN"/>
                <w14:textFill>
                  <w14:solidFill>
                    <w14:schemeClr w14:val="tx1"/>
                  </w14:solidFill>
                </w14:textFill>
              </w:rPr>
            </w:pPr>
            <w:r>
              <w:rPr>
                <w:rFonts w:hint="eastAsia" w:ascii="宋体" w:hAnsi="宋体" w:eastAsia="宋体" w:cs="宋体"/>
                <w:color w:val="000000" w:themeColor="text1"/>
                <w:sz w:val="21"/>
                <w:szCs w:val="21"/>
                <w:lang w:val="zh-CN" w:eastAsia="zh-CN"/>
                <w14:textFill>
                  <w14:solidFill>
                    <w14:schemeClr w14:val="tx1"/>
                  </w14:solidFill>
                </w14:textFill>
              </w:rPr>
              <w:t>《工业企业总平面设计规范》 (GB50187-2012)</w:t>
            </w:r>
          </w:p>
          <w:p w14:paraId="252C19CB">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lang w:val="zh-CN"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第5.1.10</w:t>
            </w:r>
          </w:p>
        </w:tc>
        <w:tc>
          <w:tcPr>
            <w:tcW w:w="2145" w:type="dxa"/>
            <w:shd w:val="clear" w:color="auto" w:fill="auto"/>
            <w:vAlign w:val="center"/>
          </w:tcPr>
          <w:p w14:paraId="1E5CB3F4">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lang w:val="zh-CN" w:eastAsia="zh-CN"/>
                <w14:textFill>
                  <w14:solidFill>
                    <w14:schemeClr w14:val="tx1"/>
                  </w14:solidFill>
                </w14:textFill>
              </w:rPr>
            </w:pPr>
            <w:r>
              <w:rPr>
                <w:rFonts w:hint="eastAsia" w:ascii="宋体" w:hAnsi="宋体" w:eastAsia="宋体" w:cs="宋体"/>
                <w:color w:val="000000" w:themeColor="text1"/>
                <w:sz w:val="21"/>
                <w:szCs w:val="21"/>
                <w:lang w:val="zh-CN" w:eastAsia="zh-CN"/>
                <w14:textFill>
                  <w14:solidFill>
                    <w14:schemeClr w14:val="tx1"/>
                  </w14:solidFill>
                </w14:textFill>
              </w:rPr>
              <w:t>厂区合理组织货流和人流。</w:t>
            </w:r>
          </w:p>
        </w:tc>
        <w:tc>
          <w:tcPr>
            <w:tcW w:w="720" w:type="dxa"/>
            <w:shd w:val="clear" w:color="auto" w:fill="auto"/>
            <w:vAlign w:val="center"/>
          </w:tcPr>
          <w:p w14:paraId="76FBB7FD">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lang w:val="zh-CN"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符合</w:t>
            </w:r>
          </w:p>
        </w:tc>
      </w:tr>
      <w:tr w14:paraId="78C45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765F7512">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12</w:t>
            </w:r>
          </w:p>
        </w:tc>
        <w:tc>
          <w:tcPr>
            <w:tcW w:w="2520" w:type="dxa"/>
            <w:shd w:val="clear" w:color="auto" w:fill="auto"/>
            <w:vAlign w:val="center"/>
          </w:tcPr>
          <w:p w14:paraId="00563345">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lang w:val="zh-CN"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存在或可能产生职业病危害的生产车间、设备应按照GBZ158设置职业病危害警示标识。</w:t>
            </w:r>
          </w:p>
        </w:tc>
        <w:tc>
          <w:tcPr>
            <w:tcW w:w="2400" w:type="dxa"/>
            <w:shd w:val="clear" w:color="auto" w:fill="auto"/>
            <w:vAlign w:val="center"/>
          </w:tcPr>
          <w:p w14:paraId="151F16CE">
            <w:pPr>
              <w:keepNext w:val="0"/>
              <w:keepLines w:val="0"/>
              <w:pageBreakBefore w:val="0"/>
              <w:kinsoku/>
              <w:wordWrap/>
              <w:overflowPunct/>
              <w:topLinePunct w:val="0"/>
              <w:bidi w:val="0"/>
              <w:snapToGrid w:val="0"/>
              <w:jc w:val="left"/>
              <w:textAlignment w:val="auto"/>
              <w:rPr>
                <w:rFonts w:hint="eastAsia" w:ascii="宋体" w:hAnsi="宋体" w:eastAsia="宋体" w:cs="宋体"/>
                <w:color w:val="000000" w:themeColor="text1"/>
                <w:sz w:val="21"/>
                <w:szCs w:val="21"/>
                <w:lang w:val="zh-CN"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《工业企业设计卫生标准》(GBZ1-2010) 第5.2.1.6</w:t>
            </w:r>
          </w:p>
        </w:tc>
        <w:tc>
          <w:tcPr>
            <w:tcW w:w="2145" w:type="dxa"/>
            <w:shd w:val="clear" w:color="auto" w:fill="auto"/>
            <w:vAlign w:val="center"/>
          </w:tcPr>
          <w:p w14:paraId="605BA03C">
            <w:pPr>
              <w:keepNext w:val="0"/>
              <w:keepLines w:val="0"/>
              <w:pageBreakBefore w:val="0"/>
              <w:kinsoku/>
              <w:wordWrap/>
              <w:overflowPunct/>
              <w:topLinePunct w:val="0"/>
              <w:bidi w:val="0"/>
              <w:snapToGrid w:val="0"/>
              <w:textAlignment w:val="auto"/>
              <w:rPr>
                <w:rFonts w:hint="eastAsia" w:ascii="宋体" w:hAnsi="宋体" w:eastAsia="宋体" w:cs="宋体"/>
                <w:color w:val="000000" w:themeColor="text1"/>
                <w:sz w:val="21"/>
                <w:szCs w:val="21"/>
                <w:lang w:val="zh-CN"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设置有相应安全警示标志和职业卫生告知牌。</w:t>
            </w:r>
          </w:p>
        </w:tc>
        <w:tc>
          <w:tcPr>
            <w:tcW w:w="720" w:type="dxa"/>
            <w:vAlign w:val="center"/>
          </w:tcPr>
          <w:p w14:paraId="06942E5F">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符合</w:t>
            </w:r>
          </w:p>
        </w:tc>
      </w:tr>
      <w:tr w14:paraId="7D4AA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2778CF79">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3</w:t>
            </w:r>
          </w:p>
        </w:tc>
        <w:tc>
          <w:tcPr>
            <w:tcW w:w="2520" w:type="dxa"/>
            <w:vAlign w:val="center"/>
          </w:tcPr>
          <w:p w14:paraId="78E24F1D">
            <w:pPr>
              <w:keepNext w:val="0"/>
              <w:keepLines w:val="0"/>
              <w:pageBreakBefore w:val="0"/>
              <w:tabs>
                <w:tab w:val="left" w:pos="2898"/>
              </w:tabs>
              <w:kinsoku/>
              <w:wordWrap/>
              <w:overflowPunct/>
              <w:topLinePunct w:val="0"/>
              <w:bidi w:val="0"/>
              <w:snapToGrid w:val="0"/>
              <w:textAlignment w:val="auto"/>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员工宿舍严禁设置在厂房内。</w:t>
            </w:r>
          </w:p>
        </w:tc>
        <w:tc>
          <w:tcPr>
            <w:tcW w:w="2400" w:type="dxa"/>
            <w:vAlign w:val="center"/>
          </w:tcPr>
          <w:p w14:paraId="48BC4289">
            <w:pPr>
              <w:keepNext w:val="0"/>
              <w:keepLines w:val="0"/>
              <w:pageBreakBefore w:val="0"/>
              <w:tabs>
                <w:tab w:val="left" w:pos="2898"/>
              </w:tabs>
              <w:kinsoku/>
              <w:wordWrap/>
              <w:overflowPunct/>
              <w:topLinePunct w:val="0"/>
              <w:bidi w:val="0"/>
              <w:snapToGrid w:val="0"/>
              <w:jc w:val="both"/>
              <w:textAlignment w:val="auto"/>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《建筑设计防火规范〔2018版〕》（GB</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lang w:val="zh-CN"/>
                <w14:textFill>
                  <w14:solidFill>
                    <w14:schemeClr w14:val="tx1"/>
                  </w14:solidFill>
                </w14:textFill>
              </w:rPr>
              <w:t>50016</w:t>
            </w:r>
          </w:p>
          <w:p w14:paraId="2AA23604">
            <w:pPr>
              <w:keepNext w:val="0"/>
              <w:keepLines w:val="0"/>
              <w:pageBreakBefore w:val="0"/>
              <w:tabs>
                <w:tab w:val="left" w:pos="2898"/>
              </w:tabs>
              <w:kinsoku/>
              <w:wordWrap/>
              <w:overflowPunct/>
              <w:topLinePunct w:val="0"/>
              <w:bidi w:val="0"/>
              <w:snapToGrid w:val="0"/>
              <w:jc w:val="both"/>
              <w:textAlignment w:val="auto"/>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-2014）第3.3.5条</w:t>
            </w:r>
          </w:p>
        </w:tc>
        <w:tc>
          <w:tcPr>
            <w:tcW w:w="2145" w:type="dxa"/>
            <w:vAlign w:val="center"/>
          </w:tcPr>
          <w:p w14:paraId="6009E38A">
            <w:pPr>
              <w:keepNext w:val="0"/>
              <w:keepLines w:val="0"/>
              <w:pageBreakBefore w:val="0"/>
              <w:tabs>
                <w:tab w:val="left" w:pos="2898"/>
              </w:tabs>
              <w:kinsoku/>
              <w:wordWrap/>
              <w:overflowPunct/>
              <w:topLinePunct w:val="0"/>
              <w:bidi w:val="0"/>
              <w:snapToGrid w:val="0"/>
              <w:textAlignment w:val="auto"/>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项目厂房内未设置员工宿舍。</w:t>
            </w:r>
          </w:p>
        </w:tc>
        <w:tc>
          <w:tcPr>
            <w:tcW w:w="720" w:type="dxa"/>
            <w:vAlign w:val="center"/>
          </w:tcPr>
          <w:p w14:paraId="3BA5B5DE">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lang w:val="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符合</w:t>
            </w:r>
          </w:p>
        </w:tc>
      </w:tr>
      <w:tr w14:paraId="549FB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1353C139">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14</w:t>
            </w:r>
          </w:p>
        </w:tc>
        <w:tc>
          <w:tcPr>
            <w:tcW w:w="2520" w:type="dxa"/>
            <w:shd w:val="clear" w:color="auto" w:fill="auto"/>
            <w:vAlign w:val="center"/>
          </w:tcPr>
          <w:p w14:paraId="584389AD">
            <w:pPr>
              <w:pStyle w:val="45"/>
              <w:overflowPunct w:val="0"/>
              <w:snapToGrid w:val="0"/>
              <w:jc w:val="both"/>
              <w:rPr>
                <w:rFonts w:hint="eastAsia" w:ascii="宋体" w:hAnsi="宋体" w:eastAsia="宋体" w:cs="宋体"/>
                <w:color w:val="000000" w:themeColor="text1"/>
                <w:sz w:val="21"/>
                <w:szCs w:val="21"/>
                <w:lang w:val="zh-CN"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员工宿舍严禁设置在仓库内。</w:t>
            </w:r>
          </w:p>
        </w:tc>
        <w:tc>
          <w:tcPr>
            <w:tcW w:w="2400" w:type="dxa"/>
            <w:shd w:val="clear" w:color="auto" w:fill="auto"/>
            <w:vAlign w:val="center"/>
          </w:tcPr>
          <w:p w14:paraId="63512C81">
            <w:pPr>
              <w:pStyle w:val="45"/>
              <w:overflowPunct w:val="0"/>
              <w:snapToGrid w:val="0"/>
              <w:jc w:val="center"/>
              <w:rPr>
                <w:rFonts w:hint="eastAsia" w:ascii="宋体" w:hAnsi="宋体" w:eastAsia="宋体" w:cs="宋体"/>
                <w:color w:val="000000" w:themeColor="text1"/>
                <w:sz w:val="21"/>
                <w:szCs w:val="21"/>
                <w:lang w:val="zh-CN"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《建筑设计防火规范》（GB50016-2014，2018版）第3.3.9条</w:t>
            </w:r>
          </w:p>
        </w:tc>
        <w:tc>
          <w:tcPr>
            <w:tcW w:w="2145" w:type="dxa"/>
            <w:shd w:val="clear" w:color="auto" w:fill="auto"/>
            <w:vAlign w:val="center"/>
          </w:tcPr>
          <w:p w14:paraId="674BB93C">
            <w:pPr>
              <w:pStyle w:val="45"/>
              <w:overflowPunct w:val="0"/>
              <w:snapToGrid w:val="0"/>
              <w:jc w:val="both"/>
              <w:rPr>
                <w:rFonts w:hint="eastAsia" w:ascii="宋体" w:hAnsi="宋体" w:eastAsia="宋体" w:cs="宋体"/>
                <w:bCs/>
                <w:color w:val="000000" w:themeColor="text1"/>
                <w:sz w:val="21"/>
                <w:szCs w:val="21"/>
                <w:lang w:val="zh-CN" w:eastAsia="zh-CN" w:bidi="ar-SA"/>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仓库内未设置宿舍、办公室、休息室等。</w:t>
            </w:r>
          </w:p>
        </w:tc>
        <w:tc>
          <w:tcPr>
            <w:tcW w:w="720" w:type="dxa"/>
            <w:shd w:val="clear" w:color="auto" w:fill="auto"/>
            <w:vAlign w:val="center"/>
          </w:tcPr>
          <w:p w14:paraId="281ECB39">
            <w:pPr>
              <w:overflowPunct w:val="0"/>
              <w:adjustRightInd w:val="0"/>
              <w:snapToGrid w:val="0"/>
              <w:spacing w:line="300" w:lineRule="exact"/>
              <w:jc w:val="center"/>
              <w:rPr>
                <w:rFonts w:hint="eastAsia" w:ascii="宋体" w:hAnsi="宋体" w:eastAsia="宋体" w:cs="宋体"/>
                <w:bCs/>
                <w:color w:val="000000" w:themeColor="text1"/>
                <w:sz w:val="21"/>
                <w:szCs w:val="21"/>
                <w:lang w:val="zh-CN" w:eastAsia="zh-CN" w:bidi="ar-SA"/>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符合</w:t>
            </w:r>
          </w:p>
        </w:tc>
      </w:tr>
      <w:tr w14:paraId="2BD6F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32AF032F">
            <w:pPr>
              <w:keepNext w:val="0"/>
              <w:keepLines w:val="0"/>
              <w:pageBreakBefore w:val="0"/>
              <w:kinsoku/>
              <w:wordWrap/>
              <w:overflowPunct/>
              <w:topLinePunct w:val="0"/>
              <w:bidi w:val="0"/>
              <w:snapToGrid w:val="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15</w:t>
            </w:r>
          </w:p>
        </w:tc>
        <w:tc>
          <w:tcPr>
            <w:tcW w:w="2520" w:type="dxa"/>
            <w:shd w:val="clear" w:color="auto" w:fill="auto"/>
            <w:vAlign w:val="center"/>
          </w:tcPr>
          <w:p w14:paraId="608717CF">
            <w:pPr>
              <w:widowControl/>
              <w:rPr>
                <w:rFonts w:hint="eastAsia" w:ascii="宋体" w:hAnsi="Times New Roman" w:eastAsia="宋体" w:cs="Times New Roman"/>
                <w:sz w:val="21"/>
                <w:szCs w:val="21"/>
                <w:lang w:val="en-US" w:eastAsia="zh-CN" w:bidi="ar-SA"/>
              </w:rPr>
            </w:pPr>
            <w:r>
              <w:rPr>
                <w:rFonts w:hint="eastAsia" w:hAnsi="宋体" w:cs="宋体"/>
                <w:color w:val="000000"/>
                <w:sz w:val="21"/>
                <w:szCs w:val="21"/>
                <w:lang w:bidi="ar"/>
              </w:rPr>
              <w:t>各类建筑与市政工程的抗震设防烈度不应低于本地区的抗震设防烈度。</w:t>
            </w:r>
          </w:p>
        </w:tc>
        <w:tc>
          <w:tcPr>
            <w:tcW w:w="2400" w:type="dxa"/>
            <w:shd w:val="clear" w:color="auto" w:fill="auto"/>
            <w:vAlign w:val="center"/>
          </w:tcPr>
          <w:p w14:paraId="23BFF936">
            <w:pPr>
              <w:widowControl/>
              <w:jc w:val="left"/>
              <w:rPr>
                <w:rFonts w:hint="eastAsia" w:ascii="宋体" w:hAnsi="Times New Roman" w:eastAsia="宋体" w:cs="Times New Roman"/>
                <w:sz w:val="21"/>
                <w:szCs w:val="21"/>
                <w:lang w:val="en-US" w:eastAsia="zh-CN" w:bidi="ar-SA"/>
              </w:rPr>
            </w:pPr>
            <w:r>
              <w:rPr>
                <w:rFonts w:hint="eastAsia" w:hAnsi="宋体" w:cs="宋体"/>
                <w:color w:val="000000"/>
                <w:sz w:val="21"/>
                <w:szCs w:val="21"/>
                <w:lang w:bidi="ar"/>
              </w:rPr>
              <w:t>《建筑与市政工程抗震通用规范》（GB55002-2021）第2.2.1条</w:t>
            </w:r>
          </w:p>
        </w:tc>
        <w:tc>
          <w:tcPr>
            <w:tcW w:w="2145" w:type="dxa"/>
            <w:shd w:val="clear" w:color="auto" w:fill="auto"/>
            <w:vAlign w:val="center"/>
          </w:tcPr>
          <w:p w14:paraId="53167496">
            <w:pPr>
              <w:widowControl/>
              <w:rPr>
                <w:rFonts w:hint="eastAsia" w:ascii="宋体" w:hAnsi="Times New Roman" w:eastAsia="宋体" w:cs="Times New Roman"/>
                <w:sz w:val="21"/>
                <w:szCs w:val="21"/>
                <w:lang w:val="en-US" w:eastAsia="zh-CN" w:bidi="ar-SA"/>
              </w:rPr>
            </w:pPr>
            <w:r>
              <w:rPr>
                <w:rFonts w:hint="eastAsia" w:hAnsi="宋体" w:cs="宋体"/>
                <w:color w:val="000000"/>
                <w:sz w:val="21"/>
                <w:szCs w:val="21"/>
                <w:lang w:bidi="ar"/>
              </w:rPr>
              <w:t>本项目所在地为玉溪市红塔区，抗震设防烈度为8度，所属设计地震分组为第二组。</w:t>
            </w:r>
          </w:p>
        </w:tc>
        <w:tc>
          <w:tcPr>
            <w:tcW w:w="720" w:type="dxa"/>
            <w:shd w:val="clear" w:color="auto" w:fill="auto"/>
            <w:vAlign w:val="center"/>
          </w:tcPr>
          <w:p w14:paraId="3A9B1066">
            <w:pPr>
              <w:jc w:val="center"/>
              <w:rPr>
                <w:rFonts w:hint="eastAsia" w:ascii="宋体" w:hAnsi="Times New Roman" w:eastAsia="宋体" w:cs="Times New Roman"/>
                <w:sz w:val="21"/>
                <w:szCs w:val="21"/>
                <w:lang w:val="en-US" w:eastAsia="zh-CN" w:bidi="ar-SA"/>
              </w:rPr>
            </w:pPr>
            <w:r>
              <w:rPr>
                <w:rFonts w:hint="eastAsia" w:hAnsi="宋体" w:cs="宋体"/>
                <w:color w:val="000000"/>
                <w:sz w:val="21"/>
                <w:szCs w:val="21"/>
                <w:lang w:bidi="ar"/>
              </w:rPr>
              <w:t>符合</w:t>
            </w:r>
          </w:p>
        </w:tc>
      </w:tr>
      <w:tr w14:paraId="4CFC8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6141EAD6">
            <w:pPr>
              <w:keepNext w:val="0"/>
              <w:keepLines w:val="0"/>
              <w:pageBreakBefore w:val="0"/>
              <w:kinsoku/>
              <w:wordWrap/>
              <w:overflowPunct/>
              <w:topLinePunct w:val="0"/>
              <w:bidi w:val="0"/>
              <w:snapToGrid w:val="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16</w:t>
            </w:r>
          </w:p>
        </w:tc>
        <w:tc>
          <w:tcPr>
            <w:tcW w:w="2520" w:type="dxa"/>
            <w:shd w:val="clear" w:color="auto" w:fill="auto"/>
            <w:vAlign w:val="center"/>
          </w:tcPr>
          <w:p w14:paraId="774C858F">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建筑的疏散出口数量、位置和宽度，疏散楼梯（间）的形式和宽度，避难设施的位置和面积等，应与建筑的使用功能、火灾危险性、耐火等级、建筑高度或层数、埋深、建筑面积、人员密度、人员特性等相适应。</w:t>
            </w:r>
          </w:p>
        </w:tc>
        <w:tc>
          <w:tcPr>
            <w:tcW w:w="2400" w:type="dxa"/>
            <w:shd w:val="clear" w:color="auto" w:fill="auto"/>
            <w:vAlign w:val="center"/>
          </w:tcPr>
          <w:p w14:paraId="13DE266B">
            <w:pPr>
              <w:widowControl/>
              <w:jc w:val="left"/>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《建筑防火通用规范》（GB55037-2022）第7.1.1条</w:t>
            </w:r>
          </w:p>
        </w:tc>
        <w:tc>
          <w:tcPr>
            <w:tcW w:w="2145" w:type="dxa"/>
            <w:shd w:val="clear" w:color="auto" w:fill="auto"/>
            <w:vAlign w:val="center"/>
          </w:tcPr>
          <w:p w14:paraId="58706C74">
            <w:pPr>
              <w:widowControl/>
              <w:jc w:val="left"/>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本项目生产厂房的疏散出口数量、位置和宽度，与建筑的使用功能、火灾危险性、耐火等级、建筑高度或层数、埋深、建筑面积、人员密度、人员特性等相适应。</w:t>
            </w:r>
          </w:p>
        </w:tc>
        <w:tc>
          <w:tcPr>
            <w:tcW w:w="720" w:type="dxa"/>
            <w:shd w:val="clear" w:color="auto" w:fill="auto"/>
            <w:vAlign w:val="center"/>
          </w:tcPr>
          <w:p w14:paraId="50972A29">
            <w:pPr>
              <w:jc w:val="center"/>
              <w:rPr>
                <w:rFonts w:hint="eastAsia" w:hAnsi="宋体" w:cs="宋体"/>
                <w:color w:val="000000"/>
                <w:sz w:val="21"/>
                <w:szCs w:val="21"/>
                <w:lang w:bidi="ar"/>
              </w:rPr>
            </w:pPr>
          </w:p>
        </w:tc>
      </w:tr>
      <w:tr w14:paraId="3CFE9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3F782940">
            <w:pPr>
              <w:keepNext w:val="0"/>
              <w:keepLines w:val="0"/>
              <w:pageBreakBefore w:val="0"/>
              <w:kinsoku/>
              <w:wordWrap/>
              <w:overflowPunct/>
              <w:topLinePunct w:val="0"/>
              <w:bidi w:val="0"/>
              <w:snapToGrid w:val="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17</w:t>
            </w:r>
          </w:p>
        </w:tc>
        <w:tc>
          <w:tcPr>
            <w:tcW w:w="2520" w:type="dxa"/>
            <w:shd w:val="clear" w:color="auto" w:fill="auto"/>
            <w:vAlign w:val="center"/>
          </w:tcPr>
          <w:p w14:paraId="2D44E741">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建筑中的疏散出口应分散布置，房间疏散门应直接通向安全出口，不应经过其他房间。疏散出口的宽度和数量应满足人员安全疏散的要求。各层疏散楼梯的净宽度应符合下列规定：1对于建筑的地上楼层，各层疏散楼梯的净宽度均不应小于其上部各层中要求疏散净宽度的最大值；2对于建筑的地下楼层或地下建筑、平时使用的人民防空工程，各层疏散楼梯的净宽度均不应小于其下部各层中要求疏散净宽度的最大值。</w:t>
            </w:r>
          </w:p>
        </w:tc>
        <w:tc>
          <w:tcPr>
            <w:tcW w:w="2400" w:type="dxa"/>
            <w:shd w:val="clear" w:color="auto" w:fill="auto"/>
            <w:vAlign w:val="center"/>
          </w:tcPr>
          <w:p w14:paraId="65F53EC8">
            <w:pPr>
              <w:widowControl/>
              <w:jc w:val="left"/>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《建筑防火通用规范》（GB55037-2022）第7.1.2条</w:t>
            </w:r>
          </w:p>
        </w:tc>
        <w:tc>
          <w:tcPr>
            <w:tcW w:w="2145" w:type="dxa"/>
            <w:shd w:val="clear" w:color="auto" w:fill="auto"/>
            <w:vAlign w:val="center"/>
          </w:tcPr>
          <w:p w14:paraId="5B04E051">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主要生产厂房的疏散出口分散布置，房间疏散门直接通向安全出口，未经过其他房间。</w:t>
            </w:r>
          </w:p>
        </w:tc>
        <w:tc>
          <w:tcPr>
            <w:tcW w:w="720" w:type="dxa"/>
            <w:shd w:val="clear" w:color="auto" w:fill="auto"/>
            <w:vAlign w:val="center"/>
          </w:tcPr>
          <w:p w14:paraId="7657B732">
            <w:pPr>
              <w:jc w:val="center"/>
              <w:rPr>
                <w:rFonts w:hint="eastAsia" w:ascii="宋体" w:hAnsi="Times New Roman" w:eastAsia="宋体" w:cs="Times New Roman"/>
                <w:sz w:val="21"/>
                <w:szCs w:val="21"/>
                <w:lang w:val="en-US" w:eastAsia="zh-CN" w:bidi="ar-SA"/>
              </w:rPr>
            </w:pPr>
            <w:r>
              <w:rPr>
                <w:rFonts w:hint="eastAsia" w:hAnsi="宋体" w:cs="宋体"/>
                <w:color w:val="000000"/>
                <w:sz w:val="21"/>
                <w:szCs w:val="21"/>
                <w:lang w:bidi="ar"/>
              </w:rPr>
              <w:t>符合</w:t>
            </w:r>
          </w:p>
        </w:tc>
      </w:tr>
      <w:tr w14:paraId="72501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5FDD1DF3">
            <w:pPr>
              <w:keepNext w:val="0"/>
              <w:keepLines w:val="0"/>
              <w:pageBreakBefore w:val="0"/>
              <w:kinsoku/>
              <w:wordWrap/>
              <w:overflowPunct/>
              <w:topLinePunct w:val="0"/>
              <w:bidi w:val="0"/>
              <w:snapToGrid w:val="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18</w:t>
            </w:r>
          </w:p>
        </w:tc>
        <w:tc>
          <w:tcPr>
            <w:tcW w:w="2520" w:type="dxa"/>
            <w:shd w:val="clear" w:color="auto" w:fill="auto"/>
            <w:vAlign w:val="center"/>
          </w:tcPr>
          <w:p w14:paraId="379DA426">
            <w:pPr>
              <w:widowControl/>
              <w:jc w:val="left"/>
              <w:rPr>
                <w:rFonts w:hint="eastAsia" w:ascii="宋体" w:hAnsi="宋体" w:eastAsia="宋体" w:cs="宋体"/>
                <w:sz w:val="21"/>
                <w:szCs w:val="21"/>
                <w:lang w:val="en-US" w:eastAsia="zh-CN" w:bidi="ar-SA"/>
              </w:rPr>
            </w:pPr>
            <w:r>
              <w:rPr>
                <w:rFonts w:hint="eastAsia" w:hAnsi="宋体" w:cs="宋体"/>
                <w:color w:val="000000"/>
                <w:sz w:val="21"/>
                <w:szCs w:val="21"/>
                <w:lang w:bidi="ar"/>
              </w:rPr>
              <w:t>厂区出入口的位置和数量，应根据企业的生产规模、总体规划、厂区用地面积及总平面布置等因素综合确定，其数量不宜少于2个。主要人流出入口宜与主要货流出入口分开设置，并应位于厂区主干道通往居住区或城镇的一侧。主要货流出入口应位于主要货流方向，并应与外部运输线路连接方便。</w:t>
            </w:r>
          </w:p>
        </w:tc>
        <w:tc>
          <w:tcPr>
            <w:tcW w:w="2400" w:type="dxa"/>
            <w:shd w:val="clear" w:color="auto" w:fill="auto"/>
            <w:vAlign w:val="center"/>
          </w:tcPr>
          <w:p w14:paraId="6B3F9D92">
            <w:pPr>
              <w:rPr>
                <w:rFonts w:hint="eastAsia" w:ascii="宋体" w:hAnsi="宋体" w:eastAsia="宋体" w:cs="宋体"/>
                <w:sz w:val="21"/>
                <w:szCs w:val="21"/>
                <w:lang w:val="en-US" w:eastAsia="zh-CN" w:bidi="ar-SA"/>
              </w:rPr>
            </w:pPr>
            <w:r>
              <w:rPr>
                <w:rFonts w:hint="eastAsia" w:hAnsi="宋体" w:cs="宋体"/>
                <w:sz w:val="21"/>
                <w:szCs w:val="21"/>
              </w:rPr>
              <w:t>《工业企业总平面设计规范》（GB50187-2012）第4.7.4条</w:t>
            </w:r>
          </w:p>
        </w:tc>
        <w:tc>
          <w:tcPr>
            <w:tcW w:w="2145" w:type="dxa"/>
            <w:shd w:val="clear" w:color="auto" w:fill="auto"/>
            <w:vAlign w:val="center"/>
          </w:tcPr>
          <w:p w14:paraId="299A6492">
            <w:pPr>
              <w:widowControl/>
              <w:rPr>
                <w:rFonts w:hint="eastAsia" w:ascii="宋体" w:hAnsi="宋体" w:eastAsia="宋体" w:cs="宋体"/>
                <w:sz w:val="21"/>
                <w:szCs w:val="21"/>
                <w:lang w:val="en-US" w:eastAsia="zh-CN" w:bidi="ar-SA"/>
              </w:rPr>
            </w:pPr>
            <w:r>
              <w:rPr>
                <w:rFonts w:hint="eastAsia" w:hAnsi="宋体" w:cs="宋体"/>
                <w:color w:val="000000"/>
                <w:sz w:val="21"/>
                <w:szCs w:val="21"/>
                <w:lang w:bidi="ar"/>
              </w:rPr>
              <w:t>厂区出入口满足要求，道路交通状况良好。</w:t>
            </w:r>
          </w:p>
        </w:tc>
        <w:tc>
          <w:tcPr>
            <w:tcW w:w="720" w:type="dxa"/>
            <w:shd w:val="clear" w:color="auto" w:fill="auto"/>
            <w:vAlign w:val="center"/>
          </w:tcPr>
          <w:p w14:paraId="32E807EA">
            <w:pPr>
              <w:widowControl/>
              <w:jc w:val="center"/>
              <w:rPr>
                <w:rFonts w:hint="eastAsia" w:ascii="宋体" w:hAnsi="宋体" w:eastAsia="宋体" w:cs="宋体"/>
                <w:sz w:val="21"/>
                <w:szCs w:val="21"/>
                <w:lang w:val="en-US" w:eastAsia="zh-CN" w:bidi="ar-SA"/>
              </w:rPr>
            </w:pPr>
            <w:r>
              <w:rPr>
                <w:rFonts w:hint="eastAsia" w:hAnsi="宋体" w:cs="宋体"/>
                <w:color w:val="000000"/>
                <w:sz w:val="21"/>
                <w:szCs w:val="21"/>
                <w:lang w:bidi="ar"/>
              </w:rPr>
              <w:t>符合</w:t>
            </w:r>
          </w:p>
        </w:tc>
      </w:tr>
      <w:tr w14:paraId="3CB7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22" w:type="dxa"/>
            <w:gridSpan w:val="5"/>
            <w:vAlign w:val="center"/>
          </w:tcPr>
          <w:p w14:paraId="253BC9A6">
            <w:pPr>
              <w:keepNext w:val="0"/>
              <w:keepLines w:val="0"/>
              <w:pageBreakBefore w:val="0"/>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厂区道路检查</w:t>
            </w:r>
          </w:p>
        </w:tc>
      </w:tr>
      <w:tr w14:paraId="08A0C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1C66F801">
            <w:pPr>
              <w:keepNext w:val="0"/>
              <w:keepLines w:val="0"/>
              <w:pageBreakBefore w:val="0"/>
              <w:tabs>
                <w:tab w:val="left" w:pos="2898"/>
              </w:tabs>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2520" w:type="dxa"/>
          </w:tcPr>
          <w:p w14:paraId="1FD78864">
            <w:pPr>
              <w:keepNext w:val="0"/>
              <w:keepLines w:val="0"/>
              <w:pageBreakBefore w:val="0"/>
              <w:tabs>
                <w:tab w:val="left" w:pos="2898"/>
              </w:tabs>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满足生产要求，物流顺畅，线路短捷，人流、物流组织合理。</w:t>
            </w:r>
          </w:p>
        </w:tc>
        <w:tc>
          <w:tcPr>
            <w:tcW w:w="2400" w:type="dxa"/>
            <w:vAlign w:val="center"/>
          </w:tcPr>
          <w:p w14:paraId="52114CD8">
            <w:pPr>
              <w:keepNext w:val="0"/>
              <w:keepLines w:val="0"/>
              <w:pageBreakBefore w:val="0"/>
              <w:tabs>
                <w:tab w:val="left" w:pos="2898"/>
              </w:tabs>
              <w:kinsoku/>
              <w:wordWrap/>
              <w:overflowPunct/>
              <w:topLinePunct w:val="0"/>
              <w:bidi w:val="0"/>
              <w:snapToGrid w:val="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《工业企业总平面设计规范》</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zh-CN"/>
                <w14:textFill>
                  <w14:solidFill>
                    <w14:schemeClr w14:val="tx1"/>
                  </w14:solidFill>
                </w14:textFill>
              </w:rPr>
              <w:t>GB50187-2012）第</w:t>
            </w:r>
            <w:r>
              <w:rPr>
                <w:rFonts w:hint="eastAsia" w:ascii="宋体" w:hAnsi="宋体" w:eastAsia="宋体" w:cs="宋体"/>
                <w:color w:val="000000" w:themeColor="text1"/>
                <w:sz w:val="21"/>
                <w:szCs w:val="21"/>
                <w14:textFill>
                  <w14:solidFill>
                    <w14:schemeClr w14:val="tx1"/>
                  </w14:solidFill>
                </w14:textFill>
              </w:rPr>
              <w:t>5.1.1</w:t>
            </w:r>
            <w:r>
              <w:rPr>
                <w:rFonts w:hint="eastAsia" w:ascii="宋体" w:hAnsi="宋体" w:eastAsia="宋体" w:cs="宋体"/>
                <w:color w:val="000000" w:themeColor="text1"/>
                <w:sz w:val="21"/>
                <w:szCs w:val="21"/>
                <w:lang w:eastAsia="zh-CN"/>
                <w14:textFill>
                  <w14:solidFill>
                    <w14:schemeClr w14:val="tx1"/>
                  </w14:solidFill>
                </w14:textFill>
              </w:rPr>
              <w:t>条</w:t>
            </w:r>
          </w:p>
        </w:tc>
        <w:tc>
          <w:tcPr>
            <w:tcW w:w="2145" w:type="dxa"/>
            <w:vAlign w:val="center"/>
          </w:tcPr>
          <w:p w14:paraId="4E971F9D">
            <w:pPr>
              <w:keepNext w:val="0"/>
              <w:keepLines w:val="0"/>
              <w:pageBreakBefore w:val="0"/>
              <w:tabs>
                <w:tab w:val="left" w:pos="2898"/>
              </w:tabs>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物流顺畅，线路短捷。</w:t>
            </w:r>
          </w:p>
        </w:tc>
        <w:tc>
          <w:tcPr>
            <w:tcW w:w="720" w:type="dxa"/>
            <w:vAlign w:val="center"/>
          </w:tcPr>
          <w:p w14:paraId="0E1C62C3">
            <w:pPr>
              <w:keepNext w:val="0"/>
              <w:keepLines w:val="0"/>
              <w:pageBreakBefore w:val="0"/>
              <w:tabs>
                <w:tab w:val="left" w:pos="2898"/>
              </w:tabs>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符合</w:t>
            </w:r>
          </w:p>
        </w:tc>
      </w:tr>
      <w:tr w14:paraId="2E21A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74A246FC">
            <w:pPr>
              <w:keepNext w:val="0"/>
              <w:keepLines w:val="0"/>
              <w:pageBreakBefore w:val="0"/>
              <w:tabs>
                <w:tab w:val="left" w:pos="2898"/>
              </w:tabs>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2520" w:type="dxa"/>
          </w:tcPr>
          <w:p w14:paraId="0C017B31">
            <w:pPr>
              <w:keepNext w:val="0"/>
              <w:keepLines w:val="0"/>
              <w:pageBreakBefore w:val="0"/>
              <w:tabs>
                <w:tab w:val="left" w:pos="2898"/>
              </w:tabs>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主要道路应环形布置。尽头端式道路应有足够的消防回转场地。</w:t>
            </w:r>
          </w:p>
        </w:tc>
        <w:tc>
          <w:tcPr>
            <w:tcW w:w="2400" w:type="dxa"/>
            <w:vAlign w:val="center"/>
          </w:tcPr>
          <w:p w14:paraId="5FEA097E">
            <w:pPr>
              <w:keepNext w:val="0"/>
              <w:keepLines w:val="0"/>
              <w:pageBreakBefore w:val="0"/>
              <w:tabs>
                <w:tab w:val="left" w:pos="2898"/>
              </w:tabs>
              <w:kinsoku/>
              <w:wordWrap/>
              <w:overflowPunct/>
              <w:topLinePunct w:val="0"/>
              <w:bidi w:val="0"/>
              <w:snapToGrid w:val="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《工业企业总平面设计规范》</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zh-CN"/>
                <w14:textFill>
                  <w14:solidFill>
                    <w14:schemeClr w14:val="tx1"/>
                  </w14:solidFill>
                </w14:textFill>
              </w:rPr>
              <w:t>GB50187-2012）第</w:t>
            </w:r>
            <w:r>
              <w:rPr>
                <w:rFonts w:hint="eastAsia" w:ascii="宋体" w:hAnsi="宋体" w:eastAsia="宋体" w:cs="宋体"/>
                <w:color w:val="000000" w:themeColor="text1"/>
                <w:sz w:val="21"/>
                <w:szCs w:val="21"/>
                <w14:textFill>
                  <w14:solidFill>
                    <w14:schemeClr w14:val="tx1"/>
                  </w14:solidFill>
                </w14:textFill>
              </w:rPr>
              <w:t>5.3.3</w:t>
            </w:r>
            <w:r>
              <w:rPr>
                <w:rFonts w:hint="eastAsia" w:ascii="宋体" w:hAnsi="宋体" w:eastAsia="宋体" w:cs="宋体"/>
                <w:color w:val="000000" w:themeColor="text1"/>
                <w:sz w:val="21"/>
                <w:szCs w:val="21"/>
                <w:lang w:eastAsia="zh-CN"/>
                <w14:textFill>
                  <w14:solidFill>
                    <w14:schemeClr w14:val="tx1"/>
                  </w14:solidFill>
                </w14:textFill>
              </w:rPr>
              <w:t>条</w:t>
            </w:r>
          </w:p>
        </w:tc>
        <w:tc>
          <w:tcPr>
            <w:tcW w:w="2145" w:type="dxa"/>
            <w:vAlign w:val="center"/>
          </w:tcPr>
          <w:p w14:paraId="1DA331AD">
            <w:pPr>
              <w:keepNext w:val="0"/>
              <w:keepLines w:val="0"/>
              <w:pageBreakBefore w:val="0"/>
              <w:tabs>
                <w:tab w:val="left" w:pos="2898"/>
              </w:tabs>
              <w:kinsoku/>
              <w:wordWrap/>
              <w:overflowPunct/>
              <w:topLinePunct w:val="0"/>
              <w:bidi w:val="0"/>
              <w:snapToGrid w:val="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厂区道路布置</w:t>
            </w:r>
            <w:r>
              <w:rPr>
                <w:rFonts w:hint="eastAsia" w:ascii="宋体" w:hAnsi="宋体" w:eastAsia="宋体" w:cs="宋体"/>
                <w:color w:val="000000" w:themeColor="text1"/>
                <w:sz w:val="21"/>
                <w:szCs w:val="21"/>
                <w:lang w:eastAsia="zh-CN"/>
                <w14:textFill>
                  <w14:solidFill>
                    <w14:schemeClr w14:val="tx1"/>
                  </w14:solidFill>
                </w14:textFill>
              </w:rPr>
              <w:t>合理</w:t>
            </w:r>
          </w:p>
        </w:tc>
        <w:tc>
          <w:tcPr>
            <w:tcW w:w="720" w:type="dxa"/>
            <w:vAlign w:val="center"/>
          </w:tcPr>
          <w:p w14:paraId="4215AD12">
            <w:pPr>
              <w:keepNext w:val="0"/>
              <w:keepLines w:val="0"/>
              <w:pageBreakBefore w:val="0"/>
              <w:tabs>
                <w:tab w:val="left" w:pos="2898"/>
              </w:tabs>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78B6C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 w:type="dxa"/>
            <w:vAlign w:val="center"/>
          </w:tcPr>
          <w:p w14:paraId="3B52428B">
            <w:pPr>
              <w:keepNext w:val="0"/>
              <w:keepLines w:val="0"/>
              <w:pageBreakBefore w:val="0"/>
              <w:tabs>
                <w:tab w:val="left" w:pos="2898"/>
              </w:tabs>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2520" w:type="dxa"/>
            <w:vAlign w:val="center"/>
          </w:tcPr>
          <w:p w14:paraId="2837919F">
            <w:pPr>
              <w:keepNext w:val="0"/>
              <w:keepLines w:val="0"/>
              <w:pageBreakBefore w:val="0"/>
              <w:tabs>
                <w:tab w:val="left" w:pos="2898"/>
              </w:tabs>
              <w:kinsoku/>
              <w:wordWrap/>
              <w:overflowPunct/>
              <w:topLinePunct w:val="0"/>
              <w:bidi w:val="0"/>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路面平整、路基稳固、边坡整齐、排水良好。</w:t>
            </w:r>
          </w:p>
        </w:tc>
        <w:tc>
          <w:tcPr>
            <w:tcW w:w="2400" w:type="dxa"/>
            <w:vAlign w:val="center"/>
          </w:tcPr>
          <w:p w14:paraId="159578F4">
            <w:pPr>
              <w:keepNext w:val="0"/>
              <w:keepLines w:val="0"/>
              <w:pageBreakBefore w:val="0"/>
              <w:tabs>
                <w:tab w:val="left" w:pos="2898"/>
              </w:tabs>
              <w:kinsoku/>
              <w:wordWrap/>
              <w:overflowPunct/>
              <w:topLinePunct w:val="0"/>
              <w:bidi w:val="0"/>
              <w:snapToGrid w:val="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《工业企业厂内铁路、道路运输安全规程》（GB4387-2008）第</w:t>
            </w:r>
            <w:r>
              <w:rPr>
                <w:rFonts w:hint="eastAsia" w:ascii="宋体" w:hAnsi="宋体" w:eastAsia="宋体" w:cs="宋体"/>
                <w:color w:val="000000" w:themeColor="text1"/>
                <w:sz w:val="21"/>
                <w:szCs w:val="21"/>
                <w14:textFill>
                  <w14:solidFill>
                    <w14:schemeClr w14:val="tx1"/>
                  </w14:solidFill>
                </w14:textFill>
              </w:rPr>
              <w:t>5.1.1</w:t>
            </w:r>
            <w:r>
              <w:rPr>
                <w:rFonts w:hint="eastAsia" w:ascii="宋体" w:hAnsi="宋体" w:eastAsia="宋体" w:cs="宋体"/>
                <w:color w:val="000000" w:themeColor="text1"/>
                <w:sz w:val="21"/>
                <w:szCs w:val="21"/>
                <w:lang w:eastAsia="zh-CN"/>
                <w14:textFill>
                  <w14:solidFill>
                    <w14:schemeClr w14:val="tx1"/>
                  </w14:solidFill>
                </w14:textFill>
              </w:rPr>
              <w:t>条</w:t>
            </w:r>
          </w:p>
        </w:tc>
        <w:tc>
          <w:tcPr>
            <w:tcW w:w="2145" w:type="dxa"/>
            <w:vAlign w:val="center"/>
          </w:tcPr>
          <w:p w14:paraId="220BA753">
            <w:pPr>
              <w:keepNext w:val="0"/>
              <w:keepLines w:val="0"/>
              <w:pageBreakBefore w:val="0"/>
              <w:tabs>
                <w:tab w:val="left" w:pos="2898"/>
              </w:tabs>
              <w:kinsoku/>
              <w:wordWrap/>
              <w:overflowPunct/>
              <w:topLinePunct w:val="0"/>
              <w:bidi w:val="0"/>
              <w:snapToGrid w:val="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主要道路已硬化，</w:t>
            </w:r>
            <w:r>
              <w:rPr>
                <w:rFonts w:hint="eastAsia" w:ascii="宋体" w:hAnsi="宋体" w:eastAsia="宋体" w:cs="宋体"/>
                <w:color w:val="000000" w:themeColor="text1"/>
                <w:sz w:val="21"/>
                <w:szCs w:val="21"/>
                <w:lang w:val="en-US" w:eastAsia="zh-CN"/>
                <w14:textFill>
                  <w14:solidFill>
                    <w14:schemeClr w14:val="tx1"/>
                  </w14:solidFill>
                </w14:textFill>
              </w:rPr>
              <w:t>为水泥道路，排水畅通</w:t>
            </w:r>
          </w:p>
        </w:tc>
        <w:tc>
          <w:tcPr>
            <w:tcW w:w="720" w:type="dxa"/>
            <w:vAlign w:val="center"/>
          </w:tcPr>
          <w:p w14:paraId="2737B88E">
            <w:pPr>
              <w:keepNext w:val="0"/>
              <w:keepLines w:val="0"/>
              <w:pageBreakBefore w:val="0"/>
              <w:tabs>
                <w:tab w:val="left" w:pos="2898"/>
              </w:tabs>
              <w:kinsoku/>
              <w:wordWrap/>
              <w:overflowPunct/>
              <w:topLinePunct w:val="0"/>
              <w:bidi w:val="0"/>
              <w:snapToGrid w:val="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zh-CN"/>
                <w14:textFill>
                  <w14:solidFill>
                    <w14:schemeClr w14:val="tx1"/>
                  </w14:solidFill>
                </w14:textFill>
              </w:rPr>
              <w:t>符合</w:t>
            </w:r>
          </w:p>
        </w:tc>
      </w:tr>
      <w:bookmarkEnd w:id="703"/>
      <w:bookmarkEnd w:id="704"/>
      <w:bookmarkEnd w:id="705"/>
      <w:bookmarkEnd w:id="706"/>
      <w:bookmarkEnd w:id="707"/>
    </w:tbl>
    <w:p w14:paraId="07F29BE2">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708" w:name="_Toc22902"/>
      <w:bookmarkStart w:id="709" w:name="_Toc5096"/>
      <w:bookmarkStart w:id="710" w:name="_Toc335926269"/>
      <w:bookmarkStart w:id="711" w:name="_Toc202575711"/>
      <w:bookmarkStart w:id="712" w:name="_Toc26445"/>
      <w:bookmarkStart w:id="713" w:name="_Toc201767301"/>
      <w:bookmarkStart w:id="714" w:name="_Toc278151423"/>
      <w:bookmarkStart w:id="715" w:name="_Toc5142"/>
      <w:bookmarkStart w:id="716" w:name="_Toc2937"/>
      <w:bookmarkStart w:id="717" w:name="_Toc309682499"/>
      <w:bookmarkStart w:id="718" w:name="_Toc327017836"/>
      <w:bookmarkStart w:id="719" w:name="_Toc9095"/>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5.1.2 评价小结</w:t>
      </w:r>
      <w:bookmarkEnd w:id="708"/>
      <w:bookmarkEnd w:id="709"/>
      <w:bookmarkEnd w:id="710"/>
      <w:bookmarkEnd w:id="711"/>
      <w:bookmarkEnd w:id="712"/>
      <w:bookmarkEnd w:id="713"/>
      <w:bookmarkEnd w:id="714"/>
      <w:bookmarkEnd w:id="715"/>
      <w:bookmarkEnd w:id="716"/>
      <w:bookmarkEnd w:id="717"/>
      <w:bookmarkEnd w:id="718"/>
      <w:bookmarkEnd w:id="719"/>
    </w:p>
    <w:p w14:paraId="7C26AAFF">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本章采用安全检查表法，对本项目的厂址、总平面布置、</w:t>
      </w:r>
      <w:r>
        <w:rPr>
          <w:rFonts w:hint="eastAsia" w:ascii="宋体" w:hAnsi="宋体" w:eastAsia="宋体" w:cs="宋体"/>
          <w:color w:val="000000" w:themeColor="text1"/>
          <w:sz w:val="28"/>
          <w:szCs w:val="28"/>
          <w:lang w:val="en-US" w:eastAsia="zh-CN"/>
          <w14:textFill>
            <w14:solidFill>
              <w14:schemeClr w14:val="tx1"/>
            </w14:solidFill>
          </w14:textFill>
        </w:rPr>
        <w:t>厂区道路</w:t>
      </w:r>
      <w:r>
        <w:rPr>
          <w:rFonts w:hint="eastAsia" w:ascii="宋体" w:hAnsi="宋体" w:eastAsia="宋体" w:cs="宋体"/>
          <w:color w:val="000000" w:themeColor="text1"/>
          <w:sz w:val="28"/>
          <w:szCs w:val="28"/>
          <w14:textFill>
            <w14:solidFill>
              <w14:schemeClr w14:val="tx1"/>
            </w14:solidFill>
          </w14:textFill>
        </w:rPr>
        <w:t>进行了检查，总平面布置各功能区</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分布合理，布局连续紧凑，分区明确，生产环境良好，便于管理，能够满足目前安全生产的要求。</w:t>
      </w:r>
    </w:p>
    <w:p w14:paraId="3604FEE2">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项目平面布置</w:t>
      </w:r>
      <w:r>
        <w:rPr>
          <w:rFonts w:hint="eastAsia" w:ascii="宋体" w:hAnsi="宋体" w:eastAsia="宋体" w:cs="宋体"/>
          <w:color w:val="000000" w:themeColor="text1"/>
          <w:sz w:val="28"/>
          <w:szCs w:val="28"/>
          <w:lang w:val="en-US" w:eastAsia="zh-CN"/>
          <w14:textFill>
            <w14:solidFill>
              <w14:schemeClr w14:val="tx1"/>
            </w14:solidFill>
          </w14:textFill>
        </w:rPr>
        <w:t>符合</w:t>
      </w:r>
      <w:r>
        <w:rPr>
          <w:rFonts w:hint="eastAsia" w:ascii="宋体" w:hAnsi="宋体" w:eastAsia="宋体" w:cs="宋体"/>
          <w:color w:val="000000" w:themeColor="text1"/>
          <w:sz w:val="28"/>
          <w:szCs w:val="28"/>
          <w14:textFill>
            <w14:solidFill>
              <w14:schemeClr w14:val="tx1"/>
            </w14:solidFill>
          </w14:textFill>
        </w:rPr>
        <w:t>《工业企业总平面设计规范》（</w:t>
      </w:r>
      <w:r>
        <w:rPr>
          <w:rFonts w:hint="eastAsia" w:ascii="宋体" w:hAnsi="宋体" w:eastAsia="宋体" w:cs="宋体"/>
          <w:color w:val="000000" w:themeColor="text1"/>
          <w:sz w:val="28"/>
          <w:szCs w:val="28"/>
          <w:lang w:val="zh-CN"/>
          <w14:textFill>
            <w14:solidFill>
              <w14:schemeClr w14:val="tx1"/>
            </w14:solidFill>
          </w14:textFill>
        </w:rPr>
        <w:t>GB</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lang w:val="zh-CN"/>
          <w14:textFill>
            <w14:solidFill>
              <w14:schemeClr w14:val="tx1"/>
            </w14:solidFill>
          </w14:textFill>
        </w:rPr>
        <w:t>50187-2012）、《工业企业厂内铁路、道路运输安全规程》（GB</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lang w:val="zh-CN"/>
          <w14:textFill>
            <w14:solidFill>
              <w14:schemeClr w14:val="tx1"/>
            </w14:solidFill>
          </w14:textFill>
        </w:rPr>
        <w:t>4387-2008）</w:t>
      </w:r>
      <w:r>
        <w:rPr>
          <w:rFonts w:hint="eastAsia" w:ascii="宋体" w:hAnsi="宋体" w:eastAsia="宋体" w:cs="宋体"/>
          <w:color w:val="000000" w:themeColor="text1"/>
          <w:sz w:val="28"/>
          <w:szCs w:val="28"/>
          <w14:textFill>
            <w14:solidFill>
              <w14:schemeClr w14:val="tx1"/>
            </w14:solidFill>
          </w14:textFill>
        </w:rPr>
        <w:t>和《建筑设计防火规范〔2018版〕》（GB</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50016-2014）</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《建筑防火通用规范》（GB55037-2022）中的</w:t>
      </w:r>
      <w:r>
        <w:rPr>
          <w:rFonts w:hint="eastAsia" w:ascii="宋体" w:hAnsi="宋体" w:eastAsia="宋体" w:cs="宋体"/>
          <w:color w:val="000000" w:themeColor="text1"/>
          <w:sz w:val="28"/>
          <w:szCs w:val="28"/>
          <w:lang w:val="en-US" w:eastAsia="zh-CN"/>
          <w14:textFill>
            <w14:solidFill>
              <w14:schemeClr w14:val="tx1"/>
            </w14:solidFill>
          </w14:textFill>
        </w:rPr>
        <w:t>规范要求</w:t>
      </w:r>
      <w:r>
        <w:rPr>
          <w:rFonts w:hint="eastAsia" w:ascii="宋体" w:hAnsi="宋体" w:eastAsia="宋体" w:cs="宋体"/>
          <w:color w:val="000000" w:themeColor="text1"/>
          <w:sz w:val="28"/>
          <w:szCs w:val="28"/>
          <w14:textFill>
            <w14:solidFill>
              <w14:schemeClr w14:val="tx1"/>
            </w14:solidFill>
          </w14:textFill>
        </w:rPr>
        <w:t>。</w:t>
      </w:r>
    </w:p>
    <w:p w14:paraId="2A587B97">
      <w:pPr>
        <w:pStyle w:val="3"/>
        <w:keepNext/>
        <w:keepLines/>
        <w:pageBreakBefore w:val="0"/>
        <w:widowControl w:val="0"/>
        <w:kinsoku/>
        <w:wordWrap/>
        <w:overflowPunct/>
        <w:topLinePunct w:val="0"/>
        <w:autoSpaceDE/>
        <w:autoSpaceDN/>
        <w:bidi w:val="0"/>
        <w:adjustRightInd/>
        <w:snapToGrid w:val="0"/>
        <w:spacing w:before="0" w:after="0" w:line="520" w:lineRule="exact"/>
        <w:jc w:val="both"/>
        <w:textAlignment w:val="auto"/>
        <w:rPr>
          <w:rFonts w:hint="eastAsia" w:ascii="宋体" w:hAnsi="宋体" w:eastAsia="宋体" w:cs="宋体"/>
          <w:color w:val="000000" w:themeColor="text1"/>
          <w:kern w:val="0"/>
          <w14:textFill>
            <w14:solidFill>
              <w14:schemeClr w14:val="tx1"/>
            </w14:solidFill>
          </w14:textFill>
        </w:rPr>
      </w:pPr>
      <w:bookmarkStart w:id="720" w:name="_Toc19848"/>
      <w:bookmarkStart w:id="721" w:name="_Toc30343"/>
      <w:bookmarkStart w:id="722" w:name="_Toc18641"/>
      <w:bookmarkStart w:id="723" w:name="_Toc30613"/>
      <w:bookmarkStart w:id="724" w:name="_Toc32345"/>
      <w:bookmarkStart w:id="725" w:name="_Toc9895"/>
      <w:bookmarkStart w:id="726" w:name="_Toc313545238"/>
      <w:bookmarkStart w:id="727" w:name="_Toc8408"/>
      <w:bookmarkStart w:id="728" w:name="_Toc335926278"/>
      <w:r>
        <w:rPr>
          <w:rFonts w:hint="eastAsia" w:ascii="宋体" w:hAnsi="宋体" w:eastAsia="宋体" w:cs="宋体"/>
          <w:color w:val="000000" w:themeColor="text1"/>
          <w:kern w:val="0"/>
          <w14:textFill>
            <w14:solidFill>
              <w14:schemeClr w14:val="tx1"/>
            </w14:solidFill>
          </w14:textFill>
        </w:rPr>
        <w:t>5.2</w:t>
      </w:r>
      <w:r>
        <w:rPr>
          <w:rFonts w:hint="eastAsia" w:ascii="宋体" w:hAnsi="宋体" w:eastAsia="宋体" w:cs="宋体"/>
          <w:color w:val="000000" w:themeColor="text1"/>
          <w:kern w:val="0"/>
          <w:lang w:val="en-US" w:eastAsia="zh-CN"/>
          <w14:textFill>
            <w14:solidFill>
              <w14:schemeClr w14:val="tx1"/>
            </w14:solidFill>
          </w14:textFill>
        </w:rPr>
        <w:t xml:space="preserve"> 生产</w:t>
      </w:r>
      <w:r>
        <w:rPr>
          <w:rFonts w:hint="eastAsia" w:ascii="宋体" w:hAnsi="宋体" w:eastAsia="宋体" w:cs="宋体"/>
          <w:color w:val="000000" w:themeColor="text1"/>
          <w:kern w:val="0"/>
          <w14:textFill>
            <w14:solidFill>
              <w14:schemeClr w14:val="tx1"/>
            </w14:solidFill>
          </w14:textFill>
        </w:rPr>
        <w:t>工艺</w:t>
      </w:r>
      <w:r>
        <w:rPr>
          <w:rFonts w:hint="eastAsia" w:ascii="宋体" w:hAnsi="宋体" w:eastAsia="宋体" w:cs="宋体"/>
          <w:color w:val="000000" w:themeColor="text1"/>
          <w:kern w:val="0"/>
          <w:lang w:val="en-US" w:eastAsia="zh-CN"/>
          <w14:textFill>
            <w14:solidFill>
              <w14:schemeClr w14:val="tx1"/>
            </w14:solidFill>
          </w14:textFill>
        </w:rPr>
        <w:t>及设备设施</w:t>
      </w:r>
      <w:r>
        <w:rPr>
          <w:rFonts w:hint="eastAsia" w:ascii="宋体" w:hAnsi="宋体" w:eastAsia="宋体" w:cs="宋体"/>
          <w:color w:val="000000" w:themeColor="text1"/>
          <w:kern w:val="0"/>
          <w14:textFill>
            <w14:solidFill>
              <w14:schemeClr w14:val="tx1"/>
            </w14:solidFill>
          </w14:textFill>
        </w:rPr>
        <w:t>评价单元</w:t>
      </w:r>
      <w:bookmarkEnd w:id="720"/>
      <w:bookmarkEnd w:id="721"/>
      <w:bookmarkEnd w:id="722"/>
      <w:bookmarkEnd w:id="723"/>
      <w:bookmarkEnd w:id="724"/>
      <w:bookmarkEnd w:id="725"/>
    </w:p>
    <w:p w14:paraId="14A221E3">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729" w:name="_Toc4373"/>
      <w:bookmarkStart w:id="730" w:name="_Toc21729"/>
      <w:bookmarkStart w:id="731" w:name="_Toc30203"/>
      <w:bookmarkStart w:id="732" w:name="_Toc23262"/>
      <w:bookmarkStart w:id="733" w:name="_Toc5645"/>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5.2.1 安全检查</w:t>
      </w:r>
      <w:bookmarkEnd w:id="726"/>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表</w:t>
      </w:r>
      <w:bookmarkEnd w:id="727"/>
      <w:bookmarkEnd w:id="728"/>
      <w:bookmarkEnd w:id="729"/>
      <w:bookmarkEnd w:id="730"/>
      <w:bookmarkEnd w:id="731"/>
      <w:bookmarkEnd w:id="732"/>
      <w:bookmarkEnd w:id="733"/>
    </w:p>
    <w:p w14:paraId="0320019D">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按照《生产设备安全卫生设计总则》（GB5083-</w:t>
      </w:r>
      <w:r>
        <w:rPr>
          <w:rFonts w:hint="eastAsia" w:ascii="宋体" w:hAnsi="宋体" w:eastAsia="宋体" w:cs="宋体"/>
          <w:color w:val="000000" w:themeColor="text1"/>
          <w:sz w:val="28"/>
          <w:szCs w:val="28"/>
          <w:lang w:val="en-US" w:eastAsia="zh-CN"/>
          <w14:textFill>
            <w14:solidFill>
              <w14:schemeClr w14:val="tx1"/>
            </w14:solidFill>
          </w14:textFill>
        </w:rPr>
        <w:t>2023</w:t>
      </w:r>
      <w:r>
        <w:rPr>
          <w:rFonts w:hint="eastAsia" w:ascii="宋体" w:hAnsi="宋体" w:eastAsia="宋体" w:cs="宋体"/>
          <w:color w:val="000000" w:themeColor="text1"/>
          <w:sz w:val="28"/>
          <w:szCs w:val="28"/>
          <w14:textFill>
            <w14:solidFill>
              <w14:schemeClr w14:val="tx1"/>
            </w14:solidFill>
          </w14:textFill>
        </w:rPr>
        <w:t>）、《生产过程安全卫生要求总则》（GB/T 12801-2008）、《中华人民共和国安全生产法》（中华人民共和国主席令第88号，2021年修订）、</w:t>
      </w:r>
      <w:r>
        <w:rPr>
          <w:rFonts w:hint="eastAsia" w:ascii="宋体" w:hAnsi="宋体" w:eastAsia="宋体" w:cs="宋体"/>
          <w:color w:val="000000" w:themeColor="text1"/>
          <w:kern w:val="0"/>
          <w:sz w:val="28"/>
          <w:szCs w:val="28"/>
          <w14:textFill>
            <w14:solidFill>
              <w14:schemeClr w14:val="tx1"/>
            </w14:solidFill>
          </w14:textFill>
        </w:rPr>
        <w:t>《压力容器定期检验规则》（TSG R7001-2013）</w:t>
      </w:r>
      <w:r>
        <w:rPr>
          <w:rFonts w:hint="eastAsia" w:ascii="宋体" w:hAnsi="宋体" w:eastAsia="宋体" w:cs="宋体"/>
          <w:color w:val="000000" w:themeColor="text1"/>
          <w:kern w:val="0"/>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《机械工业厂房结构设计规范》（GB50906-2013）等标准规范的规定，对该项目的生产工艺设备设施采用安全检查表法进行分析评价。检查结果见表5-</w:t>
      </w:r>
      <w:r>
        <w:rPr>
          <w:rFonts w:hint="eastAsia" w:ascii="宋体" w:hAnsi="宋体" w:eastAsia="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w:t>
      </w:r>
    </w:p>
    <w:p w14:paraId="14BD37FE">
      <w:pPr>
        <w:adjustRightInd w:val="0"/>
        <w:snapToGrid w:val="0"/>
        <w:spacing w:line="240" w:lineRule="auto"/>
        <w:jc w:val="center"/>
        <w:rPr>
          <w:rFonts w:hint="eastAsia"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表5-</w:t>
      </w:r>
      <w:r>
        <w:rPr>
          <w:rFonts w:hint="eastAsia" w:ascii="宋体" w:hAnsi="宋体" w:eastAsia="宋体" w:cs="宋体"/>
          <w:b/>
          <w:bCs/>
          <w:color w:val="000000" w:themeColor="text1"/>
          <w:sz w:val="24"/>
          <w:lang w:val="en-US" w:eastAsia="zh-CN"/>
          <w14:textFill>
            <w14:solidFill>
              <w14:schemeClr w14:val="tx1"/>
            </w14:solidFill>
          </w14:textFill>
        </w:rPr>
        <w:t>2</w:t>
      </w:r>
      <w:r>
        <w:rPr>
          <w:rFonts w:hint="eastAsia" w:ascii="宋体" w:hAnsi="宋体" w:eastAsia="宋体" w:cs="宋体"/>
          <w:b/>
          <w:bCs/>
          <w:color w:val="000000" w:themeColor="text1"/>
          <w:sz w:val="24"/>
          <w14:textFill>
            <w14:solidFill>
              <w14:schemeClr w14:val="tx1"/>
            </w14:solidFill>
          </w14:textFill>
        </w:rPr>
        <w:t xml:space="preserve">  生产工艺及设备设施安全检查表</w:t>
      </w:r>
    </w:p>
    <w:tbl>
      <w:tblPr>
        <w:tblStyle w:val="24"/>
        <w:tblW w:w="89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3235"/>
        <w:gridCol w:w="2140"/>
        <w:gridCol w:w="2070"/>
        <w:gridCol w:w="845"/>
      </w:tblGrid>
      <w:tr w14:paraId="4B617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57" w:type="dxa"/>
            <w:vAlign w:val="center"/>
          </w:tcPr>
          <w:p w14:paraId="48A8DCC8">
            <w:pPr>
              <w:adjustRightInd w:val="0"/>
              <w:snapToGrid w:val="0"/>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序号</w:t>
            </w:r>
          </w:p>
        </w:tc>
        <w:tc>
          <w:tcPr>
            <w:tcW w:w="3235" w:type="dxa"/>
            <w:vAlign w:val="center"/>
          </w:tcPr>
          <w:p w14:paraId="0B389B03">
            <w:pPr>
              <w:adjustRightInd w:val="0"/>
              <w:snapToGrid w:val="0"/>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检查内容</w:t>
            </w:r>
          </w:p>
        </w:tc>
        <w:tc>
          <w:tcPr>
            <w:tcW w:w="2140" w:type="dxa"/>
            <w:vAlign w:val="center"/>
          </w:tcPr>
          <w:p w14:paraId="0C0063E0">
            <w:pPr>
              <w:adjustRightInd w:val="0"/>
              <w:snapToGrid w:val="0"/>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依据标准</w:t>
            </w:r>
          </w:p>
        </w:tc>
        <w:tc>
          <w:tcPr>
            <w:tcW w:w="2070" w:type="dxa"/>
            <w:vAlign w:val="center"/>
          </w:tcPr>
          <w:p w14:paraId="24C054AE">
            <w:pPr>
              <w:adjustRightInd w:val="0"/>
              <w:snapToGrid w:val="0"/>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检查情况</w:t>
            </w:r>
          </w:p>
        </w:tc>
        <w:tc>
          <w:tcPr>
            <w:tcW w:w="845" w:type="dxa"/>
            <w:vAlign w:val="center"/>
          </w:tcPr>
          <w:p w14:paraId="4A14C9DE">
            <w:pPr>
              <w:adjustRightInd w:val="0"/>
              <w:snapToGrid w:val="0"/>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结论</w:t>
            </w:r>
          </w:p>
        </w:tc>
      </w:tr>
      <w:tr w14:paraId="0952C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Align w:val="center"/>
          </w:tcPr>
          <w:p w14:paraId="7765E4CF">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vAlign w:val="center"/>
          </w:tcPr>
          <w:p w14:paraId="5E4E6649">
            <w:pPr>
              <w:autoSpaceDE w:val="0"/>
              <w:autoSpaceDN w:val="0"/>
              <w:adjustRightInd w:val="0"/>
              <w:snapToGrid w:val="0"/>
              <w:spacing w:line="300" w:lineRule="exact"/>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生产经营单位不得使用应当淘汰的危及生产安全的工艺、设备。</w:t>
            </w:r>
          </w:p>
        </w:tc>
        <w:tc>
          <w:tcPr>
            <w:tcW w:w="2140" w:type="dxa"/>
            <w:vAlign w:val="center"/>
          </w:tcPr>
          <w:p w14:paraId="0EAA3325">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《中华人民共和国安全生产法》（中华人民共和国主席令第88号，2021年修订）</w:t>
            </w:r>
          </w:p>
          <w:p w14:paraId="32FF2D84">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第三十八条</w:t>
            </w:r>
          </w:p>
        </w:tc>
        <w:tc>
          <w:tcPr>
            <w:tcW w:w="2070" w:type="dxa"/>
            <w:vAlign w:val="center"/>
          </w:tcPr>
          <w:p w14:paraId="2E9F94F3">
            <w:pPr>
              <w:adjustRightInd w:val="0"/>
              <w:snapToGrid w:val="0"/>
              <w:spacing w:line="300" w:lineRule="exac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没有使用国家明令淘汰、禁止使用的危及生产安全的工艺、设备</w:t>
            </w:r>
            <w:r>
              <w:rPr>
                <w:rFonts w:hint="eastAsia" w:ascii="宋体" w:hAnsi="宋体" w:eastAsia="宋体" w:cs="宋体"/>
                <w:snapToGrid w:val="0"/>
                <w:color w:val="000000" w:themeColor="text1"/>
                <w:kern w:val="0"/>
                <w:sz w:val="21"/>
                <w:szCs w:val="21"/>
                <w14:textFill>
                  <w14:solidFill>
                    <w14:schemeClr w14:val="tx1"/>
                  </w14:solidFill>
                </w14:textFill>
              </w:rPr>
              <w:t>。</w:t>
            </w:r>
          </w:p>
        </w:tc>
        <w:tc>
          <w:tcPr>
            <w:tcW w:w="845" w:type="dxa"/>
            <w:vAlign w:val="center"/>
          </w:tcPr>
          <w:p w14:paraId="2806BE13">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6A540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Align w:val="center"/>
          </w:tcPr>
          <w:p w14:paraId="1107A0C2">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vAlign w:val="center"/>
          </w:tcPr>
          <w:p w14:paraId="20D3FE3C">
            <w:pPr>
              <w:adjustRightInd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对工艺、作业和施工过程的控制、检测系统的要求：</w:t>
            </w:r>
          </w:p>
          <w:p w14:paraId="10A68E9B">
            <w:pPr>
              <w:adjustRightInd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a）对事故后果严重的生产过程，应按冗余原则，设计备用装置或备用系统，并能保证在出现危险时能自动转换到备用装置或备用系统；</w:t>
            </w:r>
          </w:p>
          <w:p w14:paraId="0590DA2F">
            <w:pPr>
              <w:adjustRightInd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b）各种仪器、仪表、监测记录装置等，必须选用合理，灵敏可靠，易于辨识。</w:t>
            </w:r>
          </w:p>
        </w:tc>
        <w:tc>
          <w:tcPr>
            <w:tcW w:w="2140" w:type="dxa"/>
            <w:vAlign w:val="center"/>
          </w:tcPr>
          <w:p w14:paraId="2DBA1FF1">
            <w:pPr>
              <w:adjustRightInd w:val="0"/>
              <w:snapToGrid w:val="0"/>
              <w:spacing w:line="300" w:lineRule="exact"/>
              <w:contextualSpacing/>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《生产过程安全卫生要求总则》</w:t>
            </w:r>
            <w:r>
              <w:rPr>
                <w:rFonts w:hint="eastAsia" w:ascii="宋体" w:hAnsi="宋体" w:eastAsia="宋体" w:cs="宋体"/>
                <w:color w:val="000000" w:themeColor="text1"/>
                <w:sz w:val="21"/>
                <w:szCs w:val="21"/>
                <w14:textFill>
                  <w14:solidFill>
                    <w14:schemeClr w14:val="tx1"/>
                  </w14:solidFill>
                </w14:textFill>
              </w:rPr>
              <w:br w:type="textWrapping"/>
            </w:r>
            <w:r>
              <w:rPr>
                <w:rFonts w:hint="eastAsia" w:ascii="宋体" w:hAnsi="宋体" w:eastAsia="宋体" w:cs="宋体"/>
                <w:color w:val="000000" w:themeColor="text1"/>
                <w:sz w:val="21"/>
                <w:szCs w:val="21"/>
                <w14:textFill>
                  <w14:solidFill>
                    <w14:schemeClr w14:val="tx1"/>
                  </w14:solidFill>
                </w14:textFill>
              </w:rPr>
              <w:t>（GB/ T12801-2008）第5.3.2条</w:t>
            </w:r>
          </w:p>
        </w:tc>
        <w:tc>
          <w:tcPr>
            <w:tcW w:w="2070" w:type="dxa"/>
            <w:vAlign w:val="center"/>
          </w:tcPr>
          <w:p w14:paraId="735D7094">
            <w:pPr>
              <w:adjustRightInd w:val="0"/>
              <w:snapToGrid w:val="0"/>
              <w:spacing w:line="300" w:lineRule="exact"/>
              <w:contextualSpacing/>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工艺、作业满足以上要求。</w:t>
            </w:r>
          </w:p>
        </w:tc>
        <w:tc>
          <w:tcPr>
            <w:tcW w:w="845" w:type="dxa"/>
            <w:vAlign w:val="center"/>
          </w:tcPr>
          <w:p w14:paraId="69233C74">
            <w:pPr>
              <w:adjustRightInd w:val="0"/>
              <w:snapToGrid w:val="0"/>
              <w:spacing w:line="300" w:lineRule="exact"/>
              <w:contextualSpacing/>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7A68B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Align w:val="center"/>
          </w:tcPr>
          <w:p w14:paraId="729D1F11">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vAlign w:val="center"/>
          </w:tcPr>
          <w:p w14:paraId="4ECD437A">
            <w:pPr>
              <w:adjustRightInd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配置设备、设施、管线、电缆和组织作业区的基本要求</w:t>
            </w:r>
          </w:p>
          <w:p w14:paraId="7F31A457">
            <w:pPr>
              <w:adjustRightInd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a）在生产厂房和作业场地上配置的生产设备、设施、管线、电缆以及堆放的生产物料、产品和剩余物料，不应对人员、生产和运输造成危险和有害影响；</w:t>
            </w:r>
          </w:p>
          <w:p w14:paraId="20EE3B8A">
            <w:pPr>
              <w:adjustRightInd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b）各设备之间，管线之间，以及设备、管线与厂房、建（构）筑物的墙壁之间的距离，均应符合有关设计和建筑规范要求；</w:t>
            </w:r>
          </w:p>
          <w:p w14:paraId="2EF31680">
            <w:pPr>
              <w:adjustRightInd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c）在设备、设施、管线上需要人员操作、监察和维修，并有发生高处坠落危险的部位，应配置扶梯、平台、围栏和系挂装置等附属设施。</w:t>
            </w:r>
          </w:p>
        </w:tc>
        <w:tc>
          <w:tcPr>
            <w:tcW w:w="2140" w:type="dxa"/>
            <w:vAlign w:val="center"/>
          </w:tcPr>
          <w:p w14:paraId="22532EC3">
            <w:pPr>
              <w:adjustRightInd w:val="0"/>
              <w:snapToGrid w:val="0"/>
              <w:spacing w:line="300" w:lineRule="exact"/>
              <w:contextualSpacing/>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《生产过程安全卫生要求总则》</w:t>
            </w:r>
            <w:r>
              <w:rPr>
                <w:rFonts w:hint="eastAsia" w:ascii="宋体" w:hAnsi="宋体" w:eastAsia="宋体" w:cs="宋体"/>
                <w:color w:val="000000" w:themeColor="text1"/>
                <w:sz w:val="21"/>
                <w:szCs w:val="21"/>
                <w14:textFill>
                  <w14:solidFill>
                    <w14:schemeClr w14:val="tx1"/>
                  </w14:solidFill>
                </w14:textFill>
              </w:rPr>
              <w:br w:type="textWrapping"/>
            </w:r>
            <w:r>
              <w:rPr>
                <w:rFonts w:hint="eastAsia" w:ascii="宋体" w:hAnsi="宋体" w:eastAsia="宋体" w:cs="宋体"/>
                <w:color w:val="000000" w:themeColor="text1"/>
                <w:sz w:val="21"/>
                <w:szCs w:val="21"/>
                <w14:textFill>
                  <w14:solidFill>
                    <w14:schemeClr w14:val="tx1"/>
                  </w14:solidFill>
                </w14:textFill>
              </w:rPr>
              <w:t>（GB/T 12801-2008）第5.7.1条</w:t>
            </w:r>
          </w:p>
        </w:tc>
        <w:tc>
          <w:tcPr>
            <w:tcW w:w="2070" w:type="dxa"/>
            <w:vAlign w:val="center"/>
          </w:tcPr>
          <w:p w14:paraId="1CEE9DE9">
            <w:pPr>
              <w:adjustRightInd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配置设备、设施、管线、电缆和组织作业区满足要求。</w:t>
            </w:r>
          </w:p>
        </w:tc>
        <w:tc>
          <w:tcPr>
            <w:tcW w:w="845" w:type="dxa"/>
            <w:vAlign w:val="center"/>
          </w:tcPr>
          <w:p w14:paraId="360AA743">
            <w:pPr>
              <w:adjustRightInd w:val="0"/>
              <w:snapToGrid w:val="0"/>
              <w:spacing w:line="300" w:lineRule="exact"/>
              <w:contextualSpacing/>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349C3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Align w:val="center"/>
          </w:tcPr>
          <w:p w14:paraId="4B0694CA">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vAlign w:val="center"/>
          </w:tcPr>
          <w:p w14:paraId="55E84AAA">
            <w:pPr>
              <w:adjustRightInd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设备布置的原则：</w:t>
            </w:r>
          </w:p>
          <w:p w14:paraId="3DFF4403">
            <w:pPr>
              <w:adjustRightInd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a）便于操作和维护；</w:t>
            </w:r>
          </w:p>
          <w:p w14:paraId="57D02854">
            <w:pPr>
              <w:adjustRightInd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b）发生火灾或出现紧急情况时，便于人员撤离；</w:t>
            </w:r>
          </w:p>
          <w:p w14:paraId="13015AA5">
            <w:pPr>
              <w:adjustRightInd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c）尽量避免生产装置之间危害因素的相互影响，减小对人员的综合作用；</w:t>
            </w:r>
          </w:p>
          <w:p w14:paraId="672EA6E0">
            <w:pPr>
              <w:adjustRightInd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d）布置具有潜在危险的设备时，应根据有关规定进行分散和隔离，并设置必要的提示、标志和警告信号；</w:t>
            </w:r>
          </w:p>
          <w:p w14:paraId="20E152E7">
            <w:pPr>
              <w:adjustRightInd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e）对振动、爆炸敏感的设备，应进行隔离或设置屏蔽、防护墙、减振设施等；</w:t>
            </w:r>
          </w:p>
          <w:p w14:paraId="2E8B8C94">
            <w:pPr>
              <w:adjustRightInd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f） 设备的噪声超过有关标准规定时，应予以隔离；</w:t>
            </w:r>
          </w:p>
          <w:p w14:paraId="47A080C4">
            <w:pPr>
              <w:adjustRightInd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g）加热设备及反应釜等的作业孔、操纵器、观察孔等应有防护设施；作业区的热辐射强度不应超过有关规定。</w:t>
            </w:r>
          </w:p>
        </w:tc>
        <w:tc>
          <w:tcPr>
            <w:tcW w:w="2140" w:type="dxa"/>
            <w:vAlign w:val="center"/>
          </w:tcPr>
          <w:p w14:paraId="11A70F4A">
            <w:pPr>
              <w:adjustRightInd w:val="0"/>
              <w:snapToGrid w:val="0"/>
              <w:spacing w:line="300" w:lineRule="exact"/>
              <w:contextualSpacing/>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《生产过程安全卫生要求总则》</w:t>
            </w:r>
            <w:r>
              <w:rPr>
                <w:rFonts w:hint="eastAsia" w:ascii="宋体" w:hAnsi="宋体" w:eastAsia="宋体" w:cs="宋体"/>
                <w:color w:val="000000" w:themeColor="text1"/>
                <w:sz w:val="21"/>
                <w:szCs w:val="21"/>
                <w14:textFill>
                  <w14:solidFill>
                    <w14:schemeClr w14:val="tx1"/>
                  </w14:solidFill>
                </w14:textFill>
              </w:rPr>
              <w:br w:type="textWrapping"/>
            </w:r>
            <w:r>
              <w:rPr>
                <w:rFonts w:hint="eastAsia" w:ascii="宋体" w:hAnsi="宋体" w:eastAsia="宋体" w:cs="宋体"/>
                <w:color w:val="000000" w:themeColor="text1"/>
                <w:sz w:val="21"/>
                <w:szCs w:val="21"/>
                <w14:textFill>
                  <w14:solidFill>
                    <w14:schemeClr w14:val="tx1"/>
                  </w14:solidFill>
                </w14:textFill>
              </w:rPr>
              <w:t>（GB/T 12801-2008）第5.7.2条</w:t>
            </w:r>
          </w:p>
        </w:tc>
        <w:tc>
          <w:tcPr>
            <w:tcW w:w="2070" w:type="dxa"/>
            <w:vAlign w:val="center"/>
          </w:tcPr>
          <w:p w14:paraId="02C333DF">
            <w:pPr>
              <w:adjustRightInd w:val="0"/>
              <w:snapToGrid w:val="0"/>
              <w:spacing w:line="300" w:lineRule="exact"/>
              <w:contextualSpacing/>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该项目均选用低噪声设备，周围没有对振动要求高</w:t>
            </w:r>
            <w:r>
              <w:rPr>
                <w:rFonts w:hint="eastAsia" w:ascii="宋体" w:hAnsi="宋体" w:eastAsia="宋体" w:cs="宋体"/>
                <w:color w:val="000000" w:themeColor="text1"/>
                <w:sz w:val="21"/>
                <w:szCs w:val="21"/>
                <w:lang w:val="en-US" w:eastAsia="zh-CN"/>
                <w14:textFill>
                  <w14:solidFill>
                    <w14:schemeClr w14:val="tx1"/>
                  </w14:solidFill>
                </w14:textFill>
              </w:rPr>
              <w:t>的</w:t>
            </w:r>
            <w:r>
              <w:rPr>
                <w:rFonts w:hint="eastAsia" w:ascii="宋体" w:hAnsi="宋体" w:eastAsia="宋体" w:cs="宋体"/>
                <w:color w:val="000000" w:themeColor="text1"/>
                <w:sz w:val="21"/>
                <w:szCs w:val="21"/>
                <w14:textFill>
                  <w14:solidFill>
                    <w14:schemeClr w14:val="tx1"/>
                  </w14:solidFill>
                </w14:textFill>
              </w:rPr>
              <w:t>设备，均按相关要求规定进行布置，有足够的操作空间；设置了2个紧急出入口，发生事故便于人员撤离。</w:t>
            </w:r>
          </w:p>
        </w:tc>
        <w:tc>
          <w:tcPr>
            <w:tcW w:w="845" w:type="dxa"/>
            <w:vAlign w:val="center"/>
          </w:tcPr>
          <w:p w14:paraId="49DD316E">
            <w:pPr>
              <w:adjustRightInd w:val="0"/>
              <w:snapToGrid w:val="0"/>
              <w:spacing w:line="300" w:lineRule="exact"/>
              <w:contextualSpacing/>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3AE5F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Align w:val="center"/>
          </w:tcPr>
          <w:p w14:paraId="5642C1DC">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vAlign w:val="center"/>
          </w:tcPr>
          <w:p w14:paraId="0B0B479E">
            <w:pPr>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企业应按照GB11651和国家颁发的劳动防护用品配备标准和有关规定，为从业人员配备劳动防护用品。</w:t>
            </w:r>
          </w:p>
        </w:tc>
        <w:tc>
          <w:tcPr>
            <w:tcW w:w="2140" w:type="dxa"/>
            <w:vAlign w:val="center"/>
          </w:tcPr>
          <w:p w14:paraId="03415D88">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《生产过程安全卫生要求总则》</w:t>
            </w:r>
            <w:r>
              <w:rPr>
                <w:rFonts w:hint="eastAsia" w:ascii="宋体" w:hAnsi="宋体" w:eastAsia="宋体" w:cs="宋体"/>
                <w:color w:val="000000" w:themeColor="text1"/>
                <w:sz w:val="21"/>
                <w:szCs w:val="21"/>
                <w14:textFill>
                  <w14:solidFill>
                    <w14:schemeClr w14:val="tx1"/>
                  </w14:solidFill>
                </w14:textFill>
              </w:rPr>
              <w:br w:type="textWrapping"/>
            </w:r>
            <w:r>
              <w:rPr>
                <w:rFonts w:hint="eastAsia" w:ascii="宋体" w:hAnsi="宋体" w:eastAsia="宋体" w:cs="宋体"/>
                <w:color w:val="000000" w:themeColor="text1"/>
                <w:sz w:val="21"/>
                <w:szCs w:val="21"/>
                <w14:textFill>
                  <w14:solidFill>
                    <w14:schemeClr w14:val="tx1"/>
                  </w14:solidFill>
                </w14:textFill>
              </w:rPr>
              <w:t>（GB/T 12801-2008）第6.2.1条</w:t>
            </w:r>
          </w:p>
        </w:tc>
        <w:tc>
          <w:tcPr>
            <w:tcW w:w="2070" w:type="dxa"/>
            <w:vAlign w:val="center"/>
          </w:tcPr>
          <w:p w14:paraId="07BCB401">
            <w:pPr>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企业向从业人员定期发放劳动防护用品。</w:t>
            </w:r>
          </w:p>
        </w:tc>
        <w:tc>
          <w:tcPr>
            <w:tcW w:w="845" w:type="dxa"/>
            <w:vAlign w:val="center"/>
          </w:tcPr>
          <w:p w14:paraId="7FF85418">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64ECF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Align w:val="center"/>
          </w:tcPr>
          <w:p w14:paraId="564C1DF5">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vAlign w:val="center"/>
          </w:tcPr>
          <w:p w14:paraId="7310FB0F">
            <w:pPr>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具有火灾危险的工作过程，应综合考虑防火防爆措施和报警系统，合理选择和配置消防设施。</w:t>
            </w:r>
          </w:p>
        </w:tc>
        <w:tc>
          <w:tcPr>
            <w:tcW w:w="2140" w:type="dxa"/>
            <w:vAlign w:val="center"/>
          </w:tcPr>
          <w:p w14:paraId="47B78025">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《生产过程安全卫生要求总则》（GB12801-2008）</w:t>
            </w:r>
          </w:p>
          <w:p w14:paraId="4BED833C">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第6.3.1条</w:t>
            </w:r>
          </w:p>
        </w:tc>
        <w:tc>
          <w:tcPr>
            <w:tcW w:w="2070" w:type="dxa"/>
            <w:vAlign w:val="center"/>
          </w:tcPr>
          <w:p w14:paraId="5A0C5CC6">
            <w:pPr>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w:t>
            </w:r>
            <w:r>
              <w:rPr>
                <w:rFonts w:hint="eastAsia" w:ascii="宋体" w:hAnsi="宋体" w:eastAsia="宋体" w:cs="宋体"/>
                <w:color w:val="000000" w:themeColor="text1"/>
                <w:sz w:val="21"/>
                <w:szCs w:val="21"/>
                <w:lang w:val="en-US" w:eastAsia="zh-CN"/>
                <w14:textFill>
                  <w14:solidFill>
                    <w14:schemeClr w14:val="tx1"/>
                  </w14:solidFill>
                </w14:textFill>
              </w:rPr>
              <w:t>生产区</w:t>
            </w:r>
            <w:r>
              <w:rPr>
                <w:rFonts w:hint="eastAsia" w:ascii="宋体" w:hAnsi="宋体" w:eastAsia="宋体" w:cs="宋体"/>
                <w:color w:val="000000" w:themeColor="text1"/>
                <w:sz w:val="21"/>
                <w:szCs w:val="21"/>
                <w14:textFill>
                  <w14:solidFill>
                    <w14:schemeClr w14:val="tx1"/>
                  </w14:solidFill>
                </w14:textFill>
              </w:rPr>
              <w:t>、办公室等区域配备了灭火器。</w:t>
            </w:r>
          </w:p>
        </w:tc>
        <w:tc>
          <w:tcPr>
            <w:tcW w:w="845" w:type="dxa"/>
            <w:vAlign w:val="center"/>
          </w:tcPr>
          <w:p w14:paraId="19351F7D">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7E3C8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Align w:val="center"/>
          </w:tcPr>
          <w:p w14:paraId="0372890E">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vAlign w:val="center"/>
          </w:tcPr>
          <w:p w14:paraId="6277D940">
            <w:pPr>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生产设备(包括零部件)应有符合产品安全性能的力学特性、稳定性和可靠性。在按规定条件制</w:t>
            </w:r>
          </w:p>
          <w:p w14:paraId="78D96BE4">
            <w:pPr>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造、运输、储存、安装、使用和拆除时，不应对人员造成危害。</w:t>
            </w:r>
          </w:p>
        </w:tc>
        <w:tc>
          <w:tcPr>
            <w:tcW w:w="2140" w:type="dxa"/>
            <w:vAlign w:val="center"/>
          </w:tcPr>
          <w:p w14:paraId="10C51E89">
            <w:pPr>
              <w:pStyle w:val="45"/>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《生产设备安全卫生设计总则》（GB5083-2023）第4.2条</w:t>
            </w:r>
          </w:p>
        </w:tc>
        <w:tc>
          <w:tcPr>
            <w:tcW w:w="2070" w:type="dxa"/>
            <w:vAlign w:val="center"/>
          </w:tcPr>
          <w:p w14:paraId="28CDC02F">
            <w:pPr>
              <w:pStyle w:val="45"/>
              <w:overflowPunct w:val="0"/>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该项目生产设备均通过具有生产资质的厂家采购，设备有产品合格证，各设备危险点均采取了相应防护措施。</w:t>
            </w:r>
          </w:p>
        </w:tc>
        <w:tc>
          <w:tcPr>
            <w:tcW w:w="845" w:type="dxa"/>
            <w:vAlign w:val="center"/>
          </w:tcPr>
          <w:p w14:paraId="3E305F6C">
            <w:pPr>
              <w:snapToGrid w:val="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71C99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Align w:val="center"/>
          </w:tcPr>
          <w:p w14:paraId="02384FE3">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shd w:val="clear" w:color="auto" w:fill="auto"/>
            <w:vAlign w:val="center"/>
          </w:tcPr>
          <w:p w14:paraId="31B63D95">
            <w:pPr>
              <w:adjustRightInd w:val="0"/>
              <w:snapToGrid w:val="0"/>
              <w:spacing w:line="300" w:lineRule="exact"/>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生产设备不应在振动、风载荷或其他外载荷作用下倾覆或产生允许范围外的运动或位移。</w:t>
            </w:r>
          </w:p>
        </w:tc>
        <w:tc>
          <w:tcPr>
            <w:tcW w:w="2140" w:type="dxa"/>
            <w:shd w:val="clear" w:color="auto" w:fill="auto"/>
            <w:vAlign w:val="center"/>
          </w:tcPr>
          <w:p w14:paraId="3C41FF07">
            <w:pPr>
              <w:pStyle w:val="45"/>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《生产设备安全卫生设计总则》（GB5083-2023）</w:t>
            </w:r>
          </w:p>
          <w:p w14:paraId="29318B38">
            <w:pPr>
              <w:pStyle w:val="45"/>
              <w:overflowPunct w:val="0"/>
              <w:snapToGrid w:val="0"/>
              <w:jc w:val="center"/>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第5.3.1条</w:t>
            </w:r>
          </w:p>
        </w:tc>
        <w:tc>
          <w:tcPr>
            <w:tcW w:w="2070" w:type="dxa"/>
            <w:shd w:val="clear" w:color="auto" w:fill="auto"/>
            <w:vAlign w:val="center"/>
          </w:tcPr>
          <w:p w14:paraId="71A054F0">
            <w:pPr>
              <w:pStyle w:val="45"/>
              <w:overflowPunct w:val="0"/>
              <w:snapToGrid w:val="0"/>
              <w:jc w:val="both"/>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生产设备没有在上述条件下运动。</w:t>
            </w:r>
          </w:p>
        </w:tc>
        <w:tc>
          <w:tcPr>
            <w:tcW w:w="845" w:type="dxa"/>
            <w:shd w:val="clear" w:color="auto" w:fill="auto"/>
            <w:vAlign w:val="center"/>
          </w:tcPr>
          <w:p w14:paraId="2AC63EE3">
            <w:pPr>
              <w:pStyle w:val="45"/>
              <w:overflowPunct w:val="0"/>
              <w:snapToGrid w:val="0"/>
              <w:jc w:val="center"/>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73BC6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Align w:val="center"/>
          </w:tcPr>
          <w:p w14:paraId="7AAA4988">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shd w:val="clear" w:color="auto" w:fill="auto"/>
            <w:vAlign w:val="center"/>
          </w:tcPr>
          <w:p w14:paraId="25D42213">
            <w:pPr>
              <w:pStyle w:val="45"/>
              <w:overflowPunct w:val="0"/>
              <w:snapToGrid w:val="0"/>
              <w:jc w:val="both"/>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生产设备的控制装置不应使用联锁装置代替控制开关执行常规机械功能。</w:t>
            </w:r>
          </w:p>
        </w:tc>
        <w:tc>
          <w:tcPr>
            <w:tcW w:w="2140" w:type="dxa"/>
            <w:shd w:val="clear" w:color="auto" w:fill="auto"/>
            <w:vAlign w:val="center"/>
          </w:tcPr>
          <w:p w14:paraId="6AA8F61D">
            <w:pPr>
              <w:pStyle w:val="45"/>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《生产设备安全卫生设计总则》（GB5083-2023）</w:t>
            </w:r>
          </w:p>
          <w:p w14:paraId="4459E31E">
            <w:pPr>
              <w:pStyle w:val="45"/>
              <w:overflowPunct w:val="0"/>
              <w:snapToGrid w:val="0"/>
              <w:jc w:val="center"/>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第5.6.2.9条</w:t>
            </w:r>
          </w:p>
        </w:tc>
        <w:tc>
          <w:tcPr>
            <w:tcW w:w="2070" w:type="dxa"/>
            <w:shd w:val="clear" w:color="auto" w:fill="auto"/>
            <w:vAlign w:val="center"/>
          </w:tcPr>
          <w:p w14:paraId="534AD537">
            <w:pPr>
              <w:pStyle w:val="45"/>
              <w:overflowPunct w:val="0"/>
              <w:snapToGrid w:val="0"/>
              <w:jc w:val="both"/>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生产设备的控制开关为手动开关。</w:t>
            </w:r>
          </w:p>
        </w:tc>
        <w:tc>
          <w:tcPr>
            <w:tcW w:w="845" w:type="dxa"/>
            <w:shd w:val="clear" w:color="auto" w:fill="auto"/>
            <w:vAlign w:val="center"/>
          </w:tcPr>
          <w:p w14:paraId="7F4FCB3B">
            <w:pPr>
              <w:pStyle w:val="45"/>
              <w:overflowPunct w:val="0"/>
              <w:snapToGrid w:val="0"/>
              <w:jc w:val="center"/>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73F9B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Align w:val="center"/>
          </w:tcPr>
          <w:p w14:paraId="5B7D9686">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lang w:val="en-US" w:eastAsia="zh-CN" w:bidi="ar-SA"/>
                <w14:textFill>
                  <w14:solidFill>
                    <w14:schemeClr w14:val="tx1"/>
                  </w14:solidFill>
                </w14:textFill>
              </w:rPr>
            </w:pPr>
          </w:p>
        </w:tc>
        <w:tc>
          <w:tcPr>
            <w:tcW w:w="3235" w:type="dxa"/>
            <w:shd w:val="clear" w:color="auto" w:fill="auto"/>
            <w:vAlign w:val="center"/>
          </w:tcPr>
          <w:p w14:paraId="2D8696F2">
            <w:pPr>
              <w:pStyle w:val="45"/>
              <w:overflowPunct w:val="0"/>
              <w:snapToGrid w:val="0"/>
              <w:jc w:val="both"/>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生产设备上供人员作业的操作位置应安全可靠，并应满足人机交互功能的要求。其工作空间应保证作业人员的身体各部位在作业中可正常活动。危险作业点应留有安全退避空间。</w:t>
            </w:r>
          </w:p>
        </w:tc>
        <w:tc>
          <w:tcPr>
            <w:tcW w:w="2140" w:type="dxa"/>
            <w:shd w:val="clear" w:color="auto" w:fill="auto"/>
            <w:vAlign w:val="center"/>
          </w:tcPr>
          <w:p w14:paraId="3A93B141">
            <w:pPr>
              <w:pStyle w:val="45"/>
              <w:overflowPunct w:val="0"/>
              <w:snapToGrid w:val="0"/>
              <w:jc w:val="center"/>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《生产设备安全卫生设计总则》（GB5083-2023）第5.7.1条</w:t>
            </w:r>
          </w:p>
        </w:tc>
        <w:tc>
          <w:tcPr>
            <w:tcW w:w="2070" w:type="dxa"/>
            <w:shd w:val="clear" w:color="auto" w:fill="auto"/>
            <w:vAlign w:val="center"/>
          </w:tcPr>
          <w:p w14:paraId="7B9900AD">
            <w:pPr>
              <w:pStyle w:val="45"/>
              <w:overflowPunct w:val="0"/>
              <w:snapToGrid w:val="0"/>
              <w:jc w:val="both"/>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设备工作空间可以保证操作人员的头、臂、手、腿、足在正常作业中有充分的活动余地。</w:t>
            </w:r>
          </w:p>
        </w:tc>
        <w:tc>
          <w:tcPr>
            <w:tcW w:w="845" w:type="dxa"/>
            <w:shd w:val="clear" w:color="auto" w:fill="auto"/>
            <w:vAlign w:val="center"/>
          </w:tcPr>
          <w:p w14:paraId="5D4FD08B">
            <w:pPr>
              <w:pStyle w:val="45"/>
              <w:overflowPunct w:val="0"/>
              <w:snapToGrid w:val="0"/>
              <w:jc w:val="center"/>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6094C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Align w:val="center"/>
          </w:tcPr>
          <w:p w14:paraId="0DEE2BFC">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shd w:val="clear" w:color="auto" w:fill="auto"/>
            <w:vAlign w:val="center"/>
          </w:tcPr>
          <w:p w14:paraId="31E3DFD4">
            <w:pPr>
              <w:pStyle w:val="45"/>
              <w:overflowPunct w:val="0"/>
              <w:snapToGrid w:val="0"/>
              <w:jc w:val="both"/>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生产设备的操作点和操作区域应防止各种频闪效应和眩光现象,其照明设计应按GB50034 的规定执行。生产设备本体照明设计应符合视觉工效学原则。</w:t>
            </w:r>
          </w:p>
        </w:tc>
        <w:tc>
          <w:tcPr>
            <w:tcW w:w="2140" w:type="dxa"/>
            <w:shd w:val="clear" w:color="auto" w:fill="auto"/>
            <w:vAlign w:val="center"/>
          </w:tcPr>
          <w:p w14:paraId="2C7EE0DC">
            <w:pPr>
              <w:pStyle w:val="45"/>
              <w:overflowPunct w:val="0"/>
              <w:snapToGrid w:val="0"/>
              <w:jc w:val="both"/>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《生产设备安全卫生设计总则》（GB5083-2023）第5.8.1条</w:t>
            </w:r>
          </w:p>
        </w:tc>
        <w:tc>
          <w:tcPr>
            <w:tcW w:w="2070" w:type="dxa"/>
            <w:shd w:val="clear" w:color="auto" w:fill="auto"/>
            <w:vAlign w:val="center"/>
          </w:tcPr>
          <w:p w14:paraId="1A45A3BD">
            <w:pPr>
              <w:pStyle w:val="45"/>
              <w:overflowPunct w:val="0"/>
              <w:snapToGrid w:val="0"/>
              <w:jc w:val="both"/>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生产车间安装照明设施。</w:t>
            </w:r>
          </w:p>
        </w:tc>
        <w:tc>
          <w:tcPr>
            <w:tcW w:w="845" w:type="dxa"/>
            <w:shd w:val="clear" w:color="auto" w:fill="auto"/>
            <w:vAlign w:val="center"/>
          </w:tcPr>
          <w:p w14:paraId="6615E7AC">
            <w:pPr>
              <w:pStyle w:val="45"/>
              <w:overflowPunct w:val="0"/>
              <w:snapToGrid w:val="0"/>
              <w:jc w:val="both"/>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符合</w:t>
            </w:r>
          </w:p>
        </w:tc>
      </w:tr>
      <w:tr w14:paraId="17CED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Align w:val="center"/>
          </w:tcPr>
          <w:p w14:paraId="3674AB0A">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shd w:val="clear" w:color="auto" w:fill="auto"/>
            <w:vAlign w:val="center"/>
          </w:tcPr>
          <w:p w14:paraId="2511ECFC">
            <w:pPr>
              <w:pStyle w:val="46"/>
              <w:overflowPunct w:val="0"/>
              <w:snapToGrid w:val="0"/>
              <w:spacing w:line="300" w:lineRule="exact"/>
              <w:jc w:val="both"/>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生产设备运行时可能触及并易造成人身伤害的可动零部件应配置安全卫生防护装置。</w:t>
            </w:r>
          </w:p>
        </w:tc>
        <w:tc>
          <w:tcPr>
            <w:tcW w:w="2140" w:type="dxa"/>
            <w:shd w:val="clear" w:color="auto" w:fill="auto"/>
            <w:vAlign w:val="center"/>
          </w:tcPr>
          <w:p w14:paraId="076A0937">
            <w:pPr>
              <w:pStyle w:val="46"/>
              <w:overflowPunct w:val="0"/>
              <w:snapToGrid w:val="0"/>
              <w:spacing w:line="300" w:lineRule="exact"/>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《生产设备安全卫生设计总则》（GB5083-2023）</w:t>
            </w:r>
          </w:p>
          <w:p w14:paraId="3BE39F34">
            <w:pPr>
              <w:pStyle w:val="46"/>
              <w:overflowPunct w:val="0"/>
              <w:snapToGrid w:val="0"/>
              <w:spacing w:line="300" w:lineRule="exact"/>
              <w:jc w:val="both"/>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第6.1.1条</w:t>
            </w:r>
          </w:p>
        </w:tc>
        <w:tc>
          <w:tcPr>
            <w:tcW w:w="2070" w:type="dxa"/>
            <w:shd w:val="clear" w:color="auto" w:fill="auto"/>
            <w:vAlign w:val="center"/>
          </w:tcPr>
          <w:p w14:paraId="32F49D5D">
            <w:pPr>
              <w:overflowPunct w:val="0"/>
              <w:snapToGrid w:val="0"/>
              <w:spacing w:line="300" w:lineRule="exact"/>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各设备存在危险的部位均设置了防护网、罩防护。</w:t>
            </w:r>
          </w:p>
        </w:tc>
        <w:tc>
          <w:tcPr>
            <w:tcW w:w="845" w:type="dxa"/>
            <w:shd w:val="clear" w:color="auto" w:fill="auto"/>
            <w:vAlign w:val="center"/>
          </w:tcPr>
          <w:p w14:paraId="553DD881">
            <w:pPr>
              <w:overflowPunct w:val="0"/>
              <w:snapToGrid w:val="0"/>
              <w:spacing w:line="300" w:lineRule="exact"/>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382A1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Align w:val="center"/>
          </w:tcPr>
          <w:p w14:paraId="68046880">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shd w:val="clear" w:color="auto" w:fill="auto"/>
            <w:vAlign w:val="center"/>
          </w:tcPr>
          <w:p w14:paraId="3540336B">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建（构）筑物的通风换气条件，应保证作业环境空气中的危险和有害物质浓度不超过国家卫生标准和防爆规定。</w:t>
            </w:r>
          </w:p>
        </w:tc>
        <w:tc>
          <w:tcPr>
            <w:tcW w:w="2140" w:type="dxa"/>
            <w:shd w:val="clear" w:color="auto" w:fill="auto"/>
            <w:vAlign w:val="center"/>
          </w:tcPr>
          <w:p w14:paraId="5E2A0C40">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《生产过程安全卫生要求总则》 </w:t>
            </w:r>
          </w:p>
          <w:p w14:paraId="792CFA62">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(GB/T 12801-2008)</w:t>
            </w:r>
          </w:p>
          <w:p w14:paraId="7376D887">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5.4.2</w:t>
            </w:r>
          </w:p>
        </w:tc>
        <w:tc>
          <w:tcPr>
            <w:tcW w:w="2070" w:type="dxa"/>
            <w:shd w:val="clear" w:color="auto" w:fill="auto"/>
            <w:vAlign w:val="center"/>
          </w:tcPr>
          <w:p w14:paraId="45A556C6">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厂房和仓库通风条件较好。</w:t>
            </w:r>
          </w:p>
        </w:tc>
        <w:tc>
          <w:tcPr>
            <w:tcW w:w="845" w:type="dxa"/>
            <w:shd w:val="clear" w:color="auto" w:fill="auto"/>
            <w:vAlign w:val="center"/>
          </w:tcPr>
          <w:p w14:paraId="15371A7C">
            <w:pPr>
              <w:pStyle w:val="30"/>
              <w:jc w:val="both"/>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snapToGrid w:val="0"/>
                <w:sz w:val="21"/>
                <w:szCs w:val="21"/>
                <w:lang w:val="en-US" w:eastAsia="zh-CN"/>
              </w:rPr>
              <w:t>符合</w:t>
            </w:r>
          </w:p>
        </w:tc>
      </w:tr>
      <w:tr w14:paraId="71835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Align w:val="center"/>
          </w:tcPr>
          <w:p w14:paraId="18A44402">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shd w:val="clear" w:color="auto" w:fill="auto"/>
            <w:vAlign w:val="center"/>
          </w:tcPr>
          <w:p w14:paraId="1DAA8518">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危险性作业场所，应设置安全通道；应设应急照明、安全标志和疏散指示标志；门窗应向外开启；通道和出口应保持畅通；出入口的设置应符合有关规定。</w:t>
            </w:r>
          </w:p>
        </w:tc>
        <w:tc>
          <w:tcPr>
            <w:tcW w:w="2140" w:type="dxa"/>
            <w:shd w:val="clear" w:color="auto" w:fill="auto"/>
            <w:vAlign w:val="center"/>
          </w:tcPr>
          <w:p w14:paraId="13F59122">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《生产过程安全卫生要求总则》 </w:t>
            </w:r>
          </w:p>
          <w:p w14:paraId="2A7D6216">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(GB/T 12801-2008)</w:t>
            </w:r>
          </w:p>
          <w:p w14:paraId="78ECF40D">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5.4.6</w:t>
            </w:r>
          </w:p>
        </w:tc>
        <w:tc>
          <w:tcPr>
            <w:tcW w:w="2070" w:type="dxa"/>
            <w:shd w:val="clear" w:color="auto" w:fill="auto"/>
            <w:vAlign w:val="center"/>
          </w:tcPr>
          <w:p w14:paraId="7F48A850">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生产车间设置安全出口，车间内设 置的安全通道，满足要求。</w:t>
            </w:r>
          </w:p>
        </w:tc>
        <w:tc>
          <w:tcPr>
            <w:tcW w:w="845" w:type="dxa"/>
            <w:shd w:val="clear" w:color="auto" w:fill="auto"/>
            <w:vAlign w:val="center"/>
          </w:tcPr>
          <w:p w14:paraId="579B92D7">
            <w:pPr>
              <w:pStyle w:val="30"/>
              <w:jc w:val="center"/>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snapToGrid w:val="0"/>
                <w:sz w:val="21"/>
                <w:szCs w:val="21"/>
                <w:lang w:val="en-US" w:eastAsia="zh-CN"/>
              </w:rPr>
              <w:t>符合</w:t>
            </w:r>
          </w:p>
        </w:tc>
      </w:tr>
      <w:tr w14:paraId="1B665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Align w:val="center"/>
          </w:tcPr>
          <w:p w14:paraId="6DE26DC0">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lang w:val="en-US" w:eastAsia="zh-CN" w:bidi="ar-SA"/>
                <w14:textFill>
                  <w14:solidFill>
                    <w14:schemeClr w14:val="tx1"/>
                  </w14:solidFill>
                </w14:textFill>
              </w:rPr>
            </w:pPr>
          </w:p>
        </w:tc>
        <w:tc>
          <w:tcPr>
            <w:tcW w:w="3235" w:type="dxa"/>
            <w:shd w:val="clear" w:color="auto" w:fill="auto"/>
            <w:vAlign w:val="center"/>
          </w:tcPr>
          <w:p w14:paraId="50E534A5">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配置设备、设施、管线、电缆和组织作业区的基本要求：（1）在生产房和作业场地上配置的生产设备、设施、管线、电缆以及堆放的生产物料、产品和剩余物料，不应对人员、生产和运输造成危险和有害影响；（2）各设备之间，管线之间，以及设备、管线与厂房、建（构）筑物的墙壁之间的距离，均应符合有关设计和建筑规范要求；（3）在设备、设施、管线上需要人员操作、检查和维修，并有发生高处坠落危险的部位，应配置扶梯、平台、围栏和系挂装置等附属设施。</w:t>
            </w:r>
          </w:p>
        </w:tc>
        <w:tc>
          <w:tcPr>
            <w:tcW w:w="2140" w:type="dxa"/>
            <w:shd w:val="clear" w:color="auto" w:fill="auto"/>
            <w:vAlign w:val="center"/>
          </w:tcPr>
          <w:p w14:paraId="502B8EEB">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《生产过程安全卫生要求总则》 </w:t>
            </w:r>
          </w:p>
          <w:p w14:paraId="39D9A38D">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(GB/T 12801-2008)</w:t>
            </w:r>
          </w:p>
          <w:p w14:paraId="758ABF87">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5.7.1</w:t>
            </w:r>
          </w:p>
        </w:tc>
        <w:tc>
          <w:tcPr>
            <w:tcW w:w="2070" w:type="dxa"/>
            <w:shd w:val="clear" w:color="auto" w:fill="auto"/>
            <w:vAlign w:val="center"/>
          </w:tcPr>
          <w:p w14:paraId="24BCB207">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该项目在生产厂房和作业场地上配置的生产设备、设施、管线符合有关设计和建筑规范要求， 未对人员、生产和运输造成危险和有 害影响。</w:t>
            </w:r>
          </w:p>
        </w:tc>
        <w:tc>
          <w:tcPr>
            <w:tcW w:w="845" w:type="dxa"/>
            <w:shd w:val="clear" w:color="auto" w:fill="auto"/>
            <w:vAlign w:val="center"/>
          </w:tcPr>
          <w:p w14:paraId="3EA4D64C">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r w14:paraId="4FCF3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7" w:type="dxa"/>
            <w:vAlign w:val="center"/>
          </w:tcPr>
          <w:p w14:paraId="4282A4C9">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shd w:val="clear" w:color="auto" w:fill="auto"/>
            <w:vAlign w:val="center"/>
          </w:tcPr>
          <w:p w14:paraId="3F3F9C2D">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机床的工作场地及通道（例如，阶梯、爬梯、平台及走道）应提供扶手、踏板和必要的防滑地面，尽量减小滑倒、绊倒和跌倒的可能性。</w:t>
            </w:r>
          </w:p>
        </w:tc>
        <w:tc>
          <w:tcPr>
            <w:tcW w:w="2140" w:type="dxa"/>
            <w:shd w:val="clear" w:color="auto" w:fill="auto"/>
            <w:vAlign w:val="center"/>
          </w:tcPr>
          <w:p w14:paraId="24F05762">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《机床安全固定式</w:t>
            </w:r>
          </w:p>
          <w:p w14:paraId="5F6FF515">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磨床》</w:t>
            </w:r>
          </w:p>
          <w:p w14:paraId="00EC0916">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（GB/T40330-2021）</w:t>
            </w:r>
          </w:p>
          <w:p w14:paraId="74E04E89">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 5.15 条</w:t>
            </w:r>
          </w:p>
        </w:tc>
        <w:tc>
          <w:tcPr>
            <w:tcW w:w="2070" w:type="dxa"/>
            <w:shd w:val="clear" w:color="auto" w:fill="auto"/>
            <w:vAlign w:val="center"/>
          </w:tcPr>
          <w:p w14:paraId="63DC0583">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本项目机床设置周边定期清扫，机床本身自带的平台、通道采用波纹地面防滑。</w:t>
            </w:r>
          </w:p>
        </w:tc>
        <w:tc>
          <w:tcPr>
            <w:tcW w:w="845" w:type="dxa"/>
            <w:vAlign w:val="center"/>
          </w:tcPr>
          <w:p w14:paraId="69EE0554">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r w14:paraId="0099A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7" w:type="dxa"/>
            <w:vAlign w:val="center"/>
          </w:tcPr>
          <w:p w14:paraId="43B512D1">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shd w:val="clear" w:color="auto" w:fill="auto"/>
            <w:vAlign w:val="center"/>
          </w:tcPr>
          <w:p w14:paraId="6F56DF0D">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装配时的零、部件应清理干净。用于装配的加工件不应磕碰、划伤和锈蚀，加工件的配合面不应有修锉和打磨等痕迹。</w:t>
            </w:r>
          </w:p>
        </w:tc>
        <w:tc>
          <w:tcPr>
            <w:tcW w:w="2140" w:type="dxa"/>
            <w:shd w:val="clear" w:color="auto" w:fill="auto"/>
            <w:vAlign w:val="center"/>
          </w:tcPr>
          <w:p w14:paraId="6A933A50">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《金属切削机床装配通用技术条件》 </w:t>
            </w:r>
          </w:p>
          <w:p w14:paraId="24006A0D">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（GB/T25373-2010） </w:t>
            </w:r>
          </w:p>
          <w:p w14:paraId="49BBE94F">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 3.3 条</w:t>
            </w:r>
          </w:p>
        </w:tc>
        <w:tc>
          <w:tcPr>
            <w:tcW w:w="2070" w:type="dxa"/>
            <w:shd w:val="clear" w:color="auto" w:fill="auto"/>
            <w:vAlign w:val="center"/>
          </w:tcPr>
          <w:p w14:paraId="4893963E">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本项目装配的零、部件在组装前进行了清理。</w:t>
            </w:r>
          </w:p>
        </w:tc>
        <w:tc>
          <w:tcPr>
            <w:tcW w:w="845" w:type="dxa"/>
            <w:shd w:val="clear" w:color="auto" w:fill="auto"/>
            <w:vAlign w:val="center"/>
          </w:tcPr>
          <w:p w14:paraId="2237A6FB">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r w14:paraId="214B5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7" w:type="dxa"/>
            <w:vAlign w:val="center"/>
          </w:tcPr>
          <w:p w14:paraId="7EAE5D93">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shd w:val="clear" w:color="auto" w:fill="auto"/>
            <w:vAlign w:val="center"/>
          </w:tcPr>
          <w:p w14:paraId="74E20120">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机床的移动、转动部件装配后，运动应平稳、灵活、轻便，无阻滞现象。</w:t>
            </w:r>
          </w:p>
        </w:tc>
        <w:tc>
          <w:tcPr>
            <w:tcW w:w="2140" w:type="dxa"/>
            <w:shd w:val="clear" w:color="auto" w:fill="auto"/>
            <w:vAlign w:val="center"/>
          </w:tcPr>
          <w:p w14:paraId="7EB080CF">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《金属切削机床 装 </w:t>
            </w:r>
          </w:p>
          <w:p w14:paraId="07277488">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配通用技术条件》 </w:t>
            </w:r>
          </w:p>
          <w:p w14:paraId="56126027">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（GB/T25373-2010） </w:t>
            </w:r>
          </w:p>
          <w:p w14:paraId="519D3884">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 3.6 条</w:t>
            </w:r>
          </w:p>
        </w:tc>
        <w:tc>
          <w:tcPr>
            <w:tcW w:w="2070" w:type="dxa"/>
            <w:shd w:val="clear" w:color="auto" w:fill="auto"/>
            <w:vAlign w:val="center"/>
          </w:tcPr>
          <w:p w14:paraId="691C1122">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现场检查时，未发现有异常。</w:t>
            </w:r>
          </w:p>
        </w:tc>
        <w:tc>
          <w:tcPr>
            <w:tcW w:w="845" w:type="dxa"/>
            <w:shd w:val="clear" w:color="auto" w:fill="auto"/>
            <w:vAlign w:val="center"/>
          </w:tcPr>
          <w:p w14:paraId="3539E5A3">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r w14:paraId="46428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7" w:type="dxa"/>
            <w:vAlign w:val="center"/>
          </w:tcPr>
          <w:p w14:paraId="4FE29779">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shd w:val="clear" w:color="auto" w:fill="auto"/>
            <w:vAlign w:val="center"/>
          </w:tcPr>
          <w:p w14:paraId="1C9D4F3F">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工具的危险运动零、部件的防护装置（如防护罩、盖等）不得任意拆卸。</w:t>
            </w:r>
          </w:p>
        </w:tc>
        <w:tc>
          <w:tcPr>
            <w:tcW w:w="2140" w:type="dxa"/>
            <w:shd w:val="clear" w:color="auto" w:fill="auto"/>
            <w:vAlign w:val="center"/>
          </w:tcPr>
          <w:p w14:paraId="2BB090E4">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《手持式电动工具的 </w:t>
            </w:r>
          </w:p>
          <w:p w14:paraId="43ED77C9">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管理、使用、检查和 </w:t>
            </w:r>
          </w:p>
          <w:p w14:paraId="6243A396">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维修安全技术规程》 </w:t>
            </w:r>
          </w:p>
          <w:p w14:paraId="2CB9AEBE">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（GB/T3787-2017） </w:t>
            </w:r>
          </w:p>
          <w:p w14:paraId="22AD5767">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 5.1 条</w:t>
            </w:r>
          </w:p>
        </w:tc>
        <w:tc>
          <w:tcPr>
            <w:tcW w:w="2070" w:type="dxa"/>
            <w:shd w:val="clear" w:color="auto" w:fill="auto"/>
            <w:vAlign w:val="center"/>
          </w:tcPr>
          <w:p w14:paraId="3077ED0B">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现场检查时，装配使用的手持电动工具防护装置完 </w:t>
            </w:r>
          </w:p>
          <w:p w14:paraId="5C19018D">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好。</w:t>
            </w:r>
          </w:p>
        </w:tc>
        <w:tc>
          <w:tcPr>
            <w:tcW w:w="845" w:type="dxa"/>
            <w:shd w:val="clear" w:color="auto" w:fill="auto"/>
            <w:vAlign w:val="center"/>
          </w:tcPr>
          <w:p w14:paraId="17CF48EB">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r w14:paraId="4D94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7" w:type="dxa"/>
            <w:vAlign w:val="center"/>
          </w:tcPr>
          <w:p w14:paraId="01A1BCFD">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shd w:val="clear" w:color="auto" w:fill="auto"/>
            <w:vAlign w:val="center"/>
          </w:tcPr>
          <w:p w14:paraId="169DFFED">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工具的插头、插座应按规定正确接线，插头、插座中的保护接地极在任何情况下只能单独连接保护接地（PE）。严禁插头、插座内用导线直接将保护接地极与工作中性线连接起来。</w:t>
            </w:r>
          </w:p>
        </w:tc>
        <w:tc>
          <w:tcPr>
            <w:tcW w:w="2140" w:type="dxa"/>
            <w:shd w:val="clear" w:color="auto" w:fill="auto"/>
            <w:vAlign w:val="center"/>
          </w:tcPr>
          <w:p w14:paraId="36349C2D">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《手持式电动工具的管理、使用、检查和维修安全技术规程》 </w:t>
            </w:r>
          </w:p>
          <w:p w14:paraId="6A2A3AA1">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（GB/T3787-2017） </w:t>
            </w:r>
          </w:p>
          <w:p w14:paraId="068B8FFD">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 5.4 条</w:t>
            </w:r>
          </w:p>
        </w:tc>
        <w:tc>
          <w:tcPr>
            <w:tcW w:w="2070" w:type="dxa"/>
            <w:shd w:val="clear" w:color="auto" w:fill="auto"/>
            <w:vAlign w:val="center"/>
          </w:tcPr>
          <w:p w14:paraId="7A62748C">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现场检查时，未发现有前述不符合内容。</w:t>
            </w:r>
          </w:p>
        </w:tc>
        <w:tc>
          <w:tcPr>
            <w:tcW w:w="845" w:type="dxa"/>
            <w:shd w:val="clear" w:color="auto" w:fill="auto"/>
            <w:vAlign w:val="center"/>
          </w:tcPr>
          <w:p w14:paraId="1970E08B">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r w14:paraId="62C49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7" w:type="dxa"/>
            <w:vAlign w:val="center"/>
          </w:tcPr>
          <w:p w14:paraId="0EDB3F1C">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shd w:val="clear" w:color="auto" w:fill="auto"/>
            <w:vAlign w:val="center"/>
          </w:tcPr>
          <w:p w14:paraId="56A45FA9">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工具如有绝缘损坏，电源线保护套破裂、保护接地线（PE）脱落、插头插座裂开或有损于安全的机械损伤等故障时，应立即进行修理。在未修复前，不得继续使用。</w:t>
            </w:r>
          </w:p>
        </w:tc>
        <w:tc>
          <w:tcPr>
            <w:tcW w:w="2140" w:type="dxa"/>
            <w:shd w:val="clear" w:color="auto" w:fill="auto"/>
            <w:vAlign w:val="center"/>
          </w:tcPr>
          <w:p w14:paraId="147C8684">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《手持式电动工具的管理、使用、检查和维修安全技术规程》 </w:t>
            </w:r>
          </w:p>
          <w:p w14:paraId="0F755EE5">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（GB/T3787-2017） </w:t>
            </w:r>
          </w:p>
          <w:p w14:paraId="7F72FA27">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 6.5 条</w:t>
            </w:r>
          </w:p>
        </w:tc>
        <w:tc>
          <w:tcPr>
            <w:tcW w:w="2070" w:type="dxa"/>
            <w:shd w:val="clear" w:color="auto" w:fill="auto"/>
            <w:vAlign w:val="center"/>
          </w:tcPr>
          <w:p w14:paraId="2BCAD16B">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现场检查时，在用的手持式电动工具均正常，未发现有损坏现象。</w:t>
            </w:r>
          </w:p>
        </w:tc>
        <w:tc>
          <w:tcPr>
            <w:tcW w:w="845" w:type="dxa"/>
            <w:shd w:val="clear" w:color="auto" w:fill="auto"/>
            <w:vAlign w:val="center"/>
          </w:tcPr>
          <w:p w14:paraId="16967BDB">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r w14:paraId="4623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7" w:type="dxa"/>
            <w:vAlign w:val="center"/>
          </w:tcPr>
          <w:p w14:paraId="167F6ADA">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shd w:val="clear" w:color="auto" w:fill="auto"/>
            <w:vAlign w:val="center"/>
          </w:tcPr>
          <w:p w14:paraId="442A2738">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一、二类电动工具应配置剩余电流动作保护装置。</w:t>
            </w:r>
          </w:p>
        </w:tc>
        <w:tc>
          <w:tcPr>
            <w:tcW w:w="2140" w:type="dxa"/>
            <w:shd w:val="clear" w:color="auto" w:fill="auto"/>
            <w:vAlign w:val="center"/>
          </w:tcPr>
          <w:p w14:paraId="35F53B3A">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《机械制造企业安全 </w:t>
            </w:r>
          </w:p>
          <w:p w14:paraId="51384C58">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生产标准化规范》 </w:t>
            </w:r>
          </w:p>
          <w:p w14:paraId="63A53C6B">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（AQ/T7009-2013） </w:t>
            </w:r>
          </w:p>
          <w:p w14:paraId="42F4850F">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 4.2.9.7 条</w:t>
            </w:r>
          </w:p>
        </w:tc>
        <w:tc>
          <w:tcPr>
            <w:tcW w:w="2070" w:type="dxa"/>
            <w:shd w:val="clear" w:color="auto" w:fill="auto"/>
            <w:vAlign w:val="center"/>
          </w:tcPr>
          <w:p w14:paraId="084696A2">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本项目使用的手持电动工具，车间内均采用了带有漏电保护功能的开关备。</w:t>
            </w:r>
          </w:p>
        </w:tc>
        <w:tc>
          <w:tcPr>
            <w:tcW w:w="845" w:type="dxa"/>
            <w:shd w:val="clear" w:color="auto" w:fill="auto"/>
            <w:vAlign w:val="center"/>
          </w:tcPr>
          <w:p w14:paraId="1580F165">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r w14:paraId="4F054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7" w:type="dxa"/>
            <w:vAlign w:val="center"/>
          </w:tcPr>
          <w:p w14:paraId="55B5610A">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shd w:val="clear" w:color="auto" w:fill="auto"/>
            <w:vAlign w:val="center"/>
          </w:tcPr>
          <w:p w14:paraId="13D8FBED">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运转小车应定位准确、夹持牢固；料架（箱、斗）应结构合理、牢固，放置应平稳。</w:t>
            </w:r>
          </w:p>
        </w:tc>
        <w:tc>
          <w:tcPr>
            <w:tcW w:w="2140" w:type="dxa"/>
            <w:shd w:val="clear" w:color="auto" w:fill="auto"/>
            <w:vAlign w:val="center"/>
          </w:tcPr>
          <w:p w14:paraId="56144720">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《机械制造企业安全 </w:t>
            </w:r>
          </w:p>
          <w:p w14:paraId="7AB27132">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生产标准化规范》 </w:t>
            </w:r>
          </w:p>
          <w:p w14:paraId="2DBC889C">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（AQ/T7009-2013） </w:t>
            </w:r>
          </w:p>
          <w:p w14:paraId="3D87D635">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 4.2.9.8 条</w:t>
            </w:r>
          </w:p>
        </w:tc>
        <w:tc>
          <w:tcPr>
            <w:tcW w:w="2070" w:type="dxa"/>
            <w:shd w:val="clear" w:color="auto" w:fill="auto"/>
            <w:vAlign w:val="center"/>
          </w:tcPr>
          <w:p w14:paraId="4385E2F6">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生产车间使用的转运物料板车定位准确、夹持牢固；各种配件放置平稳。</w:t>
            </w:r>
          </w:p>
        </w:tc>
        <w:tc>
          <w:tcPr>
            <w:tcW w:w="845" w:type="dxa"/>
            <w:shd w:val="clear" w:color="auto" w:fill="auto"/>
            <w:vAlign w:val="center"/>
          </w:tcPr>
          <w:p w14:paraId="2B83140F">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r w14:paraId="615EC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7" w:type="dxa"/>
            <w:vAlign w:val="center"/>
          </w:tcPr>
          <w:p w14:paraId="09C56694">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shd w:val="clear" w:color="auto" w:fill="auto"/>
            <w:vAlign w:val="center"/>
          </w:tcPr>
          <w:p w14:paraId="7459D8AB">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对不易搬运的物料，应设置或采用便于吊运及搬运的装置或设施。</w:t>
            </w:r>
          </w:p>
        </w:tc>
        <w:tc>
          <w:tcPr>
            <w:tcW w:w="2140" w:type="dxa"/>
            <w:shd w:val="clear" w:color="auto" w:fill="auto"/>
            <w:vAlign w:val="center"/>
          </w:tcPr>
          <w:p w14:paraId="0ABF1970">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《生产过程安全卫生 </w:t>
            </w:r>
          </w:p>
          <w:p w14:paraId="350487CA">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要求总则》 </w:t>
            </w:r>
          </w:p>
          <w:p w14:paraId="00C7E367">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（GB/T 12801-2008） </w:t>
            </w:r>
          </w:p>
          <w:p w14:paraId="49ED27ED">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 5.5.2 条</w:t>
            </w:r>
          </w:p>
        </w:tc>
        <w:tc>
          <w:tcPr>
            <w:tcW w:w="2070" w:type="dxa"/>
            <w:shd w:val="clear" w:color="auto" w:fill="auto"/>
            <w:vAlign w:val="center"/>
          </w:tcPr>
          <w:p w14:paraId="2CEEBB61">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本项目大型配件的搬运均采用起重设备进行搬运。</w:t>
            </w:r>
          </w:p>
        </w:tc>
        <w:tc>
          <w:tcPr>
            <w:tcW w:w="845" w:type="dxa"/>
            <w:shd w:val="clear" w:color="auto" w:fill="auto"/>
            <w:vAlign w:val="center"/>
          </w:tcPr>
          <w:p w14:paraId="7854B29D">
            <w:pPr>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r w14:paraId="54E0B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7" w:type="dxa"/>
            <w:vAlign w:val="center"/>
          </w:tcPr>
          <w:p w14:paraId="7C19FF4F">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shd w:val="clear" w:color="auto" w:fill="auto"/>
            <w:vAlign w:val="center"/>
          </w:tcPr>
          <w:p w14:paraId="3408AA2D">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lang w:val="en-US" w:eastAsia="zh-CN" w:bidi="ar"/>
              </w:rPr>
              <w:t>起重机械应装设切断起重机械总电源的电源开关。</w:t>
            </w:r>
          </w:p>
        </w:tc>
        <w:tc>
          <w:tcPr>
            <w:tcW w:w="2140" w:type="dxa"/>
            <w:shd w:val="clear" w:color="auto" w:fill="auto"/>
            <w:vAlign w:val="center"/>
          </w:tcPr>
          <w:p w14:paraId="1DC9BB5E">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rPr>
            </w:pPr>
            <w:r>
              <w:rPr>
                <w:rFonts w:hint="eastAsia" w:ascii="宋体" w:hAnsi="宋体" w:eastAsia="宋体" w:cs="宋体"/>
                <w:b w:val="0"/>
                <w:bCs w:val="0"/>
                <w:color w:val="000000"/>
                <w:kern w:val="0"/>
                <w:sz w:val="21"/>
                <w:szCs w:val="21"/>
                <w:lang w:val="en-US" w:eastAsia="zh-CN" w:bidi="ar"/>
              </w:rPr>
              <w:t xml:space="preserve">《起重机械安全规程 </w:t>
            </w:r>
          </w:p>
          <w:p w14:paraId="29EEC1E1">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rPr>
            </w:pPr>
            <w:r>
              <w:rPr>
                <w:rFonts w:hint="eastAsia" w:ascii="宋体" w:hAnsi="宋体" w:eastAsia="宋体" w:cs="宋体"/>
                <w:b w:val="0"/>
                <w:bCs w:val="0"/>
                <w:color w:val="000000"/>
                <w:kern w:val="0"/>
                <w:sz w:val="21"/>
                <w:szCs w:val="21"/>
                <w:lang w:val="en-US" w:eastAsia="zh-CN" w:bidi="ar"/>
              </w:rPr>
              <w:t xml:space="preserve">第 1 部分：总则》 </w:t>
            </w:r>
          </w:p>
          <w:p w14:paraId="48E2A7AF">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rPr>
            </w:pPr>
            <w:r>
              <w:rPr>
                <w:rFonts w:hint="eastAsia" w:ascii="宋体" w:hAnsi="宋体" w:eastAsia="宋体" w:cs="宋体"/>
                <w:b w:val="0"/>
                <w:bCs w:val="0"/>
                <w:color w:val="000000"/>
                <w:kern w:val="0"/>
                <w:sz w:val="21"/>
                <w:szCs w:val="21"/>
                <w:lang w:val="en-US" w:eastAsia="zh-CN" w:bidi="ar"/>
              </w:rPr>
              <w:t>（GB/T6067.1-2010）</w:t>
            </w:r>
          </w:p>
          <w:p w14:paraId="4CDA8311">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lang w:val="en-US" w:eastAsia="zh-CN" w:bidi="ar"/>
              </w:rPr>
              <w:t>第 6.2.1 条</w:t>
            </w:r>
          </w:p>
        </w:tc>
        <w:tc>
          <w:tcPr>
            <w:tcW w:w="2070" w:type="dxa"/>
            <w:shd w:val="clear" w:color="auto" w:fill="auto"/>
            <w:vAlign w:val="center"/>
          </w:tcPr>
          <w:p w14:paraId="16AE25CB">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lang w:val="en-US" w:eastAsia="zh-CN" w:bidi="ar"/>
              </w:rPr>
              <w:t>本项目装设有切断起重机械总电源的电源开关。</w:t>
            </w:r>
          </w:p>
        </w:tc>
        <w:tc>
          <w:tcPr>
            <w:tcW w:w="845" w:type="dxa"/>
            <w:shd w:val="clear" w:color="auto" w:fill="auto"/>
            <w:vAlign w:val="center"/>
          </w:tcPr>
          <w:p w14:paraId="114F55F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符合</w:t>
            </w:r>
          </w:p>
        </w:tc>
      </w:tr>
      <w:tr w14:paraId="45FB5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7" w:type="dxa"/>
            <w:vAlign w:val="center"/>
          </w:tcPr>
          <w:p w14:paraId="69D851B3">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shd w:val="clear" w:color="auto" w:fill="auto"/>
            <w:vAlign w:val="center"/>
          </w:tcPr>
          <w:p w14:paraId="0CF627A9">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每台起重机械应备有一个或多个可从操作控制站操作的紧急停止开关,当有紧急情况时，应能够停止所有运动的驱动机构。紧急停止开关动作时不应切断可能造成物品坠落的动力回路(如电磁盘、气动吸持装置)。紧急停止开关应为红色,并且不能自动复位。</w:t>
            </w:r>
          </w:p>
        </w:tc>
        <w:tc>
          <w:tcPr>
            <w:tcW w:w="2140" w:type="dxa"/>
            <w:shd w:val="clear" w:color="auto" w:fill="auto"/>
            <w:vAlign w:val="center"/>
          </w:tcPr>
          <w:p w14:paraId="2403E10D">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rPr>
            </w:pPr>
            <w:r>
              <w:rPr>
                <w:rFonts w:hint="eastAsia" w:ascii="宋体" w:hAnsi="宋体" w:eastAsia="宋体" w:cs="宋体"/>
                <w:b w:val="0"/>
                <w:bCs w:val="0"/>
                <w:color w:val="000000"/>
                <w:kern w:val="0"/>
                <w:sz w:val="21"/>
                <w:szCs w:val="21"/>
                <w:lang w:val="en-US" w:eastAsia="zh-CN" w:bidi="ar"/>
              </w:rPr>
              <w:t xml:space="preserve">《起重机械安全规程 </w:t>
            </w:r>
          </w:p>
          <w:p w14:paraId="456F64A6">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rPr>
            </w:pPr>
            <w:r>
              <w:rPr>
                <w:rFonts w:hint="eastAsia" w:ascii="宋体" w:hAnsi="宋体" w:eastAsia="宋体" w:cs="宋体"/>
                <w:b w:val="0"/>
                <w:bCs w:val="0"/>
                <w:color w:val="000000"/>
                <w:kern w:val="0"/>
                <w:sz w:val="21"/>
                <w:szCs w:val="21"/>
                <w:lang w:val="en-US" w:eastAsia="zh-CN" w:bidi="ar"/>
              </w:rPr>
              <w:t xml:space="preserve">第 1 部分：总则》 </w:t>
            </w:r>
          </w:p>
          <w:p w14:paraId="01C95727">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rPr>
            </w:pPr>
            <w:r>
              <w:rPr>
                <w:rFonts w:hint="eastAsia" w:ascii="宋体" w:hAnsi="宋体" w:eastAsia="宋体" w:cs="宋体"/>
                <w:b w:val="0"/>
                <w:bCs w:val="0"/>
                <w:color w:val="000000"/>
                <w:kern w:val="0"/>
                <w:sz w:val="21"/>
                <w:szCs w:val="21"/>
                <w:lang w:val="en-US" w:eastAsia="zh-CN" w:bidi="ar"/>
              </w:rPr>
              <w:t xml:space="preserve">（GB/T6067.1-2010） </w:t>
            </w:r>
          </w:p>
          <w:p w14:paraId="742DD78F">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第 6.2.4 条</w:t>
            </w:r>
          </w:p>
        </w:tc>
        <w:tc>
          <w:tcPr>
            <w:tcW w:w="2070" w:type="dxa"/>
            <w:shd w:val="clear" w:color="auto" w:fill="auto"/>
            <w:vAlign w:val="center"/>
          </w:tcPr>
          <w:p w14:paraId="6289EFF3">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rPr>
            </w:pPr>
            <w:r>
              <w:rPr>
                <w:rFonts w:hint="eastAsia" w:ascii="宋体" w:hAnsi="宋体" w:eastAsia="宋体" w:cs="宋体"/>
                <w:b w:val="0"/>
                <w:bCs w:val="0"/>
                <w:color w:val="000000"/>
                <w:kern w:val="0"/>
                <w:sz w:val="21"/>
                <w:szCs w:val="21"/>
                <w:lang w:val="en-US" w:eastAsia="zh-CN" w:bidi="ar"/>
              </w:rPr>
              <w:t>起重机械装配有紧急停止开关。</w:t>
            </w:r>
          </w:p>
          <w:p w14:paraId="03BF7D12">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color w:val="000000"/>
                <w:kern w:val="0"/>
                <w:sz w:val="21"/>
                <w:szCs w:val="21"/>
                <w:lang w:val="en-US" w:eastAsia="zh-CN" w:bidi="ar"/>
              </w:rPr>
            </w:pPr>
          </w:p>
        </w:tc>
        <w:tc>
          <w:tcPr>
            <w:tcW w:w="845" w:type="dxa"/>
            <w:shd w:val="clear" w:color="auto" w:fill="auto"/>
            <w:vAlign w:val="center"/>
          </w:tcPr>
          <w:p w14:paraId="36671A5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符合</w:t>
            </w:r>
          </w:p>
        </w:tc>
      </w:tr>
      <w:tr w14:paraId="51CC4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7" w:type="dxa"/>
            <w:vAlign w:val="center"/>
          </w:tcPr>
          <w:p w14:paraId="7E9208C1">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shd w:val="clear" w:color="auto" w:fill="auto"/>
            <w:vAlign w:val="center"/>
          </w:tcPr>
          <w:p w14:paraId="5CB706FD">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控制与操作系统的设计和布置应能避免发生误操作的可能性，保证在正常使用中起重机械能安全可靠地运转。</w:t>
            </w:r>
          </w:p>
        </w:tc>
        <w:tc>
          <w:tcPr>
            <w:tcW w:w="2140" w:type="dxa"/>
            <w:shd w:val="clear" w:color="auto" w:fill="auto"/>
            <w:vAlign w:val="center"/>
          </w:tcPr>
          <w:p w14:paraId="4778756E">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rPr>
            </w:pPr>
            <w:r>
              <w:rPr>
                <w:rFonts w:hint="eastAsia" w:ascii="宋体" w:hAnsi="宋体" w:eastAsia="宋体" w:cs="宋体"/>
                <w:b w:val="0"/>
                <w:bCs w:val="0"/>
                <w:color w:val="000000"/>
                <w:kern w:val="0"/>
                <w:sz w:val="21"/>
                <w:szCs w:val="21"/>
                <w:lang w:val="en-US" w:eastAsia="zh-CN" w:bidi="ar"/>
              </w:rPr>
              <w:t xml:space="preserve">《起重机械安全规程 </w:t>
            </w:r>
          </w:p>
          <w:p w14:paraId="2AE4507D">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rPr>
            </w:pPr>
            <w:r>
              <w:rPr>
                <w:rFonts w:hint="eastAsia" w:ascii="宋体" w:hAnsi="宋体" w:eastAsia="宋体" w:cs="宋体"/>
                <w:b w:val="0"/>
                <w:bCs w:val="0"/>
                <w:color w:val="000000"/>
                <w:kern w:val="0"/>
                <w:sz w:val="21"/>
                <w:szCs w:val="21"/>
                <w:lang w:val="en-US" w:eastAsia="zh-CN" w:bidi="ar"/>
              </w:rPr>
              <w:t xml:space="preserve">第 1 部分：总则》 </w:t>
            </w:r>
          </w:p>
          <w:p w14:paraId="35946D50">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rPr>
            </w:pPr>
            <w:r>
              <w:rPr>
                <w:rFonts w:hint="eastAsia" w:ascii="宋体" w:hAnsi="宋体" w:eastAsia="宋体" w:cs="宋体"/>
                <w:b w:val="0"/>
                <w:bCs w:val="0"/>
                <w:color w:val="000000"/>
                <w:kern w:val="0"/>
                <w:sz w:val="21"/>
                <w:szCs w:val="21"/>
                <w:lang w:val="en-US" w:eastAsia="zh-CN" w:bidi="ar"/>
              </w:rPr>
              <w:t xml:space="preserve">（GB/T6067.1-2010） </w:t>
            </w:r>
          </w:p>
          <w:p w14:paraId="4ED1061B">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第 7.2 条</w:t>
            </w:r>
          </w:p>
        </w:tc>
        <w:tc>
          <w:tcPr>
            <w:tcW w:w="2070" w:type="dxa"/>
            <w:shd w:val="clear" w:color="auto" w:fill="auto"/>
            <w:vAlign w:val="center"/>
          </w:tcPr>
          <w:p w14:paraId="48DA0516">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本项目起重机械控制均为地面控制，能保证在正常使用中安全可靠地运转。</w:t>
            </w:r>
          </w:p>
        </w:tc>
        <w:tc>
          <w:tcPr>
            <w:tcW w:w="845" w:type="dxa"/>
            <w:shd w:val="clear" w:color="auto" w:fill="auto"/>
            <w:vAlign w:val="center"/>
          </w:tcPr>
          <w:p w14:paraId="716B81D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符合</w:t>
            </w:r>
          </w:p>
        </w:tc>
      </w:tr>
      <w:tr w14:paraId="364B6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7" w:type="dxa"/>
            <w:vAlign w:val="center"/>
          </w:tcPr>
          <w:p w14:paraId="14453AC5">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shd w:val="clear" w:color="auto" w:fill="auto"/>
            <w:vAlign w:val="center"/>
          </w:tcPr>
          <w:p w14:paraId="66F924CE">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起重机械的安全防护装置应符合GB6067.1-2010中第9章的有关规定。</w:t>
            </w:r>
          </w:p>
        </w:tc>
        <w:tc>
          <w:tcPr>
            <w:tcW w:w="2140" w:type="dxa"/>
            <w:shd w:val="clear" w:color="auto" w:fill="auto"/>
            <w:vAlign w:val="center"/>
          </w:tcPr>
          <w:p w14:paraId="31C6513B">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rPr>
            </w:pPr>
            <w:r>
              <w:rPr>
                <w:rFonts w:hint="eastAsia" w:ascii="宋体" w:hAnsi="宋体" w:eastAsia="宋体" w:cs="宋体"/>
                <w:b w:val="0"/>
                <w:bCs w:val="0"/>
                <w:color w:val="000000"/>
                <w:kern w:val="0"/>
                <w:sz w:val="21"/>
                <w:szCs w:val="21"/>
                <w:lang w:val="en-US" w:eastAsia="zh-CN" w:bidi="ar"/>
              </w:rPr>
              <w:t xml:space="preserve">《起重机械安全规程 </w:t>
            </w:r>
          </w:p>
          <w:p w14:paraId="3A3D5C27">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rPr>
            </w:pPr>
            <w:r>
              <w:rPr>
                <w:rFonts w:hint="eastAsia" w:ascii="宋体" w:hAnsi="宋体" w:eastAsia="宋体" w:cs="宋体"/>
                <w:b w:val="0"/>
                <w:bCs w:val="0"/>
                <w:color w:val="000000"/>
                <w:kern w:val="0"/>
                <w:sz w:val="21"/>
                <w:szCs w:val="21"/>
                <w:lang w:val="en-US" w:eastAsia="zh-CN" w:bidi="ar"/>
              </w:rPr>
              <w:t xml:space="preserve">第 5 部分：桥式和门 </w:t>
            </w:r>
          </w:p>
          <w:p w14:paraId="4117B9C4">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rPr>
            </w:pPr>
            <w:r>
              <w:rPr>
                <w:rFonts w:hint="eastAsia" w:ascii="宋体" w:hAnsi="宋体" w:eastAsia="宋体" w:cs="宋体"/>
                <w:b w:val="0"/>
                <w:bCs w:val="0"/>
                <w:color w:val="000000"/>
                <w:kern w:val="0"/>
                <w:sz w:val="21"/>
                <w:szCs w:val="21"/>
                <w:lang w:val="en-US" w:eastAsia="zh-CN" w:bidi="ar"/>
              </w:rPr>
              <w:t xml:space="preserve">式起重机》 </w:t>
            </w:r>
          </w:p>
          <w:p w14:paraId="4BD620C8">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rPr>
            </w:pPr>
            <w:r>
              <w:rPr>
                <w:rFonts w:hint="eastAsia" w:ascii="宋体" w:hAnsi="宋体" w:eastAsia="宋体" w:cs="宋体"/>
                <w:b w:val="0"/>
                <w:bCs w:val="0"/>
                <w:color w:val="000000"/>
                <w:kern w:val="0"/>
                <w:sz w:val="21"/>
                <w:szCs w:val="21"/>
                <w:lang w:val="en-US" w:eastAsia="zh-CN" w:bidi="ar"/>
              </w:rPr>
              <w:t xml:space="preserve">（GB/T6067.5-2014） </w:t>
            </w:r>
          </w:p>
          <w:p w14:paraId="6E336430">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第 9.1 条</w:t>
            </w:r>
          </w:p>
        </w:tc>
        <w:tc>
          <w:tcPr>
            <w:tcW w:w="2070" w:type="dxa"/>
            <w:shd w:val="clear" w:color="auto" w:fill="auto"/>
            <w:vAlign w:val="center"/>
          </w:tcPr>
          <w:p w14:paraId="4ECDAAF3">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本项目起重设备均按要求设置了起重量限制器、起升高度限位器、运行行程限位器、超速保护装置、缓冲器、端部止挡、作业报警装置、防碰撞装置等。</w:t>
            </w:r>
          </w:p>
        </w:tc>
        <w:tc>
          <w:tcPr>
            <w:tcW w:w="845" w:type="dxa"/>
            <w:shd w:val="clear" w:color="auto" w:fill="auto"/>
            <w:vAlign w:val="center"/>
          </w:tcPr>
          <w:p w14:paraId="5E0593B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符合</w:t>
            </w:r>
          </w:p>
        </w:tc>
      </w:tr>
      <w:tr w14:paraId="25E70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7" w:type="dxa"/>
            <w:vAlign w:val="center"/>
          </w:tcPr>
          <w:p w14:paraId="2828685B">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shd w:val="clear" w:color="auto" w:fill="auto"/>
            <w:vAlign w:val="center"/>
          </w:tcPr>
          <w:p w14:paraId="19EDE00B">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起重机的安装、改造、维修（以下简称施工）单位必须取得相应的特种设备安装改造维修许可，在许可的范围内进行施工，并且对施工安全和施工质量负责。</w:t>
            </w:r>
          </w:p>
        </w:tc>
        <w:tc>
          <w:tcPr>
            <w:tcW w:w="2140" w:type="dxa"/>
            <w:shd w:val="clear" w:color="auto" w:fill="auto"/>
            <w:vAlign w:val="center"/>
          </w:tcPr>
          <w:p w14:paraId="216A8279">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rPr>
            </w:pPr>
            <w:r>
              <w:rPr>
                <w:rFonts w:hint="eastAsia" w:ascii="宋体" w:hAnsi="宋体" w:eastAsia="宋体" w:cs="宋体"/>
                <w:b w:val="0"/>
                <w:bCs w:val="0"/>
                <w:color w:val="000000"/>
                <w:kern w:val="0"/>
                <w:sz w:val="21"/>
                <w:szCs w:val="21"/>
                <w:lang w:val="en-US" w:eastAsia="zh-CN" w:bidi="ar"/>
              </w:rPr>
              <w:t xml:space="preserve">《起重机械安全技术监察规程-桥式起重机》（TSGQ0002-2008） </w:t>
            </w:r>
          </w:p>
          <w:p w14:paraId="3024A4AA">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第 12 条</w:t>
            </w:r>
          </w:p>
        </w:tc>
        <w:tc>
          <w:tcPr>
            <w:tcW w:w="2070" w:type="dxa"/>
            <w:shd w:val="clear" w:color="auto" w:fill="auto"/>
            <w:vAlign w:val="center"/>
          </w:tcPr>
          <w:p w14:paraId="51660F95">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本项目使用的起重机械的安装、维修均由有资质的单位进行施工作业。</w:t>
            </w:r>
          </w:p>
        </w:tc>
        <w:tc>
          <w:tcPr>
            <w:tcW w:w="845" w:type="dxa"/>
            <w:shd w:val="clear" w:color="auto" w:fill="auto"/>
            <w:vAlign w:val="center"/>
          </w:tcPr>
          <w:p w14:paraId="606A21E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符合</w:t>
            </w:r>
          </w:p>
        </w:tc>
      </w:tr>
      <w:tr w14:paraId="254FA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7" w:type="dxa"/>
            <w:vAlign w:val="center"/>
          </w:tcPr>
          <w:p w14:paraId="4748DBB9">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shd w:val="clear" w:color="auto" w:fill="auto"/>
            <w:vAlign w:val="center"/>
          </w:tcPr>
          <w:p w14:paraId="2AE0CC49">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起重机均必须设置起重量限制器，当载荷超过规定的设定值时应当能自动切断起升动力源。</w:t>
            </w:r>
          </w:p>
        </w:tc>
        <w:tc>
          <w:tcPr>
            <w:tcW w:w="2140" w:type="dxa"/>
            <w:shd w:val="clear" w:color="auto" w:fill="auto"/>
            <w:vAlign w:val="center"/>
          </w:tcPr>
          <w:p w14:paraId="369E12B3">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rPr>
            </w:pPr>
            <w:r>
              <w:rPr>
                <w:rFonts w:hint="eastAsia" w:ascii="宋体" w:hAnsi="宋体" w:eastAsia="宋体" w:cs="宋体"/>
                <w:b w:val="0"/>
                <w:bCs w:val="0"/>
                <w:color w:val="000000"/>
                <w:kern w:val="0"/>
                <w:sz w:val="21"/>
                <w:szCs w:val="21"/>
                <w:lang w:val="en-US" w:eastAsia="zh-CN" w:bidi="ar"/>
              </w:rPr>
              <w:t xml:space="preserve">《起重机械安全技术 </w:t>
            </w:r>
          </w:p>
          <w:p w14:paraId="5CC86F7D">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rPr>
            </w:pPr>
            <w:r>
              <w:rPr>
                <w:rFonts w:hint="eastAsia" w:ascii="宋体" w:hAnsi="宋体" w:eastAsia="宋体" w:cs="宋体"/>
                <w:b w:val="0"/>
                <w:bCs w:val="0"/>
                <w:color w:val="000000"/>
                <w:kern w:val="0"/>
                <w:sz w:val="21"/>
                <w:szCs w:val="21"/>
                <w:lang w:val="en-US" w:eastAsia="zh-CN" w:bidi="ar"/>
              </w:rPr>
              <w:t xml:space="preserve">监察规程-桥式起重 </w:t>
            </w:r>
          </w:p>
          <w:p w14:paraId="465633CA">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rPr>
            </w:pPr>
            <w:r>
              <w:rPr>
                <w:rFonts w:hint="eastAsia" w:ascii="宋体" w:hAnsi="宋体" w:eastAsia="宋体" w:cs="宋体"/>
                <w:b w:val="0"/>
                <w:bCs w:val="0"/>
                <w:color w:val="000000"/>
                <w:kern w:val="0"/>
                <w:sz w:val="21"/>
                <w:szCs w:val="21"/>
                <w:lang w:val="en-US" w:eastAsia="zh-CN" w:bidi="ar"/>
              </w:rPr>
              <w:t xml:space="preserve">机》（TSGQ0002-2008） </w:t>
            </w:r>
          </w:p>
          <w:p w14:paraId="69EE6FD4">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第 69 条</w:t>
            </w:r>
          </w:p>
        </w:tc>
        <w:tc>
          <w:tcPr>
            <w:tcW w:w="2070" w:type="dxa"/>
            <w:shd w:val="clear" w:color="auto" w:fill="auto"/>
            <w:vAlign w:val="center"/>
          </w:tcPr>
          <w:p w14:paraId="18836099">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本项目起重设备均设置有起重量限制器。</w:t>
            </w:r>
          </w:p>
        </w:tc>
        <w:tc>
          <w:tcPr>
            <w:tcW w:w="845" w:type="dxa"/>
            <w:shd w:val="clear" w:color="auto" w:fill="auto"/>
            <w:vAlign w:val="center"/>
          </w:tcPr>
          <w:p w14:paraId="42148A8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符合</w:t>
            </w:r>
          </w:p>
        </w:tc>
      </w:tr>
      <w:tr w14:paraId="67305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7" w:type="dxa"/>
            <w:vAlign w:val="center"/>
          </w:tcPr>
          <w:p w14:paraId="11A9FBCA">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shd w:val="clear" w:color="auto" w:fill="auto"/>
            <w:vAlign w:val="center"/>
          </w:tcPr>
          <w:p w14:paraId="7C3507A9">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rPr>
            </w:pPr>
            <w:r>
              <w:rPr>
                <w:rFonts w:hint="eastAsia" w:ascii="宋体" w:hAnsi="宋体" w:eastAsia="宋体" w:cs="宋体"/>
                <w:b w:val="0"/>
                <w:bCs w:val="0"/>
                <w:color w:val="000000"/>
                <w:kern w:val="0"/>
                <w:sz w:val="21"/>
                <w:szCs w:val="21"/>
                <w:lang w:val="en-US" w:eastAsia="zh-CN" w:bidi="ar"/>
              </w:rPr>
              <w:t xml:space="preserve">在用起重机械定期检验周期如下: (1)塔式起重机、升降机、流动式起重机，每年1次； </w:t>
            </w:r>
          </w:p>
          <w:p w14:paraId="03D975E1">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(2)桥式起重机、门式起重机、门座式起重机、缆索式起重机、桅杆式起重机、机械式停车设备，每2年1次，其中涉及吊运熔融金属的起重机，每年1次。</w:t>
            </w:r>
          </w:p>
        </w:tc>
        <w:tc>
          <w:tcPr>
            <w:tcW w:w="2140" w:type="dxa"/>
            <w:shd w:val="clear" w:color="auto" w:fill="auto"/>
            <w:vAlign w:val="center"/>
          </w:tcPr>
          <w:p w14:paraId="09E00170">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rPr>
            </w:pPr>
            <w:r>
              <w:rPr>
                <w:rFonts w:hint="eastAsia" w:ascii="宋体" w:hAnsi="宋体" w:eastAsia="宋体" w:cs="宋体"/>
                <w:b w:val="0"/>
                <w:bCs w:val="0"/>
                <w:color w:val="000000"/>
                <w:kern w:val="0"/>
                <w:sz w:val="21"/>
                <w:szCs w:val="21"/>
                <w:lang w:val="en-US" w:eastAsia="zh-CN" w:bidi="ar"/>
              </w:rPr>
              <w:t xml:space="preserve">《起重机械定期检验 </w:t>
            </w:r>
          </w:p>
          <w:p w14:paraId="1CB54699">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rPr>
            </w:pPr>
            <w:r>
              <w:rPr>
                <w:rFonts w:hint="eastAsia" w:ascii="宋体" w:hAnsi="宋体" w:eastAsia="宋体" w:cs="宋体"/>
                <w:b w:val="0"/>
                <w:bCs w:val="0"/>
                <w:color w:val="000000"/>
                <w:kern w:val="0"/>
                <w:sz w:val="21"/>
                <w:szCs w:val="21"/>
                <w:lang w:val="en-US" w:eastAsia="zh-CN" w:bidi="ar"/>
              </w:rPr>
              <w:t xml:space="preserve">规则》 </w:t>
            </w:r>
          </w:p>
          <w:p w14:paraId="2DD19A0A">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sz w:val="21"/>
                <w:szCs w:val="21"/>
              </w:rPr>
            </w:pPr>
            <w:r>
              <w:rPr>
                <w:rFonts w:hint="eastAsia" w:ascii="宋体" w:hAnsi="宋体" w:eastAsia="宋体" w:cs="宋体"/>
                <w:b w:val="0"/>
                <w:bCs w:val="0"/>
                <w:color w:val="000000"/>
                <w:kern w:val="0"/>
                <w:sz w:val="21"/>
                <w:szCs w:val="21"/>
                <w:lang w:val="en-US" w:eastAsia="zh-CN" w:bidi="ar"/>
              </w:rPr>
              <w:t xml:space="preserve">（TSGQ7015-2016） </w:t>
            </w:r>
          </w:p>
          <w:p w14:paraId="08E31506">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第 4 条</w:t>
            </w:r>
          </w:p>
        </w:tc>
        <w:tc>
          <w:tcPr>
            <w:tcW w:w="2070" w:type="dxa"/>
            <w:shd w:val="clear" w:color="auto" w:fill="auto"/>
            <w:vAlign w:val="center"/>
          </w:tcPr>
          <w:p w14:paraId="53C40D8B">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本项目内使用的起重机械为桥式起重机，检验周期为每2年1次。</w:t>
            </w:r>
          </w:p>
        </w:tc>
        <w:tc>
          <w:tcPr>
            <w:tcW w:w="845" w:type="dxa"/>
            <w:shd w:val="clear" w:color="auto" w:fill="auto"/>
            <w:vAlign w:val="center"/>
          </w:tcPr>
          <w:p w14:paraId="4642571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val="0"/>
                <w:bCs w:val="0"/>
                <w:color w:val="000000"/>
                <w:kern w:val="0"/>
                <w:sz w:val="21"/>
                <w:szCs w:val="21"/>
                <w:vertAlign w:val="baseline"/>
                <w:lang w:val="en-US" w:eastAsia="zh-CN" w:bidi="ar"/>
              </w:rPr>
              <w:t>符合</w:t>
            </w:r>
          </w:p>
        </w:tc>
      </w:tr>
      <w:tr w14:paraId="4D415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7" w:type="dxa"/>
            <w:vAlign w:val="center"/>
          </w:tcPr>
          <w:p w14:paraId="22CC795F">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shd w:val="clear" w:color="auto" w:fill="auto"/>
            <w:vAlign w:val="center"/>
          </w:tcPr>
          <w:p w14:paraId="5495F145">
            <w:pPr>
              <w:kinsoku w:val="0"/>
              <w:overflowPunct w:val="0"/>
              <w:jc w:val="left"/>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厂房内设有梁式起重机或桥式起重机时，起重机桥架外缘与上柱内缘的净距不应小于100mm；其轨顶至屋架下弦或屋面梁底面之间的净空尺寸，应符合下列规定：1应满足起重机的最小轮廓尺寸及起重机的限界尺寸和安全间隙的要求；2应满足起重机检修的空间要求；3应满足当厂房基础埋置在软弱土、湿陷性黄土、膨胀土地基上及因厂房的地面堆载使相邻柱出现沉降差时的要求；4应满足当屋架或屋面梁底面悬挂带坡度的横向管道或屋架下弦直接安装照明灯具时的要求</w:t>
            </w:r>
          </w:p>
        </w:tc>
        <w:tc>
          <w:tcPr>
            <w:tcW w:w="2140" w:type="dxa"/>
            <w:shd w:val="clear" w:color="auto" w:fill="auto"/>
            <w:vAlign w:val="center"/>
          </w:tcPr>
          <w:p w14:paraId="30BC4C90">
            <w:pPr>
              <w:widowControl/>
              <w:jc w:val="left"/>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《机械工业厂房建筑设计规范》（GB50681-2011）第3.0.4条</w:t>
            </w:r>
          </w:p>
        </w:tc>
        <w:tc>
          <w:tcPr>
            <w:tcW w:w="2070" w:type="dxa"/>
            <w:shd w:val="clear" w:color="auto" w:fill="auto"/>
            <w:vAlign w:val="center"/>
          </w:tcPr>
          <w:p w14:paraId="74A31327">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本项目厂房内设有桥式起重机，起重机的设置满足使用、检维修要求。</w:t>
            </w:r>
          </w:p>
        </w:tc>
        <w:tc>
          <w:tcPr>
            <w:tcW w:w="845" w:type="dxa"/>
            <w:shd w:val="clear" w:color="auto" w:fill="auto"/>
            <w:vAlign w:val="center"/>
          </w:tcPr>
          <w:p w14:paraId="6B861BDB">
            <w:pPr>
              <w:jc w:val="center"/>
              <w:rPr>
                <w:rFonts w:hint="eastAsia" w:ascii="宋体" w:hAnsi="Times New Roman" w:eastAsia="宋体" w:cs="Times New Roman"/>
                <w:sz w:val="21"/>
                <w:szCs w:val="21"/>
                <w:lang w:val="en-US" w:eastAsia="zh-CN" w:bidi="ar-SA"/>
              </w:rPr>
            </w:pPr>
            <w:r>
              <w:rPr>
                <w:rFonts w:hint="eastAsia" w:hAnsi="宋体" w:cs="宋体"/>
                <w:color w:val="000000"/>
                <w:sz w:val="21"/>
                <w:szCs w:val="21"/>
                <w:lang w:bidi="ar"/>
              </w:rPr>
              <w:t>符合</w:t>
            </w:r>
          </w:p>
        </w:tc>
      </w:tr>
      <w:tr w14:paraId="0333E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7" w:type="dxa"/>
            <w:vAlign w:val="center"/>
          </w:tcPr>
          <w:p w14:paraId="3BF45E42">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shd w:val="clear" w:color="auto" w:fill="auto"/>
            <w:vAlign w:val="center"/>
          </w:tcPr>
          <w:p w14:paraId="19826CC3">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钢结构厂房，起重机梁宜采用钢结构。</w:t>
            </w:r>
          </w:p>
        </w:tc>
        <w:tc>
          <w:tcPr>
            <w:tcW w:w="2140" w:type="dxa"/>
            <w:shd w:val="clear" w:color="auto" w:fill="auto"/>
            <w:vAlign w:val="center"/>
          </w:tcPr>
          <w:p w14:paraId="74DE5192">
            <w:pPr>
              <w:widowControl/>
              <w:jc w:val="left"/>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《机械工业厂房结构设计规范》（GB50906-2013）第9.4.5条</w:t>
            </w:r>
          </w:p>
        </w:tc>
        <w:tc>
          <w:tcPr>
            <w:tcW w:w="2070" w:type="dxa"/>
            <w:shd w:val="clear" w:color="auto" w:fill="auto"/>
            <w:vAlign w:val="center"/>
          </w:tcPr>
          <w:p w14:paraId="4DC0602E">
            <w:pPr>
              <w:widowControl/>
              <w:jc w:val="left"/>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本项目厂房为钢结构厂房，起重机梁为钢结构。</w:t>
            </w:r>
          </w:p>
        </w:tc>
        <w:tc>
          <w:tcPr>
            <w:tcW w:w="845" w:type="dxa"/>
            <w:shd w:val="clear" w:color="auto" w:fill="auto"/>
            <w:vAlign w:val="center"/>
          </w:tcPr>
          <w:p w14:paraId="7140017B">
            <w:pPr>
              <w:jc w:val="center"/>
              <w:rPr>
                <w:rFonts w:hint="eastAsia" w:ascii="宋体" w:hAnsi="Times New Roman" w:eastAsia="宋体" w:cs="Times New Roman"/>
                <w:sz w:val="21"/>
                <w:szCs w:val="21"/>
                <w:lang w:val="en-US" w:eastAsia="zh-CN" w:bidi="ar-SA"/>
              </w:rPr>
            </w:pPr>
            <w:r>
              <w:rPr>
                <w:rFonts w:hint="eastAsia" w:hAnsi="宋体" w:cs="宋体"/>
                <w:color w:val="000000"/>
                <w:sz w:val="21"/>
                <w:szCs w:val="21"/>
                <w:lang w:bidi="ar"/>
              </w:rPr>
              <w:t>符合</w:t>
            </w:r>
          </w:p>
        </w:tc>
      </w:tr>
      <w:tr w14:paraId="4D4C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7" w:type="dxa"/>
            <w:vAlign w:val="center"/>
          </w:tcPr>
          <w:p w14:paraId="4A8D9773">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bookmarkStart w:id="734" w:name="_Toc105"/>
          </w:p>
        </w:tc>
        <w:tc>
          <w:tcPr>
            <w:tcW w:w="3235" w:type="dxa"/>
            <w:shd w:val="clear" w:color="auto" w:fill="auto"/>
            <w:vAlign w:val="center"/>
          </w:tcPr>
          <w:p w14:paraId="3448D31D">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生产设备运行时可能触及并易造成人身伤害的可动零部件应配置安全卫生防护装置。</w:t>
            </w:r>
          </w:p>
        </w:tc>
        <w:tc>
          <w:tcPr>
            <w:tcW w:w="2140" w:type="dxa"/>
            <w:shd w:val="clear" w:color="auto" w:fill="auto"/>
            <w:vAlign w:val="center"/>
          </w:tcPr>
          <w:p w14:paraId="78630EAD">
            <w:pPr>
              <w:widowControl/>
              <w:jc w:val="left"/>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《生产设备安全卫生设计总则》（GB5083-2023）第6.1.1条</w:t>
            </w:r>
          </w:p>
        </w:tc>
        <w:tc>
          <w:tcPr>
            <w:tcW w:w="2070" w:type="dxa"/>
            <w:shd w:val="clear" w:color="auto" w:fill="auto"/>
            <w:vAlign w:val="center"/>
          </w:tcPr>
          <w:p w14:paraId="3D66EA7D">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传动部位或人员可能触及的转动部位按要求设置了防护装置。</w:t>
            </w:r>
          </w:p>
        </w:tc>
        <w:tc>
          <w:tcPr>
            <w:tcW w:w="845" w:type="dxa"/>
            <w:shd w:val="clear" w:color="auto" w:fill="auto"/>
            <w:vAlign w:val="center"/>
          </w:tcPr>
          <w:p w14:paraId="550ADD9D">
            <w:pPr>
              <w:widowControl/>
              <w:jc w:val="center"/>
              <w:rPr>
                <w:rFonts w:hint="eastAsia" w:ascii="宋体" w:hAnsi="宋体" w:eastAsia="宋体" w:cs="宋体"/>
                <w:b/>
                <w:bCs/>
                <w:color w:val="000000"/>
                <w:sz w:val="21"/>
                <w:szCs w:val="21"/>
                <w:lang w:val="en-US" w:eastAsia="zh-CN" w:bidi="ar"/>
              </w:rPr>
            </w:pPr>
            <w:r>
              <w:rPr>
                <w:rFonts w:hint="eastAsia" w:hAnsi="宋体" w:cs="宋体"/>
                <w:color w:val="000000"/>
                <w:sz w:val="21"/>
                <w:szCs w:val="21"/>
                <w:lang w:bidi="ar"/>
              </w:rPr>
              <w:t>符合</w:t>
            </w:r>
          </w:p>
        </w:tc>
      </w:tr>
      <w:tr w14:paraId="119B9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7" w:type="dxa"/>
            <w:vAlign w:val="center"/>
          </w:tcPr>
          <w:p w14:paraId="41CDE7DA">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shd w:val="clear" w:color="auto" w:fill="auto"/>
            <w:vAlign w:val="center"/>
          </w:tcPr>
          <w:p w14:paraId="0BB64665">
            <w:pPr>
              <w:widowControl/>
              <w:rPr>
                <w:rFonts w:hint="eastAsia" w:hAnsi="宋体" w:cs="宋体"/>
                <w:color w:val="000000"/>
                <w:sz w:val="21"/>
                <w:szCs w:val="21"/>
                <w:lang w:bidi="ar"/>
              </w:rPr>
            </w:pPr>
            <w:r>
              <w:rPr>
                <w:rFonts w:hint="eastAsia" w:hAnsi="宋体" w:cs="宋体"/>
                <w:color w:val="000000"/>
                <w:sz w:val="21"/>
                <w:szCs w:val="21"/>
                <w:lang w:bidi="ar"/>
              </w:rPr>
              <w:t>以作业人员的操作位置所在平面为基准,凡高度在2m之内的所有传动带、转轴、传动链、联轴</w:t>
            </w:r>
          </w:p>
          <w:p w14:paraId="270EF5FC">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节、带轮、齿轮、飞轮、链轮、电锯等外露危险零部件及危险部位,均应设置安全卫生防护装置。</w:t>
            </w:r>
          </w:p>
        </w:tc>
        <w:tc>
          <w:tcPr>
            <w:tcW w:w="2140" w:type="dxa"/>
            <w:shd w:val="clear" w:color="auto" w:fill="auto"/>
            <w:vAlign w:val="center"/>
          </w:tcPr>
          <w:p w14:paraId="78BFAB37">
            <w:pPr>
              <w:widowControl/>
              <w:jc w:val="left"/>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《生产设备安全卫生设计总则》（GB5083-2023）第6.1.5条</w:t>
            </w:r>
          </w:p>
        </w:tc>
        <w:tc>
          <w:tcPr>
            <w:tcW w:w="2070" w:type="dxa"/>
            <w:shd w:val="clear" w:color="auto" w:fill="auto"/>
            <w:vAlign w:val="center"/>
          </w:tcPr>
          <w:p w14:paraId="001BB7E6">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传动部位或人员可能触及的转动部位按要求设置了防护装置。</w:t>
            </w:r>
          </w:p>
        </w:tc>
        <w:tc>
          <w:tcPr>
            <w:tcW w:w="845" w:type="dxa"/>
            <w:shd w:val="clear" w:color="auto" w:fill="auto"/>
            <w:vAlign w:val="center"/>
          </w:tcPr>
          <w:p w14:paraId="3B914817">
            <w:pPr>
              <w:widowControl/>
              <w:jc w:val="center"/>
              <w:rPr>
                <w:rFonts w:hint="eastAsia" w:ascii="宋体" w:hAnsi="宋体" w:eastAsia="宋体" w:cs="宋体"/>
                <w:b/>
                <w:bCs/>
                <w:color w:val="000000"/>
                <w:sz w:val="21"/>
                <w:szCs w:val="21"/>
                <w:lang w:val="en-US" w:eastAsia="zh-CN" w:bidi="ar"/>
              </w:rPr>
            </w:pPr>
            <w:r>
              <w:rPr>
                <w:rFonts w:hint="eastAsia" w:hAnsi="宋体" w:cs="宋体"/>
                <w:color w:val="000000"/>
                <w:sz w:val="21"/>
                <w:szCs w:val="21"/>
                <w:lang w:bidi="ar"/>
              </w:rPr>
              <w:t>符合</w:t>
            </w:r>
          </w:p>
        </w:tc>
      </w:tr>
      <w:tr w14:paraId="3F713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7" w:type="dxa"/>
            <w:vAlign w:val="center"/>
          </w:tcPr>
          <w:p w14:paraId="4020CDDF">
            <w:pPr>
              <w:numPr>
                <w:ilvl w:val="0"/>
                <w:numId w:val="6"/>
              </w:numPr>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235" w:type="dxa"/>
            <w:shd w:val="clear" w:color="auto" w:fill="auto"/>
            <w:vAlign w:val="center"/>
          </w:tcPr>
          <w:p w14:paraId="6CEAFA13">
            <w:pPr>
              <w:kinsoku w:val="0"/>
              <w:overflowPunct w:val="0"/>
              <w:autoSpaceDE w:val="0"/>
              <w:autoSpaceDN w:val="0"/>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生产设备上应标有设备的名称、型号等信息。生产设备易发生危险的部位应设置安全标志和警示标识,安全标志和警示标识的图形、符号、文字、颜色等应按GB2893、GB2894和GBZ158的规定执行。</w:t>
            </w:r>
          </w:p>
        </w:tc>
        <w:tc>
          <w:tcPr>
            <w:tcW w:w="2140" w:type="dxa"/>
            <w:shd w:val="clear" w:color="auto" w:fill="auto"/>
            <w:vAlign w:val="center"/>
          </w:tcPr>
          <w:p w14:paraId="49050309">
            <w:pPr>
              <w:widowControl/>
              <w:jc w:val="left"/>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《生产设备安全卫生设计总则》（GB5083-2023）第7.1条</w:t>
            </w:r>
          </w:p>
        </w:tc>
        <w:tc>
          <w:tcPr>
            <w:tcW w:w="2070" w:type="dxa"/>
            <w:shd w:val="clear" w:color="auto" w:fill="auto"/>
            <w:vAlign w:val="center"/>
          </w:tcPr>
          <w:p w14:paraId="2848BC57">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该项目生产设备易发生危险的部位设置相应的安全标志和安全标志的图形。</w:t>
            </w:r>
          </w:p>
        </w:tc>
        <w:tc>
          <w:tcPr>
            <w:tcW w:w="845" w:type="dxa"/>
            <w:shd w:val="clear" w:color="auto" w:fill="auto"/>
            <w:vAlign w:val="center"/>
          </w:tcPr>
          <w:p w14:paraId="0DCA9868">
            <w:pPr>
              <w:widowControl/>
              <w:jc w:val="center"/>
              <w:rPr>
                <w:rFonts w:hint="eastAsia" w:ascii="宋体" w:hAnsi="宋体" w:eastAsia="宋体" w:cs="宋体"/>
                <w:b/>
                <w:bCs/>
                <w:color w:val="000000"/>
                <w:sz w:val="21"/>
                <w:szCs w:val="21"/>
                <w:lang w:val="en-US" w:eastAsia="zh-CN" w:bidi="ar"/>
              </w:rPr>
            </w:pPr>
            <w:r>
              <w:rPr>
                <w:rFonts w:hint="eastAsia" w:hAnsi="宋体" w:cs="宋体"/>
                <w:color w:val="000000"/>
                <w:sz w:val="21"/>
                <w:szCs w:val="21"/>
                <w:lang w:bidi="ar"/>
              </w:rPr>
              <w:t>符合</w:t>
            </w:r>
          </w:p>
        </w:tc>
      </w:tr>
    </w:tbl>
    <w:p w14:paraId="37F82ADB">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735" w:name="_Toc3324"/>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5.2.2作业条件危险性分析</w:t>
      </w:r>
      <w:bookmarkEnd w:id="734"/>
      <w:bookmarkEnd w:id="735"/>
    </w:p>
    <w:p w14:paraId="66BE9BE3">
      <w:pPr>
        <w:adjustRightInd w:val="0"/>
        <w:snapToGrid w:val="0"/>
        <w:spacing w:line="500" w:lineRule="exact"/>
        <w:ind w:firstLine="561"/>
        <w:contextualSpacing/>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该项目主要生产工艺过程为</w:t>
      </w:r>
      <w:r>
        <w:rPr>
          <w:rFonts w:hint="eastAsia" w:ascii="宋体" w:hAnsi="宋体" w:eastAsia="宋体" w:cs="宋体"/>
          <w:color w:val="000000" w:themeColor="text1"/>
          <w:sz w:val="28"/>
          <w:szCs w:val="28"/>
          <w:lang w:val="en-US" w:eastAsia="zh-CN"/>
          <w14:textFill>
            <w14:solidFill>
              <w14:schemeClr w14:val="tx1"/>
            </w14:solidFill>
          </w14:textFill>
        </w:rPr>
        <w:t>数控机床的加工、组装</w:t>
      </w:r>
      <w:r>
        <w:rPr>
          <w:rFonts w:hint="eastAsia" w:ascii="宋体" w:hAnsi="宋体" w:eastAsia="宋体" w:cs="宋体"/>
          <w:color w:val="000000" w:themeColor="text1"/>
          <w:sz w:val="28"/>
          <w:szCs w:val="28"/>
          <w14:textFill>
            <w14:solidFill>
              <w14:schemeClr w14:val="tx1"/>
            </w14:solidFill>
          </w14:textFill>
        </w:rPr>
        <w:t>，根据各生产工艺在生产过程中的操作条件及作业人员进入危险环境的频次，下面分别对各生产工艺涉及的各参数进行取值计算。</w:t>
      </w:r>
    </w:p>
    <w:p w14:paraId="3B95A463">
      <w:pPr>
        <w:adjustRightInd w:val="0"/>
        <w:snapToGrid w:val="0"/>
        <w:spacing w:line="500" w:lineRule="exact"/>
        <w:ind w:firstLine="561"/>
        <w:contextualSpacing/>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以机械伤害为例，可知生产过程中有危险事件发生可能性L是有可能发生，因此L值取3，但操作人员会暴露在危险环境中，因此E值取</w:t>
      </w:r>
      <w:r>
        <w:rPr>
          <w:rFonts w:hint="eastAsia" w:ascii="宋体" w:hAnsi="宋体" w:eastAsia="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，根据该作业环境中产生的危害对人体的可能伤害程度，危险严重度C值取</w:t>
      </w:r>
      <w:r>
        <w:rPr>
          <w:rFonts w:hint="eastAsia" w:ascii="宋体" w:hAnsi="宋体" w:eastAsia="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t>。按照以上取值计算：</w:t>
      </w:r>
    </w:p>
    <w:p w14:paraId="6AB7DE38">
      <w:pPr>
        <w:adjustRightInd w:val="0"/>
        <w:snapToGrid w:val="0"/>
        <w:spacing w:line="500" w:lineRule="exact"/>
        <w:ind w:firstLine="561"/>
        <w:contextualSpacing/>
        <w:jc w:val="center"/>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危险性（D）= L×E×C</w:t>
      </w:r>
    </w:p>
    <w:p w14:paraId="7B076254">
      <w:pPr>
        <w:adjustRightInd w:val="0"/>
        <w:snapToGrid w:val="0"/>
        <w:spacing w:line="500" w:lineRule="exact"/>
        <w:ind w:firstLine="561"/>
        <w:contextualSpacing/>
        <w:jc w:val="center"/>
        <w:rPr>
          <w:rFonts w:hint="eastAsia" w:ascii="宋体" w:hAnsi="宋体" w:eastAsia="宋体" w:cs="宋体"/>
          <w:color w:val="000000" w:themeColor="text1"/>
          <w:kern w:val="0"/>
          <w:sz w:val="28"/>
          <w:szCs w:val="28"/>
          <w:lang w:val="en-US" w:eastAsia="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 xml:space="preserve">           =</w:t>
      </w:r>
      <w:r>
        <w:rPr>
          <w:rFonts w:hint="eastAsia" w:ascii="宋体" w:hAnsi="宋体" w:eastAsia="宋体" w:cs="宋体"/>
          <w:color w:val="000000" w:themeColor="text1"/>
          <w:kern w:val="0"/>
          <w:sz w:val="28"/>
          <w:szCs w:val="28"/>
          <w:lang w:val="en-US" w:eastAsia="zh-CN"/>
          <w14:textFill>
            <w14:solidFill>
              <w14:schemeClr w14:val="tx1"/>
            </w14:solidFill>
          </w14:textFill>
        </w:rPr>
        <w:t>3</w:t>
      </w:r>
      <w:r>
        <w:rPr>
          <w:rFonts w:hint="eastAsia" w:ascii="宋体" w:hAnsi="宋体" w:eastAsia="宋体" w:cs="宋体"/>
          <w:color w:val="000000" w:themeColor="text1"/>
          <w:kern w:val="0"/>
          <w:sz w:val="28"/>
          <w:szCs w:val="28"/>
          <w14:textFill>
            <w14:solidFill>
              <w14:schemeClr w14:val="tx1"/>
            </w14:solidFill>
          </w14:textFill>
        </w:rPr>
        <w:t>×</w:t>
      </w:r>
      <w:r>
        <w:rPr>
          <w:rFonts w:hint="eastAsia" w:ascii="宋体" w:hAnsi="宋体" w:eastAsia="宋体" w:cs="宋体"/>
          <w:color w:val="000000" w:themeColor="text1"/>
          <w:kern w:val="0"/>
          <w:sz w:val="28"/>
          <w:szCs w:val="28"/>
          <w:lang w:val="en-US" w:eastAsia="zh-CN"/>
          <w14:textFill>
            <w14:solidFill>
              <w14:schemeClr w14:val="tx1"/>
            </w14:solidFill>
          </w14:textFill>
        </w:rPr>
        <w:t>3</w:t>
      </w:r>
      <w:r>
        <w:rPr>
          <w:rFonts w:hint="eastAsia" w:ascii="宋体" w:hAnsi="宋体" w:eastAsia="宋体" w:cs="宋体"/>
          <w:color w:val="000000" w:themeColor="text1"/>
          <w:kern w:val="0"/>
          <w:sz w:val="28"/>
          <w:szCs w:val="28"/>
          <w14:textFill>
            <w14:solidFill>
              <w14:schemeClr w14:val="tx1"/>
            </w14:solidFill>
          </w14:textFill>
        </w:rPr>
        <w:t>×</w:t>
      </w:r>
      <w:r>
        <w:rPr>
          <w:rFonts w:hint="eastAsia" w:ascii="宋体" w:hAnsi="宋体" w:eastAsia="宋体" w:cs="宋体"/>
          <w:color w:val="000000" w:themeColor="text1"/>
          <w:kern w:val="0"/>
          <w:sz w:val="28"/>
          <w:szCs w:val="28"/>
          <w:lang w:val="en-US" w:eastAsia="zh-CN"/>
          <w14:textFill>
            <w14:solidFill>
              <w14:schemeClr w14:val="tx1"/>
            </w14:solidFill>
          </w14:textFill>
        </w:rPr>
        <w:t>7</w:t>
      </w:r>
    </w:p>
    <w:p w14:paraId="5C0A699D">
      <w:pPr>
        <w:adjustRightInd w:val="0"/>
        <w:snapToGrid w:val="0"/>
        <w:spacing w:line="500" w:lineRule="exact"/>
        <w:ind w:firstLine="561"/>
        <w:contextualSpacing/>
        <w:jc w:val="center"/>
        <w:rPr>
          <w:rFonts w:hint="default" w:ascii="宋体" w:hAnsi="宋体" w:eastAsia="宋体" w:cs="宋体"/>
          <w:color w:val="000000" w:themeColor="text1"/>
          <w:kern w:val="0"/>
          <w:sz w:val="28"/>
          <w:szCs w:val="28"/>
          <w:lang w:val="en-US" w:eastAsia="zh-CN"/>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 xml:space="preserve">      =</w:t>
      </w:r>
      <w:r>
        <w:rPr>
          <w:rFonts w:hint="eastAsia" w:ascii="宋体" w:hAnsi="宋体" w:eastAsia="宋体" w:cs="宋体"/>
          <w:color w:val="000000" w:themeColor="text1"/>
          <w:kern w:val="0"/>
          <w:sz w:val="28"/>
          <w:szCs w:val="28"/>
          <w:lang w:val="en-US" w:eastAsia="zh-CN"/>
          <w14:textFill>
            <w14:solidFill>
              <w14:schemeClr w14:val="tx1"/>
            </w14:solidFill>
          </w14:textFill>
        </w:rPr>
        <w:t>63</w:t>
      </w:r>
    </w:p>
    <w:p w14:paraId="0B3BD0F8">
      <w:pPr>
        <w:adjustRightInd w:val="0"/>
        <w:snapToGrid w:val="0"/>
        <w:spacing w:line="500" w:lineRule="exact"/>
        <w:ind w:firstLine="561"/>
        <w:contextualSpacing/>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对照危险性程度分级的分数值可以得出生产过程中的危险性程度为可能危险。按照以上方法取值，并计算D值，列入表5-</w:t>
      </w:r>
      <w:r>
        <w:rPr>
          <w:rFonts w:hint="eastAsia" w:ascii="宋体" w:hAnsi="宋体" w:eastAsia="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w:t>
      </w:r>
    </w:p>
    <w:p w14:paraId="10374BD2">
      <w:pPr>
        <w:adjustRightInd w:val="0"/>
        <w:snapToGrid w:val="0"/>
        <w:spacing w:line="500" w:lineRule="exact"/>
        <w:ind w:firstLine="561"/>
        <w:contextualSpacing/>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根据生产过程中的操作条件及作业人员进入危险环境的频次，下面分别对各参数进行取值计算，其结果列入下表。</w:t>
      </w:r>
    </w:p>
    <w:p w14:paraId="17EE4126">
      <w:pPr>
        <w:adjustRightInd w:val="0"/>
        <w:snapToGrid w:val="0"/>
        <w:spacing w:line="500" w:lineRule="exact"/>
        <w:contextualSpacing/>
        <w:jc w:val="cente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表5-</w:t>
      </w:r>
      <w:r>
        <w:rPr>
          <w:rFonts w:hint="eastAsia" w:ascii="宋体" w:hAnsi="宋体" w:eastAsia="宋体" w:cs="宋体"/>
          <w:bCs/>
          <w:color w:val="000000" w:themeColor="text1"/>
          <w:sz w:val="24"/>
          <w:lang w:val="en-US" w:eastAsia="zh-CN"/>
          <w14:textFill>
            <w14:solidFill>
              <w14:schemeClr w14:val="tx1"/>
            </w14:solidFill>
          </w14:textFill>
        </w:rPr>
        <w:t>3</w:t>
      </w:r>
      <w:r>
        <w:rPr>
          <w:rFonts w:hint="eastAsia" w:ascii="宋体" w:hAnsi="宋体" w:eastAsia="宋体" w:cs="宋体"/>
          <w:bCs/>
          <w:color w:val="000000" w:themeColor="text1"/>
          <w:sz w:val="24"/>
          <w14:textFill>
            <w14:solidFill>
              <w14:schemeClr w14:val="tx1"/>
            </w14:solidFill>
          </w14:textFill>
        </w:rPr>
        <w:t xml:space="preserve"> 评价结果表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7"/>
        <w:gridCol w:w="899"/>
        <w:gridCol w:w="916"/>
        <w:gridCol w:w="1104"/>
        <w:gridCol w:w="1219"/>
        <w:gridCol w:w="2166"/>
      </w:tblGrid>
      <w:tr w14:paraId="788B8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647" w:type="pct"/>
            <w:vMerge w:val="restart"/>
            <w:tcBorders>
              <w:top w:val="single" w:color="auto" w:sz="4" w:space="0"/>
              <w:left w:val="single" w:color="auto" w:sz="4" w:space="0"/>
              <w:right w:val="single" w:color="auto" w:sz="4" w:space="0"/>
            </w:tcBorders>
            <w:vAlign w:val="center"/>
          </w:tcPr>
          <w:p w14:paraId="1E0E1605">
            <w:pPr>
              <w:jc w:val="center"/>
              <w:rPr>
                <w:rFonts w:hint="eastAsia" w:hAnsi="宋体"/>
                <w:b/>
                <w:bCs/>
              </w:rPr>
            </w:pPr>
            <w:r>
              <w:rPr>
                <w:rFonts w:hint="eastAsia" w:hAnsi="宋体"/>
                <w:b/>
                <w:bCs/>
              </w:rPr>
              <w:t>危险因素</w:t>
            </w:r>
          </w:p>
        </w:tc>
        <w:tc>
          <w:tcPr>
            <w:tcW w:w="2200" w:type="pct"/>
            <w:gridSpan w:val="4"/>
            <w:tcBorders>
              <w:top w:val="single" w:color="auto" w:sz="4" w:space="0"/>
              <w:left w:val="single" w:color="auto" w:sz="4" w:space="0"/>
              <w:right w:val="single" w:color="auto" w:sz="4" w:space="0"/>
            </w:tcBorders>
            <w:vAlign w:val="center"/>
          </w:tcPr>
          <w:p w14:paraId="374477B5">
            <w:pPr>
              <w:jc w:val="center"/>
              <w:rPr>
                <w:rFonts w:hint="eastAsia" w:hAnsi="宋体"/>
                <w:b/>
                <w:bCs/>
              </w:rPr>
            </w:pPr>
            <w:r>
              <w:rPr>
                <w:rFonts w:hint="eastAsia" w:hAnsi="宋体"/>
                <w:b/>
                <w:bCs/>
              </w:rPr>
              <w:t>风险值D=L·E·C</w:t>
            </w:r>
          </w:p>
        </w:tc>
        <w:tc>
          <w:tcPr>
            <w:tcW w:w="1152" w:type="pct"/>
            <w:vMerge w:val="restart"/>
            <w:tcBorders>
              <w:top w:val="single" w:color="auto" w:sz="4" w:space="0"/>
              <w:left w:val="single" w:color="auto" w:sz="4" w:space="0"/>
              <w:right w:val="single" w:color="auto" w:sz="4" w:space="0"/>
            </w:tcBorders>
            <w:vAlign w:val="center"/>
          </w:tcPr>
          <w:p w14:paraId="3380DE43">
            <w:pPr>
              <w:jc w:val="center"/>
              <w:rPr>
                <w:rFonts w:hint="eastAsia" w:hAnsi="宋体"/>
                <w:b/>
                <w:bCs/>
              </w:rPr>
            </w:pPr>
            <w:r>
              <w:rPr>
                <w:rFonts w:hint="eastAsia" w:hAnsi="宋体"/>
                <w:b/>
                <w:bCs/>
              </w:rPr>
              <w:t>危险程度</w:t>
            </w:r>
          </w:p>
        </w:tc>
      </w:tr>
      <w:tr w14:paraId="07777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647" w:type="pct"/>
            <w:vMerge w:val="continue"/>
            <w:tcBorders>
              <w:left w:val="single" w:color="auto" w:sz="4" w:space="0"/>
              <w:right w:val="single" w:color="auto" w:sz="4" w:space="0"/>
            </w:tcBorders>
            <w:vAlign w:val="center"/>
          </w:tcPr>
          <w:p w14:paraId="6888EF08">
            <w:pPr>
              <w:widowControl/>
              <w:jc w:val="center"/>
              <w:rPr>
                <w:rFonts w:hint="eastAsia" w:hAnsi="宋体"/>
                <w:b/>
                <w:bCs/>
              </w:rPr>
            </w:pPr>
          </w:p>
        </w:tc>
        <w:tc>
          <w:tcPr>
            <w:tcW w:w="478" w:type="pct"/>
            <w:tcBorders>
              <w:top w:val="single" w:color="auto" w:sz="4" w:space="0"/>
              <w:left w:val="single" w:color="auto" w:sz="4" w:space="0"/>
              <w:bottom w:val="single" w:color="auto" w:sz="4" w:space="0"/>
              <w:right w:val="single" w:color="auto" w:sz="4" w:space="0"/>
            </w:tcBorders>
            <w:vAlign w:val="center"/>
          </w:tcPr>
          <w:p w14:paraId="1FBEC576">
            <w:pPr>
              <w:widowControl/>
              <w:jc w:val="center"/>
              <w:rPr>
                <w:rFonts w:hint="eastAsia" w:hAnsi="宋体"/>
                <w:b/>
                <w:bCs/>
              </w:rPr>
            </w:pPr>
            <w:r>
              <w:rPr>
                <w:rFonts w:hAnsi="宋体"/>
                <w:b/>
                <w:bCs/>
              </w:rPr>
              <w:t>L</w:t>
            </w:r>
          </w:p>
        </w:tc>
        <w:tc>
          <w:tcPr>
            <w:tcW w:w="487" w:type="pct"/>
            <w:tcBorders>
              <w:top w:val="single" w:color="auto" w:sz="4" w:space="0"/>
              <w:left w:val="single" w:color="auto" w:sz="4" w:space="0"/>
              <w:bottom w:val="single" w:color="auto" w:sz="4" w:space="0"/>
              <w:right w:val="single" w:color="auto" w:sz="4" w:space="0"/>
            </w:tcBorders>
            <w:vAlign w:val="center"/>
          </w:tcPr>
          <w:p w14:paraId="294495EE">
            <w:pPr>
              <w:widowControl/>
              <w:jc w:val="center"/>
              <w:rPr>
                <w:rFonts w:hint="eastAsia" w:hAnsi="宋体"/>
                <w:b/>
                <w:bCs/>
              </w:rPr>
            </w:pPr>
            <w:r>
              <w:rPr>
                <w:rFonts w:hAnsi="宋体"/>
                <w:b/>
                <w:bCs/>
              </w:rPr>
              <w:t>E</w:t>
            </w:r>
          </w:p>
        </w:tc>
        <w:tc>
          <w:tcPr>
            <w:tcW w:w="587" w:type="pct"/>
            <w:tcBorders>
              <w:top w:val="single" w:color="auto" w:sz="4" w:space="0"/>
              <w:left w:val="single" w:color="auto" w:sz="4" w:space="0"/>
              <w:bottom w:val="single" w:color="auto" w:sz="4" w:space="0"/>
              <w:right w:val="single" w:color="auto" w:sz="4" w:space="0"/>
            </w:tcBorders>
            <w:vAlign w:val="center"/>
          </w:tcPr>
          <w:p w14:paraId="78790429">
            <w:pPr>
              <w:widowControl/>
              <w:jc w:val="center"/>
              <w:rPr>
                <w:rFonts w:hint="eastAsia" w:hAnsi="宋体"/>
                <w:b/>
                <w:bCs/>
              </w:rPr>
            </w:pPr>
            <w:r>
              <w:rPr>
                <w:rFonts w:hAnsi="宋体"/>
                <w:b/>
                <w:bCs/>
              </w:rPr>
              <w:t>C</w:t>
            </w:r>
          </w:p>
        </w:tc>
        <w:tc>
          <w:tcPr>
            <w:tcW w:w="646" w:type="pct"/>
            <w:tcBorders>
              <w:top w:val="single" w:color="auto" w:sz="4" w:space="0"/>
              <w:left w:val="single" w:color="auto" w:sz="4" w:space="0"/>
              <w:bottom w:val="single" w:color="auto" w:sz="4" w:space="0"/>
              <w:right w:val="single" w:color="auto" w:sz="4" w:space="0"/>
            </w:tcBorders>
            <w:vAlign w:val="center"/>
          </w:tcPr>
          <w:p w14:paraId="1EDF1E86">
            <w:pPr>
              <w:jc w:val="center"/>
              <w:rPr>
                <w:rFonts w:hint="eastAsia" w:hAnsi="宋体"/>
                <w:b/>
                <w:bCs/>
              </w:rPr>
            </w:pPr>
            <w:r>
              <w:rPr>
                <w:rFonts w:hAnsi="宋体"/>
                <w:b/>
                <w:bCs/>
              </w:rPr>
              <w:t>D</w:t>
            </w:r>
          </w:p>
        </w:tc>
        <w:tc>
          <w:tcPr>
            <w:tcW w:w="1152" w:type="pct"/>
            <w:vMerge w:val="continue"/>
            <w:tcBorders>
              <w:left w:val="single" w:color="auto" w:sz="4" w:space="0"/>
              <w:bottom w:val="single" w:color="auto" w:sz="4" w:space="0"/>
              <w:right w:val="single" w:color="auto" w:sz="4" w:space="0"/>
            </w:tcBorders>
            <w:vAlign w:val="center"/>
          </w:tcPr>
          <w:p w14:paraId="3A6229F0">
            <w:pPr>
              <w:jc w:val="center"/>
              <w:rPr>
                <w:rFonts w:hint="eastAsia" w:hAnsi="宋体"/>
              </w:rPr>
            </w:pPr>
          </w:p>
        </w:tc>
      </w:tr>
      <w:tr w14:paraId="41902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7" w:type="pct"/>
            <w:tcBorders>
              <w:top w:val="single" w:color="auto" w:sz="4" w:space="0"/>
              <w:left w:val="single" w:color="auto" w:sz="4" w:space="0"/>
              <w:bottom w:val="single" w:color="auto" w:sz="4" w:space="0"/>
              <w:right w:val="single" w:color="auto" w:sz="4" w:space="0"/>
            </w:tcBorders>
            <w:shd w:val="clear" w:color="auto" w:fill="auto"/>
            <w:vAlign w:val="center"/>
          </w:tcPr>
          <w:p w14:paraId="69ACCE39">
            <w:pPr>
              <w:jc w:val="center"/>
              <w:rPr>
                <w:rFonts w:hint="eastAsia" w:hAnsi="宋体" w:cs="宋体"/>
                <w:bCs/>
                <w:kern w:val="3"/>
                <w:sz w:val="21"/>
                <w:szCs w:val="21"/>
              </w:rPr>
            </w:pPr>
            <w:r>
              <w:rPr>
                <w:rFonts w:hint="eastAsia" w:hAnsi="宋体" w:cs="宋体"/>
                <w:sz w:val="21"/>
                <w:szCs w:val="21"/>
              </w:rPr>
              <w:t>火灾</w:t>
            </w: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14:paraId="5FC0E21A">
            <w:pPr>
              <w:jc w:val="center"/>
              <w:rPr>
                <w:rFonts w:hint="eastAsia" w:hAnsi="宋体"/>
              </w:rPr>
            </w:pPr>
            <w:r>
              <w:rPr>
                <w:rFonts w:hint="eastAsia" w:hAnsi="宋体"/>
              </w:rPr>
              <w:t>3</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4A281D04">
            <w:pPr>
              <w:jc w:val="center"/>
              <w:rPr>
                <w:rFonts w:hint="eastAsia" w:hAnsi="宋体"/>
              </w:rPr>
            </w:pPr>
            <w:r>
              <w:rPr>
                <w:rFonts w:hint="eastAsia" w:hAnsi="宋体"/>
              </w:rPr>
              <w:t>3</w:t>
            </w: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263267CD">
            <w:pPr>
              <w:jc w:val="center"/>
              <w:rPr>
                <w:rFonts w:hint="eastAsia" w:hAnsi="宋体"/>
              </w:rPr>
            </w:pPr>
            <w:r>
              <w:rPr>
                <w:rFonts w:hint="eastAsia" w:hAnsi="宋体"/>
              </w:rPr>
              <w:t>7</w:t>
            </w:r>
          </w:p>
        </w:tc>
        <w:tc>
          <w:tcPr>
            <w:tcW w:w="646" w:type="pct"/>
            <w:tcBorders>
              <w:top w:val="single" w:color="auto" w:sz="4" w:space="0"/>
              <w:left w:val="single" w:color="auto" w:sz="4" w:space="0"/>
              <w:bottom w:val="single" w:color="auto" w:sz="4" w:space="0"/>
              <w:right w:val="single" w:color="auto" w:sz="4" w:space="0"/>
            </w:tcBorders>
            <w:shd w:val="clear" w:color="auto" w:fill="auto"/>
            <w:vAlign w:val="center"/>
          </w:tcPr>
          <w:p w14:paraId="4D02C3FA">
            <w:pPr>
              <w:jc w:val="center"/>
              <w:rPr>
                <w:rFonts w:hint="eastAsia" w:hAnsi="宋体"/>
              </w:rPr>
            </w:pPr>
            <w:r>
              <w:rPr>
                <w:rFonts w:hint="eastAsia" w:hAnsi="宋体"/>
              </w:rPr>
              <w:t>63</w:t>
            </w:r>
          </w:p>
        </w:tc>
        <w:tc>
          <w:tcPr>
            <w:tcW w:w="1152" w:type="pct"/>
            <w:tcBorders>
              <w:top w:val="single" w:color="auto" w:sz="4" w:space="0"/>
              <w:left w:val="single" w:color="auto" w:sz="4" w:space="0"/>
              <w:bottom w:val="single" w:color="auto" w:sz="4" w:space="0"/>
              <w:right w:val="single" w:color="auto" w:sz="4" w:space="0"/>
            </w:tcBorders>
            <w:shd w:val="clear" w:color="auto" w:fill="auto"/>
            <w:vAlign w:val="center"/>
          </w:tcPr>
          <w:p w14:paraId="67153918">
            <w:pPr>
              <w:jc w:val="center"/>
              <w:rPr>
                <w:rFonts w:hint="eastAsia" w:hAnsi="宋体"/>
              </w:rPr>
            </w:pPr>
            <w:r>
              <w:rPr>
                <w:rFonts w:hint="eastAsia" w:hAnsi="宋体"/>
              </w:rPr>
              <w:t>一般危险</w:t>
            </w:r>
          </w:p>
        </w:tc>
      </w:tr>
      <w:tr w14:paraId="55F1E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7" w:type="pct"/>
            <w:tcBorders>
              <w:top w:val="single" w:color="auto" w:sz="4" w:space="0"/>
              <w:left w:val="single" w:color="auto" w:sz="4" w:space="0"/>
              <w:bottom w:val="single" w:color="auto" w:sz="4" w:space="0"/>
              <w:right w:val="single" w:color="auto" w:sz="4" w:space="0"/>
            </w:tcBorders>
            <w:shd w:val="clear" w:color="auto" w:fill="auto"/>
            <w:vAlign w:val="center"/>
          </w:tcPr>
          <w:p w14:paraId="6542F347">
            <w:pPr>
              <w:jc w:val="center"/>
              <w:rPr>
                <w:rFonts w:hint="eastAsia" w:hAnsi="宋体" w:cs="宋体"/>
                <w:bCs/>
                <w:kern w:val="3"/>
                <w:sz w:val="21"/>
                <w:szCs w:val="21"/>
              </w:rPr>
            </w:pPr>
            <w:r>
              <w:rPr>
                <w:rFonts w:hint="eastAsia" w:hAnsi="宋体" w:cs="宋体"/>
                <w:bCs/>
                <w:kern w:val="3"/>
                <w:sz w:val="21"/>
                <w:szCs w:val="21"/>
              </w:rPr>
              <w:t>机械伤害</w:t>
            </w: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14:paraId="56A2F84F">
            <w:pPr>
              <w:jc w:val="center"/>
              <w:rPr>
                <w:rFonts w:hint="eastAsia" w:hAnsi="宋体"/>
              </w:rPr>
            </w:pPr>
            <w:r>
              <w:rPr>
                <w:rFonts w:hint="eastAsia" w:hAnsi="宋体"/>
              </w:rPr>
              <w:t>3</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261C2952">
            <w:pPr>
              <w:jc w:val="center"/>
              <w:rPr>
                <w:rFonts w:hint="eastAsia" w:hAnsi="宋体"/>
              </w:rPr>
            </w:pPr>
            <w:r>
              <w:rPr>
                <w:rFonts w:hint="eastAsia" w:hAnsi="宋体"/>
              </w:rPr>
              <w:t>3</w:t>
            </w: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6DE1E575">
            <w:pPr>
              <w:jc w:val="center"/>
              <w:rPr>
                <w:rFonts w:hint="eastAsia" w:hAnsi="宋体"/>
              </w:rPr>
            </w:pPr>
            <w:r>
              <w:rPr>
                <w:rFonts w:hint="eastAsia" w:hAnsi="宋体"/>
              </w:rPr>
              <w:t>7</w:t>
            </w:r>
          </w:p>
        </w:tc>
        <w:tc>
          <w:tcPr>
            <w:tcW w:w="646" w:type="pct"/>
            <w:tcBorders>
              <w:top w:val="single" w:color="auto" w:sz="4" w:space="0"/>
              <w:left w:val="single" w:color="auto" w:sz="4" w:space="0"/>
              <w:bottom w:val="single" w:color="auto" w:sz="4" w:space="0"/>
              <w:right w:val="single" w:color="auto" w:sz="4" w:space="0"/>
            </w:tcBorders>
            <w:shd w:val="clear" w:color="auto" w:fill="auto"/>
            <w:vAlign w:val="center"/>
          </w:tcPr>
          <w:p w14:paraId="6D04DD04">
            <w:pPr>
              <w:jc w:val="center"/>
              <w:rPr>
                <w:rFonts w:hint="eastAsia" w:hAnsi="宋体"/>
              </w:rPr>
            </w:pPr>
            <w:r>
              <w:rPr>
                <w:rFonts w:hint="eastAsia" w:hAnsi="宋体"/>
              </w:rPr>
              <w:t>63</w:t>
            </w:r>
          </w:p>
        </w:tc>
        <w:tc>
          <w:tcPr>
            <w:tcW w:w="1152" w:type="pct"/>
            <w:tcBorders>
              <w:top w:val="single" w:color="auto" w:sz="4" w:space="0"/>
              <w:left w:val="single" w:color="auto" w:sz="4" w:space="0"/>
              <w:bottom w:val="single" w:color="auto" w:sz="4" w:space="0"/>
              <w:right w:val="single" w:color="auto" w:sz="4" w:space="0"/>
            </w:tcBorders>
            <w:shd w:val="clear" w:color="auto" w:fill="auto"/>
            <w:vAlign w:val="center"/>
          </w:tcPr>
          <w:p w14:paraId="2EC3764B">
            <w:pPr>
              <w:jc w:val="center"/>
              <w:rPr>
                <w:rFonts w:hint="eastAsia" w:hAnsi="宋体"/>
                <w:kern w:val="2"/>
                <w:sz w:val="21"/>
                <w:szCs w:val="24"/>
              </w:rPr>
            </w:pPr>
            <w:r>
              <w:rPr>
                <w:rFonts w:hint="eastAsia" w:hAnsi="宋体"/>
              </w:rPr>
              <w:t>一般危险</w:t>
            </w:r>
          </w:p>
        </w:tc>
      </w:tr>
      <w:tr w14:paraId="501B1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7" w:type="pct"/>
            <w:tcBorders>
              <w:top w:val="single" w:color="auto" w:sz="4" w:space="0"/>
              <w:left w:val="single" w:color="auto" w:sz="4" w:space="0"/>
              <w:bottom w:val="single" w:color="auto" w:sz="4" w:space="0"/>
              <w:right w:val="single" w:color="auto" w:sz="4" w:space="0"/>
            </w:tcBorders>
            <w:shd w:val="clear" w:color="auto" w:fill="auto"/>
            <w:vAlign w:val="center"/>
          </w:tcPr>
          <w:p w14:paraId="2093946A">
            <w:pPr>
              <w:jc w:val="center"/>
              <w:rPr>
                <w:rFonts w:hint="eastAsia" w:hAnsi="宋体" w:cs="宋体"/>
                <w:bCs/>
                <w:kern w:val="3"/>
                <w:sz w:val="21"/>
                <w:szCs w:val="21"/>
              </w:rPr>
            </w:pPr>
            <w:r>
              <w:rPr>
                <w:rFonts w:hint="eastAsia" w:hAnsi="宋体" w:cs="宋体"/>
                <w:bCs/>
                <w:kern w:val="3"/>
                <w:sz w:val="21"/>
                <w:szCs w:val="21"/>
              </w:rPr>
              <w:t>触电</w:t>
            </w: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14:paraId="16122E1D">
            <w:pPr>
              <w:jc w:val="center"/>
              <w:rPr>
                <w:rFonts w:hint="eastAsia" w:hAnsi="宋体"/>
              </w:rPr>
            </w:pPr>
            <w:r>
              <w:rPr>
                <w:rFonts w:hint="eastAsia" w:hAnsi="宋体"/>
              </w:rPr>
              <w:t>1</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2C31A81F">
            <w:pPr>
              <w:jc w:val="center"/>
              <w:rPr>
                <w:rFonts w:hint="eastAsia" w:hAnsi="宋体"/>
              </w:rPr>
            </w:pPr>
            <w:r>
              <w:rPr>
                <w:rFonts w:hint="eastAsia" w:hAnsi="宋体"/>
              </w:rPr>
              <w:t>6</w:t>
            </w: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60B1196C">
            <w:pPr>
              <w:jc w:val="center"/>
              <w:rPr>
                <w:rFonts w:hint="eastAsia" w:hAnsi="宋体"/>
              </w:rPr>
            </w:pPr>
            <w:r>
              <w:rPr>
                <w:rFonts w:hint="eastAsia" w:hAnsi="宋体"/>
              </w:rPr>
              <w:t>15</w:t>
            </w:r>
          </w:p>
        </w:tc>
        <w:tc>
          <w:tcPr>
            <w:tcW w:w="646" w:type="pct"/>
            <w:tcBorders>
              <w:top w:val="single" w:color="auto" w:sz="4" w:space="0"/>
              <w:left w:val="single" w:color="auto" w:sz="4" w:space="0"/>
              <w:bottom w:val="single" w:color="auto" w:sz="4" w:space="0"/>
              <w:right w:val="single" w:color="auto" w:sz="4" w:space="0"/>
            </w:tcBorders>
            <w:shd w:val="clear" w:color="auto" w:fill="auto"/>
            <w:vAlign w:val="center"/>
          </w:tcPr>
          <w:p w14:paraId="1CB48094">
            <w:pPr>
              <w:jc w:val="center"/>
              <w:rPr>
                <w:rFonts w:hint="eastAsia" w:hAnsi="宋体"/>
              </w:rPr>
            </w:pPr>
            <w:r>
              <w:rPr>
                <w:rFonts w:hint="eastAsia" w:hAnsi="宋体"/>
              </w:rPr>
              <w:t>90</w:t>
            </w:r>
          </w:p>
        </w:tc>
        <w:tc>
          <w:tcPr>
            <w:tcW w:w="1152" w:type="pct"/>
            <w:tcBorders>
              <w:top w:val="single" w:color="auto" w:sz="4" w:space="0"/>
              <w:left w:val="single" w:color="auto" w:sz="4" w:space="0"/>
              <w:bottom w:val="single" w:color="auto" w:sz="4" w:space="0"/>
              <w:right w:val="single" w:color="auto" w:sz="4" w:space="0"/>
            </w:tcBorders>
            <w:shd w:val="clear" w:color="auto" w:fill="auto"/>
            <w:vAlign w:val="center"/>
          </w:tcPr>
          <w:p w14:paraId="34E99E2E">
            <w:pPr>
              <w:jc w:val="center"/>
              <w:rPr>
                <w:rFonts w:hint="eastAsia" w:hAnsi="宋体"/>
                <w:kern w:val="2"/>
                <w:sz w:val="21"/>
                <w:szCs w:val="24"/>
              </w:rPr>
            </w:pPr>
            <w:r>
              <w:rPr>
                <w:rFonts w:hint="eastAsia" w:hAnsi="宋体"/>
              </w:rPr>
              <w:t>显著危险</w:t>
            </w:r>
          </w:p>
        </w:tc>
      </w:tr>
      <w:tr w14:paraId="40F4E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7" w:type="pct"/>
            <w:tcBorders>
              <w:top w:val="single" w:color="auto" w:sz="4" w:space="0"/>
              <w:left w:val="single" w:color="auto" w:sz="4" w:space="0"/>
              <w:bottom w:val="single" w:color="auto" w:sz="4" w:space="0"/>
              <w:right w:val="single" w:color="auto" w:sz="4" w:space="0"/>
            </w:tcBorders>
            <w:shd w:val="clear" w:color="auto" w:fill="auto"/>
            <w:vAlign w:val="center"/>
          </w:tcPr>
          <w:p w14:paraId="54FCC55F">
            <w:pPr>
              <w:jc w:val="center"/>
              <w:rPr>
                <w:rFonts w:hint="eastAsia" w:hAnsi="宋体" w:cs="宋体"/>
                <w:bCs/>
                <w:kern w:val="3"/>
                <w:sz w:val="21"/>
                <w:szCs w:val="21"/>
              </w:rPr>
            </w:pPr>
            <w:r>
              <w:rPr>
                <w:rFonts w:hint="eastAsia" w:hAnsi="宋体" w:cs="宋体"/>
                <w:bCs/>
                <w:kern w:val="3"/>
                <w:sz w:val="21"/>
                <w:szCs w:val="21"/>
              </w:rPr>
              <w:t>车辆伤害</w:t>
            </w: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14:paraId="18AFC3E0">
            <w:pPr>
              <w:jc w:val="center"/>
              <w:rPr>
                <w:rFonts w:hint="eastAsia" w:hAnsi="宋体"/>
              </w:rPr>
            </w:pPr>
            <w:r>
              <w:rPr>
                <w:rFonts w:hint="eastAsia" w:hAnsi="宋体"/>
              </w:rPr>
              <w:t>1</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4AAEF8FF">
            <w:pPr>
              <w:jc w:val="center"/>
              <w:rPr>
                <w:rFonts w:hint="eastAsia" w:hAnsi="宋体"/>
              </w:rPr>
            </w:pPr>
            <w:r>
              <w:rPr>
                <w:rFonts w:hint="eastAsia" w:hAnsi="宋体"/>
              </w:rPr>
              <w:t>3</w:t>
            </w: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39798647">
            <w:pPr>
              <w:jc w:val="center"/>
              <w:rPr>
                <w:rFonts w:hint="eastAsia" w:hAnsi="宋体"/>
                <w:kern w:val="2"/>
                <w:sz w:val="21"/>
                <w:szCs w:val="24"/>
              </w:rPr>
            </w:pPr>
            <w:r>
              <w:rPr>
                <w:rFonts w:hint="eastAsia" w:hAnsi="宋体"/>
                <w:kern w:val="2"/>
                <w:sz w:val="21"/>
                <w:szCs w:val="24"/>
              </w:rPr>
              <w:t>7</w:t>
            </w:r>
          </w:p>
        </w:tc>
        <w:tc>
          <w:tcPr>
            <w:tcW w:w="646" w:type="pct"/>
            <w:tcBorders>
              <w:top w:val="single" w:color="auto" w:sz="4" w:space="0"/>
              <w:left w:val="single" w:color="auto" w:sz="4" w:space="0"/>
              <w:bottom w:val="single" w:color="auto" w:sz="4" w:space="0"/>
              <w:right w:val="single" w:color="auto" w:sz="4" w:space="0"/>
            </w:tcBorders>
            <w:shd w:val="clear" w:color="auto" w:fill="auto"/>
            <w:vAlign w:val="center"/>
          </w:tcPr>
          <w:p w14:paraId="3167E6D2">
            <w:pPr>
              <w:jc w:val="center"/>
              <w:rPr>
                <w:rFonts w:hint="eastAsia" w:hAnsi="宋体"/>
                <w:kern w:val="2"/>
                <w:sz w:val="21"/>
                <w:szCs w:val="24"/>
              </w:rPr>
            </w:pPr>
            <w:r>
              <w:rPr>
                <w:rFonts w:hint="eastAsia" w:hAnsi="宋体"/>
                <w:kern w:val="2"/>
                <w:sz w:val="21"/>
                <w:szCs w:val="24"/>
              </w:rPr>
              <w:t>21</w:t>
            </w:r>
          </w:p>
        </w:tc>
        <w:tc>
          <w:tcPr>
            <w:tcW w:w="1152" w:type="pct"/>
            <w:tcBorders>
              <w:top w:val="single" w:color="auto" w:sz="4" w:space="0"/>
              <w:left w:val="single" w:color="auto" w:sz="4" w:space="0"/>
              <w:bottom w:val="single" w:color="auto" w:sz="4" w:space="0"/>
              <w:right w:val="single" w:color="auto" w:sz="4" w:space="0"/>
            </w:tcBorders>
            <w:shd w:val="clear" w:color="auto" w:fill="auto"/>
            <w:vAlign w:val="center"/>
          </w:tcPr>
          <w:p w14:paraId="3E325E87">
            <w:pPr>
              <w:jc w:val="center"/>
              <w:rPr>
                <w:rFonts w:hint="eastAsia" w:hAnsi="宋体"/>
                <w:kern w:val="2"/>
                <w:sz w:val="21"/>
                <w:szCs w:val="24"/>
              </w:rPr>
            </w:pPr>
            <w:r>
              <w:rPr>
                <w:rFonts w:hint="eastAsia" w:hAnsi="宋体"/>
              </w:rPr>
              <w:t>一般危险</w:t>
            </w:r>
          </w:p>
        </w:tc>
      </w:tr>
      <w:tr w14:paraId="29D13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7" w:type="pct"/>
            <w:tcBorders>
              <w:top w:val="single" w:color="auto" w:sz="4" w:space="0"/>
              <w:left w:val="single" w:color="auto" w:sz="4" w:space="0"/>
              <w:bottom w:val="single" w:color="auto" w:sz="4" w:space="0"/>
              <w:right w:val="single" w:color="auto" w:sz="4" w:space="0"/>
            </w:tcBorders>
            <w:shd w:val="clear" w:color="auto" w:fill="auto"/>
            <w:vAlign w:val="center"/>
          </w:tcPr>
          <w:p w14:paraId="0C1D577F">
            <w:pPr>
              <w:jc w:val="center"/>
              <w:rPr>
                <w:rFonts w:hint="eastAsia" w:hAnsi="宋体" w:cs="宋体"/>
                <w:bCs/>
                <w:kern w:val="3"/>
                <w:sz w:val="21"/>
                <w:szCs w:val="21"/>
              </w:rPr>
            </w:pPr>
            <w:r>
              <w:rPr>
                <w:rFonts w:hint="eastAsia" w:hAnsi="宋体" w:cs="宋体"/>
                <w:bCs/>
                <w:kern w:val="3"/>
                <w:sz w:val="21"/>
                <w:szCs w:val="21"/>
              </w:rPr>
              <w:t>高处坠落</w:t>
            </w: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14:paraId="3BB018FD">
            <w:pPr>
              <w:jc w:val="center"/>
              <w:rPr>
                <w:rFonts w:hint="eastAsia" w:hAnsi="宋体"/>
              </w:rPr>
            </w:pPr>
            <w:r>
              <w:rPr>
                <w:rFonts w:hint="eastAsia" w:hAnsi="宋体"/>
              </w:rPr>
              <w:t>3</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051FE0E1">
            <w:pPr>
              <w:jc w:val="center"/>
              <w:rPr>
                <w:rFonts w:hint="eastAsia" w:hAnsi="宋体"/>
              </w:rPr>
            </w:pPr>
            <w:r>
              <w:rPr>
                <w:rFonts w:hint="eastAsia" w:hAnsi="宋体"/>
              </w:rPr>
              <w:t>2</w:t>
            </w: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33453957">
            <w:pPr>
              <w:jc w:val="center"/>
              <w:rPr>
                <w:rFonts w:hint="eastAsia" w:hAnsi="宋体"/>
              </w:rPr>
            </w:pPr>
            <w:r>
              <w:rPr>
                <w:rFonts w:hint="eastAsia" w:hAnsi="宋体"/>
              </w:rPr>
              <w:t>7</w:t>
            </w:r>
          </w:p>
        </w:tc>
        <w:tc>
          <w:tcPr>
            <w:tcW w:w="646" w:type="pct"/>
            <w:tcBorders>
              <w:top w:val="single" w:color="auto" w:sz="4" w:space="0"/>
              <w:left w:val="single" w:color="auto" w:sz="4" w:space="0"/>
              <w:bottom w:val="single" w:color="auto" w:sz="4" w:space="0"/>
              <w:right w:val="single" w:color="auto" w:sz="4" w:space="0"/>
            </w:tcBorders>
            <w:shd w:val="clear" w:color="auto" w:fill="auto"/>
            <w:vAlign w:val="center"/>
          </w:tcPr>
          <w:p w14:paraId="46881F7F">
            <w:pPr>
              <w:jc w:val="center"/>
              <w:rPr>
                <w:rFonts w:hint="eastAsia" w:hAnsi="宋体"/>
              </w:rPr>
            </w:pPr>
            <w:r>
              <w:rPr>
                <w:rFonts w:hint="eastAsia" w:hAnsi="宋体"/>
              </w:rPr>
              <w:t>42</w:t>
            </w:r>
          </w:p>
        </w:tc>
        <w:tc>
          <w:tcPr>
            <w:tcW w:w="1152" w:type="pct"/>
            <w:tcBorders>
              <w:top w:val="single" w:color="auto" w:sz="4" w:space="0"/>
              <w:left w:val="single" w:color="auto" w:sz="4" w:space="0"/>
              <w:bottom w:val="single" w:color="auto" w:sz="4" w:space="0"/>
              <w:right w:val="single" w:color="auto" w:sz="4" w:space="0"/>
            </w:tcBorders>
            <w:shd w:val="clear" w:color="auto" w:fill="auto"/>
            <w:vAlign w:val="center"/>
          </w:tcPr>
          <w:p w14:paraId="5F7D86D4">
            <w:pPr>
              <w:jc w:val="center"/>
              <w:rPr>
                <w:rFonts w:hint="eastAsia" w:hAnsi="宋体"/>
                <w:kern w:val="2"/>
                <w:sz w:val="21"/>
                <w:szCs w:val="24"/>
              </w:rPr>
            </w:pPr>
            <w:r>
              <w:rPr>
                <w:rFonts w:hint="eastAsia" w:hAnsi="宋体"/>
              </w:rPr>
              <w:t>一般危险</w:t>
            </w:r>
          </w:p>
        </w:tc>
      </w:tr>
      <w:tr w14:paraId="0FA57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7" w:type="pct"/>
            <w:tcBorders>
              <w:top w:val="single" w:color="auto" w:sz="4" w:space="0"/>
              <w:left w:val="single" w:color="auto" w:sz="4" w:space="0"/>
              <w:bottom w:val="single" w:color="auto" w:sz="4" w:space="0"/>
              <w:right w:val="single" w:color="auto" w:sz="4" w:space="0"/>
            </w:tcBorders>
            <w:shd w:val="clear" w:color="auto" w:fill="auto"/>
            <w:vAlign w:val="center"/>
          </w:tcPr>
          <w:p w14:paraId="234CB245">
            <w:pPr>
              <w:jc w:val="center"/>
              <w:rPr>
                <w:rFonts w:hint="eastAsia" w:hAnsi="宋体" w:cs="宋体"/>
                <w:bCs/>
                <w:kern w:val="3"/>
                <w:sz w:val="21"/>
                <w:szCs w:val="21"/>
              </w:rPr>
            </w:pPr>
            <w:r>
              <w:rPr>
                <w:rFonts w:hint="eastAsia" w:hAnsi="宋体" w:cs="宋体"/>
                <w:bCs/>
                <w:kern w:val="3"/>
                <w:sz w:val="21"/>
                <w:szCs w:val="21"/>
              </w:rPr>
              <w:t>物体打击</w:t>
            </w: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14:paraId="22F4191D">
            <w:pPr>
              <w:jc w:val="center"/>
              <w:rPr>
                <w:rFonts w:hint="eastAsia" w:hAnsi="宋体"/>
              </w:rPr>
            </w:pPr>
            <w:r>
              <w:rPr>
                <w:rFonts w:hint="eastAsia" w:hAnsi="宋体"/>
              </w:rPr>
              <w:t>3</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47CC5850">
            <w:pPr>
              <w:jc w:val="center"/>
              <w:rPr>
                <w:rFonts w:hint="eastAsia" w:hAnsi="宋体"/>
              </w:rPr>
            </w:pPr>
            <w:r>
              <w:rPr>
                <w:rFonts w:hint="eastAsia" w:hAnsi="宋体"/>
              </w:rPr>
              <w:t>3</w:t>
            </w: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27AC65C5">
            <w:pPr>
              <w:jc w:val="center"/>
              <w:rPr>
                <w:rFonts w:hint="eastAsia" w:hAnsi="宋体"/>
              </w:rPr>
            </w:pPr>
            <w:r>
              <w:rPr>
                <w:rFonts w:hint="eastAsia" w:hAnsi="宋体"/>
              </w:rPr>
              <w:t>7</w:t>
            </w:r>
          </w:p>
        </w:tc>
        <w:tc>
          <w:tcPr>
            <w:tcW w:w="646" w:type="pct"/>
            <w:tcBorders>
              <w:top w:val="single" w:color="auto" w:sz="4" w:space="0"/>
              <w:left w:val="single" w:color="auto" w:sz="4" w:space="0"/>
              <w:bottom w:val="single" w:color="auto" w:sz="4" w:space="0"/>
              <w:right w:val="single" w:color="auto" w:sz="4" w:space="0"/>
            </w:tcBorders>
            <w:shd w:val="clear" w:color="auto" w:fill="auto"/>
            <w:vAlign w:val="center"/>
          </w:tcPr>
          <w:p w14:paraId="4F4043B3">
            <w:pPr>
              <w:jc w:val="center"/>
              <w:rPr>
                <w:rFonts w:hint="eastAsia" w:hAnsi="宋体"/>
              </w:rPr>
            </w:pPr>
            <w:r>
              <w:rPr>
                <w:rFonts w:hint="eastAsia" w:hAnsi="宋体"/>
              </w:rPr>
              <w:t>63</w:t>
            </w:r>
          </w:p>
        </w:tc>
        <w:tc>
          <w:tcPr>
            <w:tcW w:w="1152" w:type="pct"/>
            <w:tcBorders>
              <w:top w:val="single" w:color="auto" w:sz="4" w:space="0"/>
              <w:left w:val="single" w:color="auto" w:sz="4" w:space="0"/>
              <w:bottom w:val="single" w:color="auto" w:sz="4" w:space="0"/>
              <w:right w:val="single" w:color="auto" w:sz="4" w:space="0"/>
            </w:tcBorders>
            <w:shd w:val="clear" w:color="auto" w:fill="auto"/>
            <w:vAlign w:val="center"/>
          </w:tcPr>
          <w:p w14:paraId="062D3E5E">
            <w:pPr>
              <w:jc w:val="center"/>
              <w:rPr>
                <w:rFonts w:hint="eastAsia" w:hAnsi="宋体"/>
              </w:rPr>
            </w:pPr>
            <w:r>
              <w:rPr>
                <w:rFonts w:hint="eastAsia" w:hAnsi="宋体"/>
              </w:rPr>
              <w:t>一般危险</w:t>
            </w:r>
          </w:p>
        </w:tc>
      </w:tr>
      <w:tr w14:paraId="2BEB5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7" w:type="pct"/>
            <w:tcBorders>
              <w:top w:val="single" w:color="auto" w:sz="4" w:space="0"/>
              <w:left w:val="single" w:color="auto" w:sz="4" w:space="0"/>
              <w:bottom w:val="single" w:color="auto" w:sz="4" w:space="0"/>
              <w:right w:val="single" w:color="auto" w:sz="4" w:space="0"/>
            </w:tcBorders>
            <w:shd w:val="clear" w:color="auto" w:fill="auto"/>
            <w:vAlign w:val="center"/>
          </w:tcPr>
          <w:p w14:paraId="5F135962">
            <w:pPr>
              <w:jc w:val="center"/>
              <w:rPr>
                <w:rFonts w:hint="eastAsia" w:hAnsi="宋体" w:cs="宋体"/>
                <w:bCs/>
                <w:kern w:val="3"/>
                <w:sz w:val="21"/>
                <w:szCs w:val="21"/>
              </w:rPr>
            </w:pPr>
            <w:r>
              <w:rPr>
                <w:rFonts w:hint="eastAsia" w:hAnsi="宋体" w:cs="宋体"/>
                <w:bCs/>
                <w:kern w:val="3"/>
                <w:sz w:val="21"/>
                <w:szCs w:val="21"/>
              </w:rPr>
              <w:t>坍塌</w:t>
            </w: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14:paraId="76BB551D">
            <w:pPr>
              <w:jc w:val="center"/>
              <w:rPr>
                <w:rFonts w:hint="eastAsia" w:hAnsi="宋体"/>
              </w:rPr>
            </w:pPr>
            <w:r>
              <w:rPr>
                <w:rFonts w:hint="eastAsia" w:hAnsi="宋体"/>
              </w:rPr>
              <w:t>1</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2CA68943">
            <w:pPr>
              <w:jc w:val="center"/>
              <w:rPr>
                <w:rFonts w:hint="eastAsia" w:hAnsi="宋体"/>
              </w:rPr>
            </w:pPr>
            <w:r>
              <w:rPr>
                <w:rFonts w:hint="eastAsia" w:hAnsi="宋体"/>
              </w:rPr>
              <w:t>1</w:t>
            </w: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54344E6C">
            <w:pPr>
              <w:jc w:val="center"/>
              <w:rPr>
                <w:rFonts w:hint="eastAsia" w:hAnsi="宋体"/>
              </w:rPr>
            </w:pPr>
            <w:r>
              <w:rPr>
                <w:rFonts w:hint="eastAsia" w:hAnsi="宋体"/>
              </w:rPr>
              <w:t>15</w:t>
            </w:r>
          </w:p>
        </w:tc>
        <w:tc>
          <w:tcPr>
            <w:tcW w:w="646" w:type="pct"/>
            <w:tcBorders>
              <w:top w:val="single" w:color="auto" w:sz="4" w:space="0"/>
              <w:left w:val="single" w:color="auto" w:sz="4" w:space="0"/>
              <w:bottom w:val="single" w:color="auto" w:sz="4" w:space="0"/>
              <w:right w:val="single" w:color="auto" w:sz="4" w:space="0"/>
            </w:tcBorders>
            <w:shd w:val="clear" w:color="auto" w:fill="auto"/>
            <w:vAlign w:val="center"/>
          </w:tcPr>
          <w:p w14:paraId="470167D1">
            <w:pPr>
              <w:jc w:val="center"/>
              <w:rPr>
                <w:rFonts w:hint="eastAsia" w:hAnsi="宋体"/>
              </w:rPr>
            </w:pPr>
            <w:r>
              <w:rPr>
                <w:rFonts w:hint="eastAsia" w:hAnsi="宋体"/>
              </w:rPr>
              <w:t>15</w:t>
            </w:r>
          </w:p>
        </w:tc>
        <w:tc>
          <w:tcPr>
            <w:tcW w:w="1152" w:type="pct"/>
            <w:tcBorders>
              <w:top w:val="single" w:color="auto" w:sz="4" w:space="0"/>
              <w:left w:val="single" w:color="auto" w:sz="4" w:space="0"/>
              <w:bottom w:val="single" w:color="auto" w:sz="4" w:space="0"/>
              <w:right w:val="single" w:color="auto" w:sz="4" w:space="0"/>
            </w:tcBorders>
            <w:shd w:val="clear" w:color="auto" w:fill="auto"/>
            <w:vAlign w:val="center"/>
          </w:tcPr>
          <w:p w14:paraId="7EDE12C3">
            <w:pPr>
              <w:jc w:val="center"/>
              <w:rPr>
                <w:rFonts w:hint="eastAsia" w:hAnsi="宋体"/>
              </w:rPr>
            </w:pPr>
            <w:r>
              <w:rPr>
                <w:rFonts w:hint="eastAsia" w:hAnsi="宋体"/>
              </w:rPr>
              <w:t>稍有危险</w:t>
            </w:r>
          </w:p>
        </w:tc>
      </w:tr>
      <w:tr w14:paraId="77871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7" w:type="pct"/>
            <w:tcBorders>
              <w:top w:val="single" w:color="auto" w:sz="4" w:space="0"/>
              <w:left w:val="single" w:color="auto" w:sz="4" w:space="0"/>
              <w:bottom w:val="single" w:color="auto" w:sz="4" w:space="0"/>
              <w:right w:val="single" w:color="auto" w:sz="4" w:space="0"/>
            </w:tcBorders>
            <w:shd w:val="clear" w:color="auto" w:fill="auto"/>
            <w:vAlign w:val="center"/>
          </w:tcPr>
          <w:p w14:paraId="0C837538">
            <w:pPr>
              <w:jc w:val="center"/>
              <w:rPr>
                <w:rFonts w:hint="eastAsia" w:hAnsi="宋体" w:cs="宋体"/>
                <w:bCs/>
                <w:kern w:val="3"/>
                <w:sz w:val="21"/>
                <w:szCs w:val="21"/>
              </w:rPr>
            </w:pPr>
            <w:r>
              <w:rPr>
                <w:rFonts w:hint="eastAsia" w:hAnsi="宋体" w:cs="宋体"/>
                <w:bCs/>
                <w:kern w:val="3"/>
                <w:sz w:val="21"/>
                <w:szCs w:val="21"/>
              </w:rPr>
              <w:t>起重伤害</w:t>
            </w: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14:paraId="02223DB3">
            <w:pPr>
              <w:jc w:val="center"/>
              <w:rPr>
                <w:rFonts w:hint="eastAsia" w:hAnsi="宋体"/>
              </w:rPr>
            </w:pPr>
            <w:r>
              <w:rPr>
                <w:rFonts w:hint="eastAsia" w:hAnsi="宋体"/>
              </w:rPr>
              <w:t>3</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2576265B">
            <w:pPr>
              <w:jc w:val="center"/>
              <w:rPr>
                <w:szCs w:val="21"/>
              </w:rPr>
            </w:pPr>
            <w:r>
              <w:rPr>
                <w:rFonts w:hint="eastAsia"/>
                <w:szCs w:val="21"/>
              </w:rPr>
              <w:t>3</w:t>
            </w: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1BF9EAC7">
            <w:pPr>
              <w:jc w:val="center"/>
              <w:rPr>
                <w:rFonts w:hint="eastAsia" w:hAnsi="宋体"/>
              </w:rPr>
            </w:pPr>
            <w:r>
              <w:rPr>
                <w:rFonts w:hint="eastAsia" w:hAnsi="宋体"/>
              </w:rPr>
              <w:t>15</w:t>
            </w:r>
          </w:p>
        </w:tc>
        <w:tc>
          <w:tcPr>
            <w:tcW w:w="646" w:type="pct"/>
            <w:tcBorders>
              <w:top w:val="single" w:color="auto" w:sz="4" w:space="0"/>
              <w:left w:val="single" w:color="auto" w:sz="4" w:space="0"/>
              <w:bottom w:val="single" w:color="auto" w:sz="4" w:space="0"/>
              <w:right w:val="single" w:color="auto" w:sz="4" w:space="0"/>
            </w:tcBorders>
            <w:shd w:val="clear" w:color="auto" w:fill="auto"/>
            <w:vAlign w:val="center"/>
          </w:tcPr>
          <w:p w14:paraId="2D79E37E">
            <w:pPr>
              <w:jc w:val="center"/>
              <w:rPr>
                <w:rFonts w:hint="eastAsia" w:hAnsi="宋体"/>
              </w:rPr>
            </w:pPr>
            <w:r>
              <w:rPr>
                <w:rFonts w:hint="eastAsia" w:hAnsi="宋体"/>
              </w:rPr>
              <w:t>135</w:t>
            </w:r>
          </w:p>
        </w:tc>
        <w:tc>
          <w:tcPr>
            <w:tcW w:w="1152" w:type="pct"/>
            <w:tcBorders>
              <w:top w:val="single" w:color="auto" w:sz="4" w:space="0"/>
              <w:left w:val="single" w:color="auto" w:sz="4" w:space="0"/>
              <w:bottom w:val="single" w:color="auto" w:sz="4" w:space="0"/>
              <w:right w:val="single" w:color="auto" w:sz="4" w:space="0"/>
            </w:tcBorders>
            <w:shd w:val="clear" w:color="auto" w:fill="auto"/>
            <w:vAlign w:val="center"/>
          </w:tcPr>
          <w:p w14:paraId="07AAAB11">
            <w:pPr>
              <w:jc w:val="center"/>
              <w:rPr>
                <w:rFonts w:hint="eastAsia" w:hAnsi="宋体"/>
                <w:kern w:val="2"/>
                <w:sz w:val="21"/>
                <w:szCs w:val="24"/>
              </w:rPr>
            </w:pPr>
            <w:r>
              <w:rPr>
                <w:rFonts w:hint="eastAsia" w:hAnsi="宋体"/>
              </w:rPr>
              <w:t>显著危险</w:t>
            </w:r>
          </w:p>
        </w:tc>
      </w:tr>
      <w:tr w14:paraId="13CDA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7" w:type="pct"/>
            <w:tcBorders>
              <w:top w:val="single" w:color="auto" w:sz="4" w:space="0"/>
              <w:left w:val="single" w:color="auto" w:sz="4" w:space="0"/>
              <w:bottom w:val="single" w:color="auto" w:sz="4" w:space="0"/>
              <w:right w:val="single" w:color="auto" w:sz="4" w:space="0"/>
            </w:tcBorders>
            <w:shd w:val="clear" w:color="auto" w:fill="auto"/>
            <w:vAlign w:val="center"/>
          </w:tcPr>
          <w:p w14:paraId="5FC7346A">
            <w:pPr>
              <w:jc w:val="center"/>
              <w:rPr>
                <w:rFonts w:hint="eastAsia" w:hAnsi="宋体" w:cs="宋体"/>
                <w:bCs/>
                <w:kern w:val="3"/>
                <w:sz w:val="21"/>
                <w:szCs w:val="21"/>
              </w:rPr>
            </w:pPr>
            <w:r>
              <w:rPr>
                <w:rFonts w:hint="eastAsia" w:hAnsi="宋体" w:cs="宋体"/>
                <w:bCs/>
                <w:kern w:val="3"/>
                <w:sz w:val="21"/>
                <w:szCs w:val="21"/>
              </w:rPr>
              <w:t>其他伤害</w:t>
            </w: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14:paraId="2211B555">
            <w:pPr>
              <w:jc w:val="center"/>
              <w:rPr>
                <w:rFonts w:hint="eastAsia" w:hAnsi="宋体"/>
              </w:rPr>
            </w:pPr>
            <w:r>
              <w:rPr>
                <w:rFonts w:hint="eastAsia" w:hAnsi="宋体"/>
              </w:rPr>
              <w:t>3</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72E289B7">
            <w:pPr>
              <w:jc w:val="center"/>
              <w:rPr>
                <w:szCs w:val="21"/>
              </w:rPr>
            </w:pPr>
            <w:r>
              <w:rPr>
                <w:rFonts w:hint="eastAsia"/>
                <w:szCs w:val="21"/>
              </w:rPr>
              <w:t>3</w:t>
            </w: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2FBB10EC">
            <w:pPr>
              <w:jc w:val="center"/>
              <w:rPr>
                <w:rFonts w:hint="eastAsia" w:hAnsi="宋体"/>
              </w:rPr>
            </w:pPr>
            <w:r>
              <w:rPr>
                <w:rFonts w:hint="eastAsia" w:hAnsi="宋体"/>
              </w:rPr>
              <w:t>2</w:t>
            </w:r>
          </w:p>
        </w:tc>
        <w:tc>
          <w:tcPr>
            <w:tcW w:w="646" w:type="pct"/>
            <w:tcBorders>
              <w:top w:val="single" w:color="auto" w:sz="4" w:space="0"/>
              <w:left w:val="single" w:color="auto" w:sz="4" w:space="0"/>
              <w:bottom w:val="single" w:color="auto" w:sz="4" w:space="0"/>
              <w:right w:val="single" w:color="auto" w:sz="4" w:space="0"/>
            </w:tcBorders>
            <w:shd w:val="clear" w:color="auto" w:fill="auto"/>
            <w:vAlign w:val="center"/>
          </w:tcPr>
          <w:p w14:paraId="40C858BA">
            <w:pPr>
              <w:jc w:val="center"/>
              <w:rPr>
                <w:rFonts w:hint="eastAsia" w:hAnsi="宋体"/>
                <w:kern w:val="2"/>
                <w:sz w:val="21"/>
                <w:szCs w:val="24"/>
              </w:rPr>
            </w:pPr>
            <w:r>
              <w:rPr>
                <w:rFonts w:hint="eastAsia" w:hAnsi="宋体"/>
              </w:rPr>
              <w:t>18</w:t>
            </w:r>
          </w:p>
        </w:tc>
        <w:tc>
          <w:tcPr>
            <w:tcW w:w="1152" w:type="pct"/>
            <w:tcBorders>
              <w:top w:val="single" w:color="auto" w:sz="4" w:space="0"/>
              <w:left w:val="single" w:color="auto" w:sz="4" w:space="0"/>
              <w:bottom w:val="single" w:color="auto" w:sz="4" w:space="0"/>
              <w:right w:val="single" w:color="auto" w:sz="4" w:space="0"/>
            </w:tcBorders>
            <w:shd w:val="clear" w:color="auto" w:fill="auto"/>
            <w:vAlign w:val="center"/>
          </w:tcPr>
          <w:p w14:paraId="71F02431">
            <w:pPr>
              <w:jc w:val="center"/>
              <w:rPr>
                <w:rFonts w:hint="eastAsia" w:hAnsi="宋体"/>
                <w:kern w:val="2"/>
                <w:sz w:val="21"/>
                <w:szCs w:val="24"/>
              </w:rPr>
            </w:pPr>
            <w:r>
              <w:rPr>
                <w:rFonts w:hint="eastAsia" w:hAnsi="宋体"/>
              </w:rPr>
              <w:t>稍有危险</w:t>
            </w:r>
          </w:p>
        </w:tc>
      </w:tr>
      <w:tr w14:paraId="717F3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7" w:type="pct"/>
            <w:tcBorders>
              <w:top w:val="single" w:color="auto" w:sz="4" w:space="0"/>
              <w:left w:val="single" w:color="auto" w:sz="4" w:space="0"/>
              <w:bottom w:val="single" w:color="auto" w:sz="4" w:space="0"/>
              <w:right w:val="single" w:color="auto" w:sz="4" w:space="0"/>
            </w:tcBorders>
            <w:shd w:val="clear" w:color="auto" w:fill="auto"/>
            <w:vAlign w:val="center"/>
          </w:tcPr>
          <w:p w14:paraId="458AB45F">
            <w:pPr>
              <w:jc w:val="center"/>
              <w:rPr>
                <w:rFonts w:hint="eastAsia" w:hAnsi="宋体" w:eastAsia="宋体" w:cs="宋体"/>
                <w:bCs/>
                <w:kern w:val="3"/>
                <w:sz w:val="21"/>
                <w:szCs w:val="21"/>
                <w:lang w:val="en-US" w:eastAsia="zh-CN"/>
              </w:rPr>
            </w:pPr>
            <w:r>
              <w:rPr>
                <w:rFonts w:hint="eastAsia" w:hAnsi="宋体" w:cs="宋体"/>
                <w:bCs/>
                <w:kern w:val="3"/>
                <w:sz w:val="21"/>
                <w:szCs w:val="21"/>
                <w:lang w:val="en-US" w:eastAsia="zh-CN"/>
              </w:rPr>
              <w:t>灼烫</w:t>
            </w: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14:paraId="48A0B14B">
            <w:pPr>
              <w:jc w:val="center"/>
              <w:rPr>
                <w:rFonts w:hint="default" w:ascii="宋体" w:hAnsi="宋体" w:eastAsia="宋体" w:cs="Times New Roman"/>
                <w:sz w:val="24"/>
                <w:lang w:val="en-US" w:eastAsia="zh-CN" w:bidi="ar-SA"/>
              </w:rPr>
            </w:pPr>
            <w:r>
              <w:rPr>
                <w:rFonts w:hint="eastAsia" w:hAnsi="宋体" w:cs="Times New Roman"/>
                <w:sz w:val="24"/>
                <w:lang w:val="en-US" w:eastAsia="zh-CN" w:bidi="ar-SA"/>
              </w:rPr>
              <w:t>2</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14:paraId="3F92A435">
            <w:pPr>
              <w:jc w:val="center"/>
              <w:rPr>
                <w:rFonts w:hint="default" w:ascii="宋体" w:hAnsi="宋体" w:eastAsia="宋体" w:cs="Times New Roman"/>
                <w:sz w:val="24"/>
                <w:lang w:val="en-US" w:eastAsia="zh-CN" w:bidi="ar-SA"/>
              </w:rPr>
            </w:pPr>
            <w:r>
              <w:rPr>
                <w:rFonts w:hint="eastAsia" w:hAnsi="宋体" w:cs="Times New Roman"/>
                <w:sz w:val="24"/>
                <w:lang w:val="en-US" w:eastAsia="zh-CN" w:bidi="ar-SA"/>
              </w:rPr>
              <w:t>3</w:t>
            </w: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442C16BC">
            <w:pPr>
              <w:jc w:val="center"/>
              <w:rPr>
                <w:rFonts w:hint="eastAsia" w:ascii="宋体" w:hAnsi="宋体" w:eastAsia="宋体" w:cs="Times New Roman"/>
                <w:sz w:val="24"/>
                <w:lang w:val="en-US" w:eastAsia="zh-CN" w:bidi="ar-SA"/>
              </w:rPr>
            </w:pPr>
            <w:r>
              <w:rPr>
                <w:rFonts w:hint="eastAsia" w:hAnsi="宋体"/>
              </w:rPr>
              <w:t>7</w:t>
            </w:r>
          </w:p>
        </w:tc>
        <w:tc>
          <w:tcPr>
            <w:tcW w:w="646" w:type="pct"/>
            <w:tcBorders>
              <w:top w:val="single" w:color="auto" w:sz="4" w:space="0"/>
              <w:left w:val="single" w:color="auto" w:sz="4" w:space="0"/>
              <w:bottom w:val="single" w:color="auto" w:sz="4" w:space="0"/>
              <w:right w:val="single" w:color="auto" w:sz="4" w:space="0"/>
            </w:tcBorders>
            <w:shd w:val="clear" w:color="auto" w:fill="auto"/>
            <w:vAlign w:val="center"/>
          </w:tcPr>
          <w:p w14:paraId="14F8C874">
            <w:pPr>
              <w:jc w:val="center"/>
              <w:rPr>
                <w:rFonts w:hint="eastAsia" w:ascii="宋体" w:hAnsi="宋体" w:eastAsia="宋体" w:cs="Times New Roman"/>
                <w:sz w:val="24"/>
                <w:lang w:val="en-US" w:eastAsia="zh-CN" w:bidi="ar-SA"/>
              </w:rPr>
            </w:pPr>
            <w:r>
              <w:rPr>
                <w:rFonts w:hint="eastAsia" w:hAnsi="宋体"/>
              </w:rPr>
              <w:t>42</w:t>
            </w:r>
          </w:p>
        </w:tc>
        <w:tc>
          <w:tcPr>
            <w:tcW w:w="1152" w:type="pct"/>
            <w:tcBorders>
              <w:top w:val="single" w:color="auto" w:sz="4" w:space="0"/>
              <w:left w:val="single" w:color="auto" w:sz="4" w:space="0"/>
              <w:bottom w:val="single" w:color="auto" w:sz="4" w:space="0"/>
              <w:right w:val="single" w:color="auto" w:sz="4" w:space="0"/>
            </w:tcBorders>
            <w:shd w:val="clear" w:color="auto" w:fill="auto"/>
            <w:vAlign w:val="center"/>
          </w:tcPr>
          <w:p w14:paraId="3E1972B7">
            <w:pPr>
              <w:jc w:val="center"/>
              <w:rPr>
                <w:rFonts w:hint="eastAsia" w:ascii="宋体" w:hAnsi="宋体" w:eastAsia="宋体" w:cs="Times New Roman"/>
                <w:kern w:val="2"/>
                <w:sz w:val="21"/>
                <w:szCs w:val="24"/>
                <w:lang w:val="en-US" w:eastAsia="zh-CN" w:bidi="ar-SA"/>
              </w:rPr>
            </w:pPr>
            <w:r>
              <w:rPr>
                <w:rFonts w:hint="eastAsia" w:hAnsi="宋体"/>
              </w:rPr>
              <w:t>一般危险</w:t>
            </w:r>
          </w:p>
        </w:tc>
      </w:tr>
    </w:tbl>
    <w:p w14:paraId="0A2DE90A">
      <w:pPr>
        <w:adjustRightInd w:val="0"/>
        <w:snapToGrid w:val="0"/>
        <w:spacing w:line="500" w:lineRule="exact"/>
        <w:ind w:firstLine="561"/>
        <w:contextualSpacing/>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从上表中可以看出：触电、起重伤害属于显著危险，火灾、机械伤害、车辆伤害、高处坠落、物体打击、坍塌、其它伤害</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灼烫</w:t>
      </w:r>
      <w:r>
        <w:rPr>
          <w:rFonts w:hint="eastAsia" w:ascii="宋体" w:hAnsi="宋体" w:eastAsia="宋体" w:cs="宋体"/>
          <w:color w:val="000000" w:themeColor="text1"/>
          <w:sz w:val="28"/>
          <w:szCs w:val="28"/>
          <w14:textFill>
            <w14:solidFill>
              <w14:schemeClr w14:val="tx1"/>
            </w14:solidFill>
          </w14:textFill>
        </w:rPr>
        <w:t>属于一般危险或稍有危险。</w:t>
      </w:r>
    </w:p>
    <w:p w14:paraId="3CD013B6">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736" w:name="_Toc30885"/>
      <w:bookmarkStart w:id="737" w:name="_Toc31834"/>
      <w:bookmarkStart w:id="738" w:name="_Toc15855"/>
      <w:bookmarkStart w:id="739" w:name="_Toc2683"/>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5.2.3单元小结</w:t>
      </w:r>
      <w:bookmarkEnd w:id="736"/>
      <w:bookmarkEnd w:id="737"/>
      <w:bookmarkEnd w:id="738"/>
      <w:bookmarkEnd w:id="739"/>
    </w:p>
    <w:p w14:paraId="7669C396">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通过以上分析评价可知：</w:t>
      </w:r>
    </w:p>
    <w:p w14:paraId="1DEC5E10">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安全检查表分析评价结果：该项目的生产工艺设备设施符合《生产设备安全卫生设计总则》（GB5083-</w:t>
      </w:r>
      <w:r>
        <w:rPr>
          <w:rFonts w:hint="eastAsia" w:ascii="宋体" w:hAnsi="宋体" w:eastAsia="宋体" w:cs="宋体"/>
          <w:color w:val="000000" w:themeColor="text1"/>
          <w:sz w:val="28"/>
          <w:szCs w:val="28"/>
          <w:lang w:val="en-US" w:eastAsia="zh-CN"/>
          <w14:textFill>
            <w14:solidFill>
              <w14:schemeClr w14:val="tx1"/>
            </w14:solidFill>
          </w14:textFill>
        </w:rPr>
        <w:t>2023</w:t>
      </w:r>
      <w:r>
        <w:rPr>
          <w:rFonts w:hint="eastAsia" w:ascii="宋体" w:hAnsi="宋体" w:eastAsia="宋体" w:cs="宋体"/>
          <w:color w:val="000000" w:themeColor="text1"/>
          <w:sz w:val="28"/>
          <w:szCs w:val="28"/>
          <w14:textFill>
            <w14:solidFill>
              <w14:schemeClr w14:val="tx1"/>
            </w14:solidFill>
          </w14:textFill>
        </w:rPr>
        <w:t>）、《生产过程安全卫生要求总则》（GB/T 12801-2008）、《中华人民共和国安全生产法》（中华人民共和国主席令第88号，2021年修订）</w:t>
      </w:r>
      <w:r>
        <w:rPr>
          <w:rFonts w:hint="eastAsia" w:ascii="宋体" w:hAnsi="宋体" w:eastAsia="宋体" w:cs="宋体"/>
          <w:color w:val="000000" w:themeColor="text1"/>
          <w:kern w:val="0"/>
          <w:sz w:val="28"/>
          <w:szCs w:val="28"/>
          <w:lang w:eastAsia="zh-CN"/>
          <w14:textFill>
            <w14:solidFill>
              <w14:schemeClr w14:val="tx1"/>
            </w14:solidFill>
          </w14:textFill>
        </w:rPr>
        <w:t>、</w:t>
      </w:r>
      <w:r>
        <w:rPr>
          <w:rFonts w:hint="eastAsia" w:ascii="宋体" w:hAnsi="宋体" w:eastAsia="宋体" w:cs="宋体"/>
          <w:color w:val="000000"/>
          <w:kern w:val="0"/>
          <w:sz w:val="28"/>
          <w:szCs w:val="28"/>
          <w:lang w:val="en-US" w:eastAsia="zh-CN" w:bidi="ar"/>
        </w:rPr>
        <w:t>《金属切削机床装配通用技术条件》（GB/T25373-2010）、《手持式电动工具的管理、使用、检查和维修安全技术规程》（GB/T3787-2017）</w:t>
      </w:r>
      <w:r>
        <w:rPr>
          <w:rFonts w:hint="eastAsia" w:ascii="宋体" w:hAnsi="宋体" w:eastAsia="宋体" w:cs="宋体"/>
          <w:color w:val="000000" w:themeColor="text1"/>
          <w:sz w:val="28"/>
          <w:szCs w:val="28"/>
          <w14:textFill>
            <w14:solidFill>
              <w14:schemeClr w14:val="tx1"/>
            </w14:solidFill>
          </w14:textFill>
        </w:rPr>
        <w:t>等相关规范的要求。</w:t>
      </w:r>
    </w:p>
    <w:p w14:paraId="16881B65">
      <w:pPr>
        <w:adjustRightInd w:val="0"/>
        <w:snapToGrid w:val="0"/>
        <w:spacing w:line="500" w:lineRule="exact"/>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作业条件危险性分析结果可知：该项目各工序风险控制措施有效，通过分析可知，触电、起重伤害属于显著危险，火灾、机械伤害、车辆伤害、高处坠落、物体打击、坍塌、其它伤害、灼烫属于一般危险或稍有危险。企业的风险控制措施有效。</w:t>
      </w:r>
    </w:p>
    <w:p w14:paraId="2B2572EE">
      <w:pPr>
        <w:pStyle w:val="3"/>
        <w:keepNext/>
        <w:keepLines/>
        <w:pageBreakBefore w:val="0"/>
        <w:widowControl w:val="0"/>
        <w:kinsoku/>
        <w:wordWrap/>
        <w:overflowPunct/>
        <w:topLinePunct w:val="0"/>
        <w:autoSpaceDE/>
        <w:autoSpaceDN/>
        <w:bidi w:val="0"/>
        <w:adjustRightInd/>
        <w:snapToGrid w:val="0"/>
        <w:spacing w:before="0" w:after="0" w:line="520" w:lineRule="exact"/>
        <w:jc w:val="both"/>
        <w:textAlignment w:val="auto"/>
        <w:rPr>
          <w:rFonts w:hint="eastAsia" w:ascii="宋体" w:hAnsi="宋体" w:eastAsia="宋体" w:cs="宋体"/>
          <w:color w:val="000000" w:themeColor="text1"/>
          <w:kern w:val="0"/>
          <w14:textFill>
            <w14:solidFill>
              <w14:schemeClr w14:val="tx1"/>
            </w14:solidFill>
          </w14:textFill>
        </w:rPr>
      </w:pPr>
      <w:bookmarkStart w:id="740" w:name="_Toc27545"/>
      <w:bookmarkStart w:id="741" w:name="_Toc30001447"/>
      <w:bookmarkStart w:id="742" w:name="_Toc13490"/>
      <w:bookmarkStart w:id="743" w:name="_Toc4152"/>
      <w:bookmarkStart w:id="744" w:name="_Toc32459"/>
      <w:bookmarkStart w:id="745" w:name="_Toc20842"/>
      <w:bookmarkStart w:id="746" w:name="_Toc61474470"/>
      <w:bookmarkStart w:id="747" w:name="_Toc5638"/>
      <w:r>
        <w:rPr>
          <w:rFonts w:hint="eastAsia" w:ascii="宋体" w:hAnsi="宋体" w:eastAsia="宋体" w:cs="宋体"/>
          <w:color w:val="000000" w:themeColor="text1"/>
          <w:kern w:val="0"/>
          <w14:textFill>
            <w14:solidFill>
              <w14:schemeClr w14:val="tx1"/>
            </w14:solidFill>
          </w14:textFill>
        </w:rPr>
        <w:t>5.3安全防护设施评价单元</w:t>
      </w:r>
      <w:bookmarkEnd w:id="740"/>
      <w:bookmarkEnd w:id="741"/>
      <w:bookmarkEnd w:id="742"/>
      <w:bookmarkEnd w:id="743"/>
      <w:bookmarkEnd w:id="744"/>
      <w:bookmarkEnd w:id="745"/>
      <w:bookmarkEnd w:id="746"/>
      <w:bookmarkEnd w:id="747"/>
    </w:p>
    <w:p w14:paraId="4D5A25F3">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748" w:name="_Toc4283"/>
      <w:bookmarkStart w:id="749" w:name="_Toc26190"/>
      <w:bookmarkStart w:id="750" w:name="_Toc61474471"/>
      <w:bookmarkStart w:id="751" w:name="_Toc4056"/>
      <w:bookmarkStart w:id="752" w:name="_Toc28763"/>
      <w:bookmarkStart w:id="753" w:name="_Toc31600"/>
      <w:bookmarkStart w:id="754" w:name="_Toc30001448"/>
      <w:bookmarkStart w:id="755" w:name="_Toc21957"/>
      <w:bookmarkStart w:id="756" w:name="_Toc9859"/>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5.3.1常规防护设施和措施安全检查表法</w:t>
      </w:r>
      <w:bookmarkEnd w:id="748"/>
      <w:bookmarkEnd w:id="749"/>
      <w:bookmarkEnd w:id="750"/>
      <w:bookmarkEnd w:id="751"/>
      <w:bookmarkEnd w:id="752"/>
      <w:bookmarkEnd w:id="753"/>
      <w:bookmarkEnd w:id="754"/>
      <w:bookmarkEnd w:id="755"/>
      <w:bookmarkEnd w:id="756"/>
    </w:p>
    <w:p w14:paraId="4295055B">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根据《安全色》（GB2893-2008）、《安全标志及其使用导则》（GB2894-2008）、《机械安全防护装置固定式和活动式防护装置的设计与制造一般要求》（GB/T8196-2018）、《机械工业职业安全卫生设计规范》（JBJ18-2000）等规范的要求，编制了常规防护设施和措施检查表，对该项目的常规防护设施和措施进行检查，其检查结果见下表5-</w:t>
      </w:r>
      <w:r>
        <w:rPr>
          <w:rFonts w:hint="eastAsia" w:ascii="宋体" w:hAnsi="宋体" w:eastAsia="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w:t>
      </w:r>
    </w:p>
    <w:p w14:paraId="0C30C5DB">
      <w:pPr>
        <w:adjustRightInd w:val="0"/>
        <w:snapToGrid w:val="0"/>
        <w:spacing w:line="500" w:lineRule="exact"/>
        <w:jc w:val="center"/>
        <w:rPr>
          <w:rFonts w:hint="eastAsia" w:ascii="宋体" w:hAnsi="宋体" w:eastAsia="宋体" w:cs="宋体"/>
          <w:b/>
          <w:bCs/>
          <w:color w:val="000000" w:themeColor="text1"/>
          <w:szCs w:val="21"/>
          <w14:textFill>
            <w14:solidFill>
              <w14:schemeClr w14:val="tx1"/>
            </w14:solidFill>
          </w14:textFill>
        </w:rPr>
      </w:pPr>
    </w:p>
    <w:p w14:paraId="5FDBF8DE">
      <w:pPr>
        <w:adjustRightInd w:val="0"/>
        <w:snapToGrid w:val="0"/>
        <w:spacing w:line="500" w:lineRule="exact"/>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表5-</w:t>
      </w:r>
      <w:r>
        <w:rPr>
          <w:rFonts w:hint="eastAsia" w:ascii="宋体" w:hAnsi="宋体" w:eastAsia="宋体" w:cs="宋体"/>
          <w:b/>
          <w:bCs/>
          <w:color w:val="000000" w:themeColor="text1"/>
          <w:szCs w:val="21"/>
          <w:lang w:val="en-US" w:eastAsia="zh-CN"/>
          <w14:textFill>
            <w14:solidFill>
              <w14:schemeClr w14:val="tx1"/>
            </w14:solidFill>
          </w14:textFill>
        </w:rPr>
        <w:t>4</w:t>
      </w:r>
      <w:r>
        <w:rPr>
          <w:rFonts w:hint="eastAsia" w:ascii="宋体" w:hAnsi="宋体" w:eastAsia="宋体" w:cs="宋体"/>
          <w:b/>
          <w:bCs/>
          <w:color w:val="000000" w:themeColor="text1"/>
          <w:szCs w:val="21"/>
          <w14:textFill>
            <w14:solidFill>
              <w14:schemeClr w14:val="tx1"/>
            </w14:solidFill>
          </w14:textFill>
        </w:rPr>
        <w:t>常规防护设施和措施安全检查表</w:t>
      </w:r>
    </w:p>
    <w:tbl>
      <w:tblPr>
        <w:tblStyle w:val="24"/>
        <w:tblW w:w="89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3335"/>
        <w:gridCol w:w="2271"/>
        <w:gridCol w:w="1808"/>
        <w:gridCol w:w="806"/>
      </w:tblGrid>
      <w:tr w14:paraId="3A7EA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50" w:type="dxa"/>
            <w:vAlign w:val="center"/>
          </w:tcPr>
          <w:p w14:paraId="0ED470D1">
            <w:pPr>
              <w:adjustRightInd w:val="0"/>
              <w:snapToGrid w:val="0"/>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序号</w:t>
            </w:r>
          </w:p>
        </w:tc>
        <w:tc>
          <w:tcPr>
            <w:tcW w:w="3335" w:type="dxa"/>
            <w:vAlign w:val="center"/>
          </w:tcPr>
          <w:p w14:paraId="00F1E50E">
            <w:pPr>
              <w:suppressAutoHyphens/>
              <w:adjustRightInd w:val="0"/>
              <w:snapToGrid w:val="0"/>
              <w:spacing w:line="300" w:lineRule="exact"/>
              <w:ind w:firstLine="211" w:firstLineChars="100"/>
              <w:jc w:val="center"/>
              <w:rPr>
                <w:rFonts w:hint="eastAsia" w:ascii="宋体" w:hAnsi="宋体" w:eastAsia="宋体" w:cs="宋体"/>
                <w:b/>
                <w:snapToGrid w:val="0"/>
                <w:color w:val="000000" w:themeColor="text1"/>
                <w:kern w:val="0"/>
                <w:sz w:val="21"/>
                <w:szCs w:val="21"/>
                <w14:textFill>
                  <w14:solidFill>
                    <w14:schemeClr w14:val="tx1"/>
                  </w14:solidFill>
                </w14:textFill>
              </w:rPr>
            </w:pPr>
            <w:r>
              <w:rPr>
                <w:rFonts w:hint="eastAsia" w:ascii="宋体" w:hAnsi="宋体" w:eastAsia="宋体" w:cs="宋体"/>
                <w:b/>
                <w:snapToGrid w:val="0"/>
                <w:color w:val="000000" w:themeColor="text1"/>
                <w:kern w:val="0"/>
                <w:sz w:val="21"/>
                <w:szCs w:val="21"/>
                <w14:textFill>
                  <w14:solidFill>
                    <w14:schemeClr w14:val="tx1"/>
                  </w14:solidFill>
                </w14:textFill>
              </w:rPr>
              <w:t>检查内容</w:t>
            </w:r>
          </w:p>
        </w:tc>
        <w:tc>
          <w:tcPr>
            <w:tcW w:w="2271" w:type="dxa"/>
            <w:vAlign w:val="center"/>
          </w:tcPr>
          <w:p w14:paraId="6688D93F">
            <w:pPr>
              <w:suppressAutoHyphens/>
              <w:adjustRightInd w:val="0"/>
              <w:snapToGrid w:val="0"/>
              <w:spacing w:line="300" w:lineRule="exact"/>
              <w:jc w:val="center"/>
              <w:rPr>
                <w:rFonts w:hint="eastAsia" w:ascii="宋体" w:hAnsi="宋体" w:eastAsia="宋体" w:cs="宋体"/>
                <w:b/>
                <w:snapToGrid w:val="0"/>
                <w:color w:val="000000" w:themeColor="text1"/>
                <w:kern w:val="0"/>
                <w:sz w:val="21"/>
                <w:szCs w:val="21"/>
                <w14:textFill>
                  <w14:solidFill>
                    <w14:schemeClr w14:val="tx1"/>
                  </w14:solidFill>
                </w14:textFill>
              </w:rPr>
            </w:pPr>
            <w:r>
              <w:rPr>
                <w:rFonts w:hint="eastAsia" w:ascii="宋体" w:hAnsi="宋体" w:eastAsia="宋体" w:cs="宋体"/>
                <w:b/>
                <w:snapToGrid w:val="0"/>
                <w:color w:val="000000" w:themeColor="text1"/>
                <w:kern w:val="0"/>
                <w:sz w:val="21"/>
                <w:szCs w:val="21"/>
                <w14:textFill>
                  <w14:solidFill>
                    <w14:schemeClr w14:val="tx1"/>
                  </w14:solidFill>
                </w14:textFill>
              </w:rPr>
              <w:t>依据标准</w:t>
            </w:r>
          </w:p>
        </w:tc>
        <w:tc>
          <w:tcPr>
            <w:tcW w:w="1808" w:type="dxa"/>
            <w:vAlign w:val="center"/>
          </w:tcPr>
          <w:p w14:paraId="60467567">
            <w:pPr>
              <w:suppressAutoHyphens/>
              <w:adjustRightInd w:val="0"/>
              <w:snapToGrid w:val="0"/>
              <w:spacing w:line="300" w:lineRule="exact"/>
              <w:jc w:val="center"/>
              <w:rPr>
                <w:rFonts w:hint="eastAsia" w:ascii="宋体" w:hAnsi="宋体" w:eastAsia="宋体" w:cs="宋体"/>
                <w:b/>
                <w:snapToGrid w:val="0"/>
                <w:color w:val="000000" w:themeColor="text1"/>
                <w:kern w:val="0"/>
                <w:sz w:val="21"/>
                <w:szCs w:val="21"/>
                <w14:textFill>
                  <w14:solidFill>
                    <w14:schemeClr w14:val="tx1"/>
                  </w14:solidFill>
                </w14:textFill>
              </w:rPr>
            </w:pPr>
            <w:r>
              <w:rPr>
                <w:rFonts w:hint="eastAsia" w:ascii="宋体" w:hAnsi="宋体" w:eastAsia="宋体" w:cs="宋体"/>
                <w:b/>
                <w:snapToGrid w:val="0"/>
                <w:color w:val="000000" w:themeColor="text1"/>
                <w:kern w:val="0"/>
                <w:sz w:val="21"/>
                <w:szCs w:val="21"/>
                <w14:textFill>
                  <w14:solidFill>
                    <w14:schemeClr w14:val="tx1"/>
                  </w14:solidFill>
                </w14:textFill>
              </w:rPr>
              <w:t>检查情况</w:t>
            </w:r>
          </w:p>
        </w:tc>
        <w:tc>
          <w:tcPr>
            <w:tcW w:w="806" w:type="dxa"/>
            <w:vAlign w:val="center"/>
          </w:tcPr>
          <w:p w14:paraId="3EB01D07">
            <w:pPr>
              <w:suppressAutoHyphens/>
              <w:adjustRightInd w:val="0"/>
              <w:snapToGrid w:val="0"/>
              <w:spacing w:line="300" w:lineRule="exact"/>
              <w:jc w:val="center"/>
              <w:rPr>
                <w:rFonts w:hint="eastAsia" w:ascii="宋体" w:hAnsi="宋体" w:eastAsia="宋体" w:cs="宋体"/>
                <w:b/>
                <w:snapToGrid w:val="0"/>
                <w:color w:val="000000" w:themeColor="text1"/>
                <w:kern w:val="0"/>
                <w:sz w:val="21"/>
                <w:szCs w:val="21"/>
                <w14:textFill>
                  <w14:solidFill>
                    <w14:schemeClr w14:val="tx1"/>
                  </w14:solidFill>
                </w14:textFill>
              </w:rPr>
            </w:pPr>
            <w:r>
              <w:rPr>
                <w:rFonts w:hint="eastAsia" w:ascii="宋体" w:hAnsi="宋体" w:eastAsia="宋体" w:cs="宋体"/>
                <w:b/>
                <w:snapToGrid w:val="0"/>
                <w:color w:val="000000" w:themeColor="text1"/>
                <w:kern w:val="0"/>
                <w:sz w:val="21"/>
                <w:szCs w:val="21"/>
                <w14:textFill>
                  <w14:solidFill>
                    <w14:schemeClr w14:val="tx1"/>
                  </w14:solidFill>
                </w14:textFill>
              </w:rPr>
              <w:t>结论</w:t>
            </w:r>
          </w:p>
        </w:tc>
      </w:tr>
      <w:tr w14:paraId="2997E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970" w:type="dxa"/>
            <w:gridSpan w:val="5"/>
            <w:vAlign w:val="center"/>
          </w:tcPr>
          <w:p w14:paraId="7EA62595">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安全色与安全标识</w:t>
            </w:r>
          </w:p>
        </w:tc>
      </w:tr>
      <w:tr w14:paraId="0A463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69712CFE">
            <w:pPr>
              <w:numPr>
                <w:ilvl w:val="0"/>
                <w:numId w:val="7"/>
              </w:numPr>
              <w:tabs>
                <w:tab w:val="left" w:pos="533"/>
              </w:tabs>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776B5756">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使用安全色时要考虑周围的亮度及同其他颜色的关系,要使安全色能正确辨认。</w:t>
            </w:r>
          </w:p>
        </w:tc>
        <w:tc>
          <w:tcPr>
            <w:tcW w:w="2271" w:type="dxa"/>
            <w:vAlign w:val="center"/>
          </w:tcPr>
          <w:p w14:paraId="0111064A">
            <w:pPr>
              <w:tabs>
                <w:tab w:val="left" w:pos="2898"/>
              </w:tabs>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《安全色》（GB2893-2008）</w:t>
            </w:r>
          </w:p>
          <w:p w14:paraId="7460992D">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第A.3条</w:t>
            </w:r>
          </w:p>
        </w:tc>
        <w:tc>
          <w:tcPr>
            <w:tcW w:w="1808" w:type="dxa"/>
            <w:vAlign w:val="center"/>
          </w:tcPr>
          <w:p w14:paraId="7A47B93F">
            <w:pPr>
              <w:tabs>
                <w:tab w:val="left" w:pos="2898"/>
              </w:tabs>
              <w:adjustRightInd w:val="0"/>
              <w:snapToGrid w:val="0"/>
              <w:spacing w:line="300" w:lineRule="exact"/>
              <w:ind w:left="210" w:hanging="210" w:hangingChars="10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该项目使用的安全色符合要求。</w:t>
            </w:r>
          </w:p>
        </w:tc>
        <w:tc>
          <w:tcPr>
            <w:tcW w:w="806" w:type="dxa"/>
            <w:vAlign w:val="center"/>
          </w:tcPr>
          <w:p w14:paraId="7BF7F4A3">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5FA0C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10FC3509">
            <w:pPr>
              <w:numPr>
                <w:ilvl w:val="0"/>
                <w:numId w:val="7"/>
              </w:numPr>
              <w:tabs>
                <w:tab w:val="left" w:pos="533"/>
              </w:tabs>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2863D040">
            <w:pPr>
              <w:tabs>
                <w:tab w:val="left" w:pos="2898"/>
              </w:tabs>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凡涂有安全色的部位，每半年应检查一次，应保持整洁、明亮，如有变色、褪色等不符合安全色范围,逆反射系数低于70%或安全色的使用环境改变时，应及时重涂或更换，以保证安全色正确、醒目，达到安全警示的目的。</w:t>
            </w:r>
          </w:p>
        </w:tc>
        <w:tc>
          <w:tcPr>
            <w:tcW w:w="2271" w:type="dxa"/>
            <w:vAlign w:val="center"/>
          </w:tcPr>
          <w:p w14:paraId="36869772">
            <w:pPr>
              <w:tabs>
                <w:tab w:val="left" w:pos="2898"/>
              </w:tabs>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《安全色》（GB2893-2008）</w:t>
            </w:r>
          </w:p>
          <w:p w14:paraId="678973EA">
            <w:pPr>
              <w:tabs>
                <w:tab w:val="left" w:pos="2898"/>
              </w:tabs>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第A.4条</w:t>
            </w:r>
          </w:p>
        </w:tc>
        <w:tc>
          <w:tcPr>
            <w:tcW w:w="1808" w:type="dxa"/>
            <w:vAlign w:val="center"/>
          </w:tcPr>
          <w:p w14:paraId="2961F489">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该公司对安全色的使用和管理符合规范要求。</w:t>
            </w:r>
          </w:p>
        </w:tc>
        <w:tc>
          <w:tcPr>
            <w:tcW w:w="806" w:type="dxa"/>
            <w:vAlign w:val="center"/>
          </w:tcPr>
          <w:p w14:paraId="7398485C">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07A68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392718EE">
            <w:pPr>
              <w:numPr>
                <w:ilvl w:val="0"/>
                <w:numId w:val="7"/>
              </w:numPr>
              <w:tabs>
                <w:tab w:val="left" w:pos="533"/>
              </w:tabs>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0C2D491E">
            <w:pPr>
              <w:tabs>
                <w:tab w:val="left" w:pos="2898"/>
              </w:tabs>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标志牌设置的高度，应尽量与人眼的视线高度相一致。悬排式和柱式的环境信息标志牌的下缘距地面的高度不宜小于2m，局部信息标志设置高度视具体情况确定。</w:t>
            </w:r>
          </w:p>
        </w:tc>
        <w:tc>
          <w:tcPr>
            <w:tcW w:w="2271" w:type="dxa"/>
            <w:vAlign w:val="center"/>
          </w:tcPr>
          <w:p w14:paraId="736F4FC5">
            <w:pPr>
              <w:tabs>
                <w:tab w:val="left" w:pos="2898"/>
              </w:tabs>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《安全标志及其使用导则》</w:t>
            </w:r>
            <w:r>
              <w:rPr>
                <w:rFonts w:hint="eastAsia" w:ascii="宋体" w:hAnsi="宋体" w:eastAsia="宋体" w:cs="宋体"/>
                <w:color w:val="000000" w:themeColor="text1"/>
                <w:kern w:val="0"/>
                <w:sz w:val="21"/>
                <w:szCs w:val="21"/>
                <w14:textFill>
                  <w14:solidFill>
                    <w14:schemeClr w14:val="tx1"/>
                  </w14:solidFill>
                </w14:textFill>
              </w:rPr>
              <w:br w:type="textWrapping"/>
            </w:r>
            <w:r>
              <w:rPr>
                <w:rFonts w:hint="eastAsia" w:ascii="宋体" w:hAnsi="宋体" w:eastAsia="宋体" w:cs="宋体"/>
                <w:color w:val="000000" w:themeColor="text1"/>
                <w:kern w:val="0"/>
                <w:sz w:val="21"/>
                <w:szCs w:val="21"/>
                <w14:textFill>
                  <w14:solidFill>
                    <w14:schemeClr w14:val="tx1"/>
                  </w14:solidFill>
                </w14:textFill>
              </w:rPr>
              <w:t>（GB 2894-2008 ）</w:t>
            </w:r>
          </w:p>
          <w:p w14:paraId="6FBC3833">
            <w:pPr>
              <w:tabs>
                <w:tab w:val="left" w:pos="2898"/>
              </w:tabs>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第8条</w:t>
            </w:r>
          </w:p>
        </w:tc>
        <w:tc>
          <w:tcPr>
            <w:tcW w:w="1808" w:type="dxa"/>
            <w:vAlign w:val="center"/>
          </w:tcPr>
          <w:p w14:paraId="1F1E144F">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该项目内的标志牌设置高度符合规范要求。</w:t>
            </w:r>
          </w:p>
        </w:tc>
        <w:tc>
          <w:tcPr>
            <w:tcW w:w="806" w:type="dxa"/>
            <w:vAlign w:val="center"/>
          </w:tcPr>
          <w:p w14:paraId="5D40B077">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23B6D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1DC467AC">
            <w:pPr>
              <w:numPr>
                <w:ilvl w:val="0"/>
                <w:numId w:val="7"/>
              </w:numPr>
              <w:tabs>
                <w:tab w:val="left" w:pos="533"/>
              </w:tabs>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4C371985">
            <w:pPr>
              <w:tabs>
                <w:tab w:val="left" w:pos="2898"/>
              </w:tabs>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标志牌不应设在门、窗、架等可移动的物体上，以免标志牌随母体物体相应移动，影响认读，标志牌前不得放置妨碍认读的障碍物。</w:t>
            </w:r>
          </w:p>
        </w:tc>
        <w:tc>
          <w:tcPr>
            <w:tcW w:w="2271" w:type="dxa"/>
            <w:vAlign w:val="center"/>
          </w:tcPr>
          <w:p w14:paraId="0D52C498">
            <w:pPr>
              <w:tabs>
                <w:tab w:val="left" w:pos="2898"/>
              </w:tabs>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《安全色》（GB2893-2008）</w:t>
            </w:r>
          </w:p>
          <w:p w14:paraId="6A3BCC00">
            <w:pPr>
              <w:tabs>
                <w:tab w:val="left" w:pos="2898"/>
              </w:tabs>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第9.1条</w:t>
            </w:r>
          </w:p>
        </w:tc>
        <w:tc>
          <w:tcPr>
            <w:tcW w:w="1808" w:type="dxa"/>
            <w:vAlign w:val="center"/>
          </w:tcPr>
          <w:p w14:paraId="7E463608">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该项目内的标志牌未设置在可移动的物体上，均固定牢靠。</w:t>
            </w:r>
          </w:p>
        </w:tc>
        <w:tc>
          <w:tcPr>
            <w:tcW w:w="806" w:type="dxa"/>
            <w:vAlign w:val="center"/>
          </w:tcPr>
          <w:p w14:paraId="7A5D7E22">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0152A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3A164B0F">
            <w:pPr>
              <w:numPr>
                <w:ilvl w:val="0"/>
                <w:numId w:val="7"/>
              </w:numPr>
              <w:tabs>
                <w:tab w:val="left" w:pos="533"/>
              </w:tabs>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43D05023">
            <w:pPr>
              <w:tabs>
                <w:tab w:val="left" w:pos="2898"/>
              </w:tabs>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安全标志牌至少每半年检查一次，如发现有破损、变形、褪色等不符合要求时,应及时修正或更换。</w:t>
            </w:r>
          </w:p>
        </w:tc>
        <w:tc>
          <w:tcPr>
            <w:tcW w:w="2271" w:type="dxa"/>
            <w:vAlign w:val="center"/>
          </w:tcPr>
          <w:p w14:paraId="34179024">
            <w:pPr>
              <w:tabs>
                <w:tab w:val="left" w:pos="2898"/>
              </w:tabs>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《安全色》（GB2893-2008）</w:t>
            </w:r>
          </w:p>
          <w:p w14:paraId="59EA417D">
            <w:pPr>
              <w:tabs>
                <w:tab w:val="left" w:pos="2898"/>
              </w:tabs>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第10.1条</w:t>
            </w:r>
          </w:p>
        </w:tc>
        <w:tc>
          <w:tcPr>
            <w:tcW w:w="1808" w:type="dxa"/>
            <w:vAlign w:val="center"/>
          </w:tcPr>
          <w:p w14:paraId="51DF691C">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w:t>
            </w:r>
            <w:r>
              <w:rPr>
                <w:rFonts w:hint="eastAsia" w:ascii="宋体" w:hAnsi="宋体" w:eastAsia="宋体" w:cs="宋体"/>
                <w:color w:val="000000" w:themeColor="text1"/>
                <w:sz w:val="21"/>
                <w:szCs w:val="21"/>
                <w:lang w:val="en-US" w:eastAsia="zh-CN"/>
                <w14:textFill>
                  <w14:solidFill>
                    <w14:schemeClr w14:val="tx1"/>
                  </w14:solidFill>
                </w14:textFill>
              </w:rPr>
              <w:t>生产区</w:t>
            </w:r>
            <w:r>
              <w:rPr>
                <w:rFonts w:hint="eastAsia" w:ascii="宋体" w:hAnsi="宋体" w:eastAsia="宋体" w:cs="宋体"/>
                <w:color w:val="000000" w:themeColor="text1"/>
                <w:sz w:val="21"/>
                <w:szCs w:val="21"/>
                <w14:textFill>
                  <w14:solidFill>
                    <w14:schemeClr w14:val="tx1"/>
                  </w14:solidFill>
                </w14:textFill>
              </w:rPr>
              <w:t>安全标志牌符合要求。</w:t>
            </w:r>
          </w:p>
        </w:tc>
        <w:tc>
          <w:tcPr>
            <w:tcW w:w="806" w:type="dxa"/>
            <w:vAlign w:val="center"/>
          </w:tcPr>
          <w:p w14:paraId="63A75A06">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700EE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970" w:type="dxa"/>
            <w:gridSpan w:val="5"/>
            <w:vAlign w:val="center"/>
          </w:tcPr>
          <w:p w14:paraId="2BE49B3A">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固定式钢直梯</w:t>
            </w:r>
          </w:p>
        </w:tc>
      </w:tr>
      <w:tr w14:paraId="52CBD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11F54485">
            <w:pPr>
              <w:numPr>
                <w:ilvl w:val="0"/>
                <w:numId w:val="7"/>
              </w:numPr>
              <w:tabs>
                <w:tab w:val="left" w:pos="533"/>
              </w:tabs>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4BE25FB7">
            <w:pPr>
              <w:tabs>
                <w:tab w:val="left" w:pos="2898"/>
              </w:tabs>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钢直梯应与其固定的结构表明平行并尽可能垂直水平面设置。</w:t>
            </w:r>
          </w:p>
        </w:tc>
        <w:tc>
          <w:tcPr>
            <w:tcW w:w="2271" w:type="dxa"/>
            <w:vAlign w:val="center"/>
          </w:tcPr>
          <w:p w14:paraId="7D4FB37F">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《固定式钢梯及平台安全要求第1部分：钢直梯》</w:t>
            </w:r>
          </w:p>
          <w:p w14:paraId="3F4AF948">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 4053.1-2009）</w:t>
            </w:r>
          </w:p>
          <w:p w14:paraId="60BD156B">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第4.2条</w:t>
            </w:r>
          </w:p>
        </w:tc>
        <w:tc>
          <w:tcPr>
            <w:tcW w:w="1808" w:type="dxa"/>
            <w:vAlign w:val="center"/>
          </w:tcPr>
          <w:p w14:paraId="74425D52">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该项目设置的直梯符合要求。</w:t>
            </w:r>
          </w:p>
        </w:tc>
        <w:tc>
          <w:tcPr>
            <w:tcW w:w="806" w:type="dxa"/>
            <w:vAlign w:val="center"/>
          </w:tcPr>
          <w:p w14:paraId="69313AB7">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4538E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7233F949">
            <w:pPr>
              <w:numPr>
                <w:ilvl w:val="0"/>
                <w:numId w:val="7"/>
              </w:numPr>
              <w:tabs>
                <w:tab w:val="left" w:pos="533"/>
              </w:tabs>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3C16CA2E">
            <w:pPr>
              <w:tabs>
                <w:tab w:val="left" w:pos="2898"/>
              </w:tabs>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钢直梯应采用焊接连接，焊接要求应符合GB50205的规定。采用其他方式连接时，连接强度应不低于焊接。安装后的梯子不应有歪斜、扭曲、变形及其他缺陷。</w:t>
            </w:r>
          </w:p>
        </w:tc>
        <w:tc>
          <w:tcPr>
            <w:tcW w:w="2271" w:type="dxa"/>
            <w:vAlign w:val="center"/>
          </w:tcPr>
          <w:p w14:paraId="54413A07">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《固定式钢梯及平台安全要求第1部分：钢直梯》</w:t>
            </w:r>
          </w:p>
          <w:p w14:paraId="5A7C7A71">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 4053.1-2009）</w:t>
            </w:r>
          </w:p>
          <w:p w14:paraId="1722C5B7">
            <w:pPr>
              <w:tabs>
                <w:tab w:val="left" w:pos="2898"/>
              </w:tabs>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第4.4.1条</w:t>
            </w:r>
          </w:p>
        </w:tc>
        <w:tc>
          <w:tcPr>
            <w:tcW w:w="1808" w:type="dxa"/>
            <w:vAlign w:val="center"/>
          </w:tcPr>
          <w:p w14:paraId="500E8376">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钢直梯</w:t>
            </w:r>
            <w:r>
              <w:rPr>
                <w:rFonts w:hint="eastAsia" w:ascii="宋体" w:hAnsi="宋体" w:eastAsia="宋体" w:cs="宋体"/>
                <w:color w:val="000000" w:themeColor="text1"/>
                <w:sz w:val="21"/>
                <w:szCs w:val="21"/>
                <w14:textFill>
                  <w14:solidFill>
                    <w14:schemeClr w14:val="tx1"/>
                  </w14:solidFill>
                </w14:textFill>
              </w:rPr>
              <w:t>采用焊接，现场查看时未发现明显缺陷。</w:t>
            </w:r>
          </w:p>
        </w:tc>
        <w:tc>
          <w:tcPr>
            <w:tcW w:w="806" w:type="dxa"/>
            <w:vAlign w:val="center"/>
          </w:tcPr>
          <w:p w14:paraId="0B36E4AA">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60BDA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40FCC1D2">
            <w:pPr>
              <w:numPr>
                <w:ilvl w:val="0"/>
                <w:numId w:val="7"/>
              </w:numPr>
              <w:tabs>
                <w:tab w:val="left" w:pos="533"/>
              </w:tabs>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33DF71FB">
            <w:pPr>
              <w:tabs>
                <w:tab w:val="left" w:pos="2898"/>
              </w:tabs>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制造安装工艺应确保梯子及其所有部件的表面光滑、无锐边、尖角、毛刺或其他可能对梯子使用者造成伤害或妨碍其通过的外部缺陷。</w:t>
            </w:r>
          </w:p>
        </w:tc>
        <w:tc>
          <w:tcPr>
            <w:tcW w:w="2271" w:type="dxa"/>
            <w:vAlign w:val="center"/>
          </w:tcPr>
          <w:p w14:paraId="22A708C3">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《固定式钢梯及平台安全要求第1部分：钢直梯》</w:t>
            </w:r>
          </w:p>
          <w:p w14:paraId="58B5EC3A">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 4053.1-2009）</w:t>
            </w:r>
          </w:p>
          <w:p w14:paraId="7D1BB730">
            <w:pPr>
              <w:tabs>
                <w:tab w:val="left" w:pos="2898"/>
              </w:tabs>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第4.4.2条</w:t>
            </w:r>
          </w:p>
        </w:tc>
        <w:tc>
          <w:tcPr>
            <w:tcW w:w="1808" w:type="dxa"/>
            <w:vAlign w:val="center"/>
          </w:tcPr>
          <w:p w14:paraId="51A9F518">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楼梯表面光滑、无锐边、尖角、等外部缺陷。</w:t>
            </w:r>
          </w:p>
        </w:tc>
        <w:tc>
          <w:tcPr>
            <w:tcW w:w="806" w:type="dxa"/>
            <w:vAlign w:val="center"/>
          </w:tcPr>
          <w:p w14:paraId="7BE2AF79">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18AC7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736A754A">
            <w:pPr>
              <w:numPr>
                <w:ilvl w:val="0"/>
                <w:numId w:val="7"/>
              </w:numPr>
              <w:tabs>
                <w:tab w:val="left" w:pos="533"/>
              </w:tabs>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683BFC67">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根据钢直梯使用场合及环境条件，应对梯子进行合适的防锈及防腐涂装。</w:t>
            </w:r>
          </w:p>
        </w:tc>
        <w:tc>
          <w:tcPr>
            <w:tcW w:w="2271" w:type="dxa"/>
            <w:vAlign w:val="center"/>
          </w:tcPr>
          <w:p w14:paraId="087C080E">
            <w:pPr>
              <w:tabs>
                <w:tab w:val="left" w:pos="2898"/>
              </w:tabs>
              <w:adjustRightInd w:val="0"/>
              <w:snapToGrid w:val="0"/>
              <w:spacing w:line="300" w:lineRule="exac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《固定式钢梯及平台安全要求第1部分：钢直梯》</w:t>
            </w:r>
          </w:p>
          <w:p w14:paraId="7C43439D">
            <w:pPr>
              <w:tabs>
                <w:tab w:val="left" w:pos="2898"/>
              </w:tabs>
              <w:adjustRightInd w:val="0"/>
              <w:snapToGrid w:val="0"/>
              <w:spacing w:line="300" w:lineRule="exac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 4053.1-2009）</w:t>
            </w:r>
          </w:p>
          <w:p w14:paraId="39F321B2">
            <w:pPr>
              <w:tabs>
                <w:tab w:val="left" w:pos="2898"/>
              </w:tabs>
              <w:adjustRightInd w:val="0"/>
              <w:snapToGrid w:val="0"/>
              <w:spacing w:line="300" w:lineRule="exact"/>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第4.5.2条</w:t>
            </w:r>
          </w:p>
        </w:tc>
        <w:tc>
          <w:tcPr>
            <w:tcW w:w="1808" w:type="dxa"/>
            <w:vAlign w:val="center"/>
          </w:tcPr>
          <w:p w14:paraId="68C018A1">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通过现场检查，该项目的钢直梯进行了防腐油漆。</w:t>
            </w:r>
          </w:p>
        </w:tc>
        <w:tc>
          <w:tcPr>
            <w:tcW w:w="806" w:type="dxa"/>
            <w:vAlign w:val="center"/>
          </w:tcPr>
          <w:p w14:paraId="4501F471">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101B5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2810AB36">
            <w:pPr>
              <w:numPr>
                <w:ilvl w:val="0"/>
                <w:numId w:val="7"/>
              </w:numPr>
              <w:tabs>
                <w:tab w:val="left" w:pos="533"/>
              </w:tabs>
              <w:adjustRightInd w:val="0"/>
              <w:snapToGrid w:val="0"/>
              <w:spacing w:line="300" w:lineRule="exact"/>
              <w:ind w:left="0" w:firstLine="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652472EC">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在持续潮湿条件下使用的梯子,建议进行热镀锌,或采用特殊涂层或采用耐腐蚀材料。</w:t>
            </w:r>
          </w:p>
        </w:tc>
        <w:tc>
          <w:tcPr>
            <w:tcW w:w="2271" w:type="dxa"/>
            <w:vAlign w:val="center"/>
          </w:tcPr>
          <w:p w14:paraId="04F5B96A">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《固定式钢梯及平台安全要求第1部分：钢直梯》</w:t>
            </w:r>
          </w:p>
          <w:p w14:paraId="1F31DAFD">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 4053.1-2009）</w:t>
            </w:r>
          </w:p>
          <w:p w14:paraId="271241E6">
            <w:pPr>
              <w:tabs>
                <w:tab w:val="left" w:pos="2898"/>
              </w:tabs>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第4.5.4条</w:t>
            </w:r>
          </w:p>
        </w:tc>
        <w:tc>
          <w:tcPr>
            <w:tcW w:w="1808" w:type="dxa"/>
            <w:vAlign w:val="center"/>
          </w:tcPr>
          <w:p w14:paraId="16B09E8E">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通过现场检查，该项目的钢直梯进行了防腐涂装。</w:t>
            </w:r>
          </w:p>
        </w:tc>
        <w:tc>
          <w:tcPr>
            <w:tcW w:w="806" w:type="dxa"/>
            <w:vAlign w:val="center"/>
          </w:tcPr>
          <w:p w14:paraId="5ADB5027">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45987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8970" w:type="dxa"/>
            <w:gridSpan w:val="5"/>
            <w:vAlign w:val="center"/>
          </w:tcPr>
          <w:p w14:paraId="05656E2F">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固定式钢斜梯</w:t>
            </w:r>
          </w:p>
        </w:tc>
      </w:tr>
      <w:tr w14:paraId="6B96D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7A48EDFE">
            <w:pPr>
              <w:numPr>
                <w:ilvl w:val="0"/>
                <w:numId w:val="7"/>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2FF0EFB3">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采用的钢材力学性能不应低于Q235-B，并具有含碳量合格保证。</w:t>
            </w:r>
          </w:p>
        </w:tc>
        <w:tc>
          <w:tcPr>
            <w:tcW w:w="2271" w:type="dxa"/>
            <w:vAlign w:val="center"/>
          </w:tcPr>
          <w:p w14:paraId="3C12E086">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《固定式钢梯及平台安全要求 第2部分：钢斜梯》</w:t>
            </w:r>
          </w:p>
          <w:p w14:paraId="28E2C0EA">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 4053.2-2009）</w:t>
            </w:r>
          </w:p>
          <w:p w14:paraId="44DB2E0D">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第4.1条</w:t>
            </w:r>
          </w:p>
        </w:tc>
        <w:tc>
          <w:tcPr>
            <w:tcW w:w="1808" w:type="dxa"/>
            <w:vAlign w:val="center"/>
          </w:tcPr>
          <w:p w14:paraId="118AFE4D">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该项目采用的钢材符合相关的要求。</w:t>
            </w:r>
          </w:p>
        </w:tc>
        <w:tc>
          <w:tcPr>
            <w:tcW w:w="806" w:type="dxa"/>
            <w:vAlign w:val="center"/>
          </w:tcPr>
          <w:p w14:paraId="52292923">
            <w:pPr>
              <w:autoSpaceDE w:val="0"/>
              <w:autoSpaceDN w:val="0"/>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3D3FA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1C6E5AD6">
            <w:pPr>
              <w:numPr>
                <w:ilvl w:val="0"/>
                <w:numId w:val="7"/>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192A66F7">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钢斜梯应采用焊接连接。</w:t>
            </w:r>
          </w:p>
        </w:tc>
        <w:tc>
          <w:tcPr>
            <w:tcW w:w="2271" w:type="dxa"/>
            <w:vAlign w:val="center"/>
          </w:tcPr>
          <w:p w14:paraId="27988BEF">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《固定式钢梯及平台安全要求第2部分：钢斜梯》</w:t>
            </w:r>
          </w:p>
          <w:p w14:paraId="76D07D2E">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 4053.2-2009）</w:t>
            </w:r>
          </w:p>
          <w:p w14:paraId="7F089D1E">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第4.4.1条</w:t>
            </w:r>
          </w:p>
        </w:tc>
        <w:tc>
          <w:tcPr>
            <w:tcW w:w="1808" w:type="dxa"/>
            <w:vAlign w:val="center"/>
          </w:tcPr>
          <w:p w14:paraId="6C10B956">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项目的钢斜梯采用焊接连接。</w:t>
            </w:r>
          </w:p>
        </w:tc>
        <w:tc>
          <w:tcPr>
            <w:tcW w:w="806" w:type="dxa"/>
            <w:vAlign w:val="center"/>
          </w:tcPr>
          <w:p w14:paraId="2B55B2BA">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057C8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795B7645">
            <w:pPr>
              <w:numPr>
                <w:ilvl w:val="0"/>
                <w:numId w:val="7"/>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1775F219">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制造安装工艺应确保梯子及其所有构件的表面光滑、无锐边、尖角、毛刺或其他可能对梯子使用者造成伤害或者妨碍其通过的外部缺陷。</w:t>
            </w:r>
          </w:p>
        </w:tc>
        <w:tc>
          <w:tcPr>
            <w:tcW w:w="2271" w:type="dxa"/>
            <w:vAlign w:val="center"/>
          </w:tcPr>
          <w:p w14:paraId="0C3BF44E">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《固定式钢梯及平台安全要求第2部分：钢斜梯》</w:t>
            </w:r>
          </w:p>
          <w:p w14:paraId="413647A3">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 4053.2-2009）</w:t>
            </w:r>
          </w:p>
          <w:p w14:paraId="3CDD89A7">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第4.4.2条</w:t>
            </w:r>
          </w:p>
        </w:tc>
        <w:tc>
          <w:tcPr>
            <w:tcW w:w="1808" w:type="dxa"/>
            <w:vAlign w:val="center"/>
          </w:tcPr>
          <w:p w14:paraId="59DEBA46">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项目内的钢斜梯符合相关要求。</w:t>
            </w:r>
          </w:p>
        </w:tc>
        <w:tc>
          <w:tcPr>
            <w:tcW w:w="806" w:type="dxa"/>
            <w:vAlign w:val="center"/>
          </w:tcPr>
          <w:p w14:paraId="6682003B">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461DF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0CEEDAEB">
            <w:pPr>
              <w:numPr>
                <w:ilvl w:val="0"/>
                <w:numId w:val="7"/>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2D2E4AB1">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根据钢斜梯使用场合及环境条件,应对梯子进行合适的防锈及防腐涂装。</w:t>
            </w:r>
          </w:p>
        </w:tc>
        <w:tc>
          <w:tcPr>
            <w:tcW w:w="2271" w:type="dxa"/>
            <w:vAlign w:val="center"/>
          </w:tcPr>
          <w:p w14:paraId="120B9BE4">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《固定式钢梯及平台安全要求第2部分：钢斜梯》</w:t>
            </w:r>
          </w:p>
          <w:p w14:paraId="610DFBF8">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 4053.2-2009）</w:t>
            </w:r>
          </w:p>
          <w:p w14:paraId="1D064D0C">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第4.5.2条</w:t>
            </w:r>
          </w:p>
        </w:tc>
        <w:tc>
          <w:tcPr>
            <w:tcW w:w="1808" w:type="dxa"/>
            <w:vAlign w:val="center"/>
          </w:tcPr>
          <w:p w14:paraId="08F8CB5F">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项目内的钢斜梯均进行了相关的防锈及防腐涂装。</w:t>
            </w:r>
          </w:p>
        </w:tc>
        <w:tc>
          <w:tcPr>
            <w:tcW w:w="806" w:type="dxa"/>
            <w:vAlign w:val="center"/>
          </w:tcPr>
          <w:p w14:paraId="10E5AE6C">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2B624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35DE5E55">
            <w:pPr>
              <w:numPr>
                <w:ilvl w:val="0"/>
                <w:numId w:val="7"/>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56081DCC">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在室外安装的钢斜梯和连按部分的防雷电保护,连接和接地附件应符合相关要求。</w:t>
            </w:r>
          </w:p>
        </w:tc>
        <w:tc>
          <w:tcPr>
            <w:tcW w:w="2271" w:type="dxa"/>
            <w:vAlign w:val="center"/>
          </w:tcPr>
          <w:p w14:paraId="5002BF60">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《固定式钢梯及平台安全要求第2部分：钢斜梯》</w:t>
            </w:r>
          </w:p>
          <w:p w14:paraId="47183EBD">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 4053.2-2009）</w:t>
            </w:r>
          </w:p>
          <w:p w14:paraId="23A33A72">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第4.6条</w:t>
            </w:r>
          </w:p>
        </w:tc>
        <w:tc>
          <w:tcPr>
            <w:tcW w:w="1808" w:type="dxa"/>
            <w:vAlign w:val="center"/>
          </w:tcPr>
          <w:p w14:paraId="5EA703EB">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项目内的钢斜梯均设置了相应的防雷电保护设施。</w:t>
            </w:r>
          </w:p>
        </w:tc>
        <w:tc>
          <w:tcPr>
            <w:tcW w:w="806" w:type="dxa"/>
            <w:vAlign w:val="center"/>
          </w:tcPr>
          <w:p w14:paraId="1235FB5A">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3A99A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42E10614">
            <w:pPr>
              <w:numPr>
                <w:ilvl w:val="0"/>
                <w:numId w:val="7"/>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42FC9D1A">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扶手应沿其整个长度方向上连续可抓握。</w:t>
            </w:r>
          </w:p>
        </w:tc>
        <w:tc>
          <w:tcPr>
            <w:tcW w:w="2271" w:type="dxa"/>
            <w:vAlign w:val="center"/>
          </w:tcPr>
          <w:p w14:paraId="11273232">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《固定式钢梯及平台安全要求第2部分：钢斜梯》</w:t>
            </w:r>
          </w:p>
          <w:p w14:paraId="50257673">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 4053.2-2009）</w:t>
            </w:r>
          </w:p>
          <w:p w14:paraId="3AC2251B">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第5.6.8条</w:t>
            </w:r>
          </w:p>
        </w:tc>
        <w:tc>
          <w:tcPr>
            <w:tcW w:w="1808" w:type="dxa"/>
            <w:vAlign w:val="center"/>
          </w:tcPr>
          <w:p w14:paraId="2BDF03DD">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该项目内钢斜梯的扶手符合要求。</w:t>
            </w:r>
          </w:p>
        </w:tc>
        <w:tc>
          <w:tcPr>
            <w:tcW w:w="806" w:type="dxa"/>
            <w:vAlign w:val="center"/>
          </w:tcPr>
          <w:p w14:paraId="2AF2E222">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47244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970" w:type="dxa"/>
            <w:gridSpan w:val="5"/>
            <w:vAlign w:val="center"/>
          </w:tcPr>
          <w:p w14:paraId="75477E14">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工业防护栏杆及钢平台</w:t>
            </w:r>
          </w:p>
        </w:tc>
      </w:tr>
      <w:tr w14:paraId="2BF27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11FE1E19">
            <w:pPr>
              <w:numPr>
                <w:ilvl w:val="0"/>
                <w:numId w:val="7"/>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3EC7B22A">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距下方相邻地板或地面1.2m 及以上的平台、通道或工作面的所有敞开边缘应设置防护栏杆。</w:t>
            </w:r>
          </w:p>
        </w:tc>
        <w:tc>
          <w:tcPr>
            <w:tcW w:w="2271" w:type="dxa"/>
            <w:vAlign w:val="center"/>
          </w:tcPr>
          <w:p w14:paraId="482DA8A6">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《固定式钢梯及平台安全要求第3部分工业防护栏杆及钢平台》</w:t>
            </w:r>
          </w:p>
          <w:p w14:paraId="18DF2CFC">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 4053.3-2009）</w:t>
            </w:r>
          </w:p>
          <w:p w14:paraId="6DC12B12">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第4.1.1条</w:t>
            </w:r>
          </w:p>
        </w:tc>
        <w:tc>
          <w:tcPr>
            <w:tcW w:w="1808" w:type="dxa"/>
            <w:vAlign w:val="center"/>
          </w:tcPr>
          <w:p w14:paraId="0D8D53B9">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平台设置了防护栏杆。</w:t>
            </w:r>
          </w:p>
        </w:tc>
        <w:tc>
          <w:tcPr>
            <w:tcW w:w="806" w:type="dxa"/>
            <w:vAlign w:val="center"/>
          </w:tcPr>
          <w:p w14:paraId="2D2D5D90">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01749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3F43C22B">
            <w:pPr>
              <w:numPr>
                <w:ilvl w:val="0"/>
                <w:numId w:val="7"/>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tcPr>
          <w:p w14:paraId="3245E0D8">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bookmarkStart w:id="757" w:name="_Toc12194"/>
            <w:bookmarkStart w:id="758" w:name="_Toc27337"/>
            <w:bookmarkStart w:id="759" w:name="_Toc1708"/>
            <w:bookmarkStart w:id="760" w:name="_Toc30641"/>
            <w:bookmarkStart w:id="761" w:name="_Toc2892"/>
            <w:bookmarkStart w:id="762" w:name="_Toc9402"/>
            <w:bookmarkStart w:id="763" w:name="_Toc30564"/>
            <w:bookmarkStart w:id="764" w:name="_Toc728"/>
            <w:bookmarkStart w:id="765" w:name="_Toc20226"/>
            <w:bookmarkStart w:id="766" w:name="_Toc22279"/>
            <w:bookmarkStart w:id="767" w:name="_Toc12967"/>
            <w:bookmarkStart w:id="768" w:name="_Toc26173"/>
            <w:bookmarkStart w:id="769" w:name="_Toc8677"/>
            <w:bookmarkStart w:id="770" w:name="_Toc532"/>
            <w:bookmarkStart w:id="771" w:name="_Toc5942"/>
            <w:r>
              <w:rPr>
                <w:rFonts w:hint="eastAsia" w:ascii="宋体" w:hAnsi="宋体" w:eastAsia="宋体" w:cs="宋体"/>
                <w:color w:val="000000" w:themeColor="text1"/>
                <w:sz w:val="21"/>
                <w:szCs w:val="21"/>
                <w14:textFill>
                  <w14:solidFill>
                    <w14:schemeClr w14:val="tx1"/>
                  </w14:solidFill>
                </w14:textFill>
              </w:rPr>
              <w:t>防护栏杆及钢平台应采用焊接连接，焊接要求应符合GB 50205 的规定。</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14:paraId="5B3A1D2C">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bookmarkStart w:id="772" w:name="_Toc12547"/>
            <w:bookmarkStart w:id="773" w:name="_Toc1362"/>
            <w:bookmarkStart w:id="774" w:name="_Toc12075"/>
            <w:bookmarkStart w:id="775" w:name="_Toc20920"/>
            <w:bookmarkStart w:id="776" w:name="_Toc30759"/>
            <w:bookmarkStart w:id="777" w:name="_Toc13685"/>
            <w:bookmarkStart w:id="778" w:name="_Toc20274"/>
            <w:bookmarkStart w:id="779" w:name="_Toc30638"/>
            <w:bookmarkStart w:id="780" w:name="_Toc23531"/>
            <w:bookmarkStart w:id="781" w:name="_Toc4823"/>
            <w:bookmarkStart w:id="782" w:name="_Toc5331"/>
            <w:bookmarkStart w:id="783" w:name="_Toc2131"/>
            <w:bookmarkStart w:id="784" w:name="_Toc18729"/>
            <w:bookmarkStart w:id="785" w:name="_Toc18355"/>
            <w:bookmarkStart w:id="786" w:name="_Toc1808"/>
            <w:r>
              <w:rPr>
                <w:rFonts w:hint="eastAsia" w:ascii="宋体" w:hAnsi="宋体" w:eastAsia="宋体" w:cs="宋体"/>
                <w:color w:val="000000" w:themeColor="text1"/>
                <w:sz w:val="21"/>
                <w:szCs w:val="21"/>
                <w14:textFill>
                  <w14:solidFill>
                    <w14:schemeClr w14:val="tx1"/>
                  </w14:solidFill>
                </w14:textFill>
              </w:rPr>
              <w:t>当不便焊接时，可用螺栓连接，但应保证设计的结构强度。安装后的防护栏杆及钢平台不应有歪斜、扭曲、变形及其它缺陷。</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tc>
        <w:tc>
          <w:tcPr>
            <w:tcW w:w="2271" w:type="dxa"/>
            <w:vAlign w:val="center"/>
          </w:tcPr>
          <w:p w14:paraId="6D0690AA">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《固定式钢梯及平台安全要求第3部分工业防护栏杆及钢平台》</w:t>
            </w:r>
          </w:p>
          <w:p w14:paraId="40C330CB">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 4053.3-2009）</w:t>
            </w:r>
          </w:p>
          <w:p w14:paraId="742872F4">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第4.5.1条</w:t>
            </w:r>
          </w:p>
        </w:tc>
        <w:tc>
          <w:tcPr>
            <w:tcW w:w="1808" w:type="dxa"/>
            <w:vAlign w:val="center"/>
          </w:tcPr>
          <w:p w14:paraId="3DC87CD3">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防护栏杆及钢平台采用焊接连接。</w:t>
            </w:r>
          </w:p>
        </w:tc>
        <w:tc>
          <w:tcPr>
            <w:tcW w:w="806" w:type="dxa"/>
            <w:vAlign w:val="center"/>
          </w:tcPr>
          <w:p w14:paraId="6C509A7D">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06A5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756E90DB">
            <w:pPr>
              <w:numPr>
                <w:ilvl w:val="0"/>
                <w:numId w:val="7"/>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1A025A70">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防护栏杆制造安装工艺应确保所有构件及其连接部分表面光滑，无锐边、尖角、毛刺或其它可能对人员造成伤害或妨碍其通过的外部缺陷。</w:t>
            </w:r>
          </w:p>
        </w:tc>
        <w:tc>
          <w:tcPr>
            <w:tcW w:w="2271" w:type="dxa"/>
            <w:vAlign w:val="center"/>
          </w:tcPr>
          <w:p w14:paraId="1838E187">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《固定式钢梯及平台安全要求第3部分工业防护栏杆及钢平台》</w:t>
            </w:r>
          </w:p>
          <w:p w14:paraId="74D0052B">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 4053.3-2009）</w:t>
            </w:r>
          </w:p>
          <w:p w14:paraId="7C865461">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第4.5.2条</w:t>
            </w:r>
          </w:p>
        </w:tc>
        <w:tc>
          <w:tcPr>
            <w:tcW w:w="1808" w:type="dxa"/>
            <w:vAlign w:val="center"/>
          </w:tcPr>
          <w:p w14:paraId="3769E4B0">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现场检查扶手无尖角、不光滑等外部缺陷。</w:t>
            </w:r>
          </w:p>
        </w:tc>
        <w:tc>
          <w:tcPr>
            <w:tcW w:w="806" w:type="dxa"/>
            <w:vAlign w:val="center"/>
          </w:tcPr>
          <w:p w14:paraId="4C27E5C0">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219C6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5F6FC043">
            <w:pPr>
              <w:numPr>
                <w:ilvl w:val="0"/>
                <w:numId w:val="7"/>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69EBCBF4">
            <w:pPr>
              <w:tabs>
                <w:tab w:val="left" w:pos="2898"/>
              </w:tabs>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安装后的平台钢梁应平直，铺板应平整，不应有歪斜、翘曲、变形及其它缺陷。</w:t>
            </w:r>
          </w:p>
        </w:tc>
        <w:tc>
          <w:tcPr>
            <w:tcW w:w="2271" w:type="dxa"/>
            <w:vAlign w:val="center"/>
          </w:tcPr>
          <w:p w14:paraId="3E814F22">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《固定式钢梯及平台安全要求第3部分</w:t>
            </w:r>
            <w:r>
              <w:rPr>
                <w:rFonts w:hint="eastAsia" w:ascii="宋体" w:hAnsi="宋体" w:eastAsia="宋体" w:cs="宋体"/>
                <w:color w:val="000000" w:themeColor="text1"/>
                <w:kern w:val="0"/>
                <w:sz w:val="21"/>
                <w:szCs w:val="21"/>
                <w14:textFill>
                  <w14:solidFill>
                    <w14:schemeClr w14:val="tx1"/>
                  </w14:solidFill>
                </w14:textFill>
              </w:rPr>
              <w:t>工业防护栏杆及钢平台</w:t>
            </w:r>
            <w:r>
              <w:rPr>
                <w:rFonts w:hint="eastAsia" w:ascii="宋体" w:hAnsi="宋体" w:eastAsia="宋体" w:cs="宋体"/>
                <w:color w:val="000000" w:themeColor="text1"/>
                <w:sz w:val="21"/>
                <w:szCs w:val="21"/>
                <w14:textFill>
                  <w14:solidFill>
                    <w14:schemeClr w14:val="tx1"/>
                  </w14:solidFill>
                </w14:textFill>
              </w:rPr>
              <w:t>》</w:t>
            </w:r>
          </w:p>
          <w:p w14:paraId="0FC24D01">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Style w:val="27"/>
                <w:rFonts w:hint="eastAsia" w:ascii="宋体" w:hAnsi="宋体" w:eastAsia="宋体" w:cs="宋体"/>
                <w:b w:val="0"/>
                <w:color w:val="000000" w:themeColor="text1"/>
                <w:sz w:val="21"/>
                <w:szCs w:val="21"/>
                <w14:textFill>
                  <w14:solidFill>
                    <w14:schemeClr w14:val="tx1"/>
                  </w14:solidFill>
                </w14:textFill>
              </w:rPr>
              <w:t>（GB 4053.3-2009）</w:t>
            </w:r>
          </w:p>
          <w:p w14:paraId="26027481">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第4.5.4条</w:t>
            </w:r>
          </w:p>
        </w:tc>
        <w:tc>
          <w:tcPr>
            <w:tcW w:w="1808" w:type="dxa"/>
            <w:vAlign w:val="center"/>
          </w:tcPr>
          <w:p w14:paraId="47F32B13">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现场检查时未发现平台存在明显缺陷。</w:t>
            </w:r>
          </w:p>
        </w:tc>
        <w:tc>
          <w:tcPr>
            <w:tcW w:w="806" w:type="dxa"/>
            <w:vAlign w:val="center"/>
          </w:tcPr>
          <w:p w14:paraId="65C7C4AE">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53B99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399B0740">
            <w:pPr>
              <w:numPr>
                <w:ilvl w:val="0"/>
                <w:numId w:val="7"/>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3E33FACD">
            <w:pPr>
              <w:tabs>
                <w:tab w:val="left" w:pos="2898"/>
              </w:tabs>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根据防护栏杆和钢平台使用场合及环境条件，应对其进行合适的防锈及防腐涂装。</w:t>
            </w:r>
          </w:p>
        </w:tc>
        <w:tc>
          <w:tcPr>
            <w:tcW w:w="2271" w:type="dxa"/>
            <w:vAlign w:val="center"/>
          </w:tcPr>
          <w:p w14:paraId="58F141E8">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《固定式钢梯及平台安全要求第3部分</w:t>
            </w:r>
            <w:r>
              <w:rPr>
                <w:rFonts w:hint="eastAsia" w:ascii="宋体" w:hAnsi="宋体" w:eastAsia="宋体" w:cs="宋体"/>
                <w:color w:val="000000" w:themeColor="text1"/>
                <w:kern w:val="0"/>
                <w:sz w:val="21"/>
                <w:szCs w:val="21"/>
                <w14:textFill>
                  <w14:solidFill>
                    <w14:schemeClr w14:val="tx1"/>
                  </w14:solidFill>
                </w14:textFill>
              </w:rPr>
              <w:t>工业防护栏杆及钢平台</w:t>
            </w:r>
            <w:r>
              <w:rPr>
                <w:rFonts w:hint="eastAsia" w:ascii="宋体" w:hAnsi="宋体" w:eastAsia="宋体" w:cs="宋体"/>
                <w:color w:val="000000" w:themeColor="text1"/>
                <w:sz w:val="21"/>
                <w:szCs w:val="21"/>
                <w14:textFill>
                  <w14:solidFill>
                    <w14:schemeClr w14:val="tx1"/>
                  </w14:solidFill>
                </w14:textFill>
              </w:rPr>
              <w:t>》</w:t>
            </w:r>
          </w:p>
          <w:p w14:paraId="77A470E0">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Style w:val="27"/>
                <w:rFonts w:hint="eastAsia" w:ascii="宋体" w:hAnsi="宋体" w:eastAsia="宋体" w:cs="宋体"/>
                <w:b w:val="0"/>
                <w:color w:val="000000" w:themeColor="text1"/>
                <w:sz w:val="21"/>
                <w:szCs w:val="21"/>
                <w14:textFill>
                  <w14:solidFill>
                    <w14:schemeClr w14:val="tx1"/>
                  </w14:solidFill>
                </w14:textFill>
              </w:rPr>
              <w:t>（GB 4053.3-2009）</w:t>
            </w:r>
          </w:p>
          <w:p w14:paraId="72341051">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第4.6.2条</w:t>
            </w:r>
          </w:p>
        </w:tc>
        <w:tc>
          <w:tcPr>
            <w:tcW w:w="1808" w:type="dxa"/>
            <w:vAlign w:val="center"/>
          </w:tcPr>
          <w:p w14:paraId="4958E30E">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项目的防护栏杆和钢平台进行了防腐涂装。</w:t>
            </w:r>
          </w:p>
        </w:tc>
        <w:tc>
          <w:tcPr>
            <w:tcW w:w="806" w:type="dxa"/>
            <w:vAlign w:val="center"/>
          </w:tcPr>
          <w:p w14:paraId="7802BE7A">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64DD8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970" w:type="dxa"/>
            <w:gridSpan w:val="5"/>
            <w:vAlign w:val="center"/>
          </w:tcPr>
          <w:p w14:paraId="03448FA4">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机械设备防护装置</w:t>
            </w:r>
          </w:p>
        </w:tc>
      </w:tr>
      <w:tr w14:paraId="3F688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51740E80">
            <w:pPr>
              <w:numPr>
                <w:ilvl w:val="0"/>
                <w:numId w:val="7"/>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64C6C8AD">
            <w:pPr>
              <w:tabs>
                <w:tab w:val="left" w:pos="2898"/>
              </w:tabs>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在设计和应用防护装置时，应适当考虑在机器整个预期寿命期间的运行和可预见的机器环境方面的因素。对这些方面的考虑不当可能导致不安全或机器不能运行，以致人为的使防护装置失效，从而使人员暴露在更大的风险中。</w:t>
            </w:r>
          </w:p>
        </w:tc>
        <w:tc>
          <w:tcPr>
            <w:tcW w:w="2271" w:type="dxa"/>
            <w:vAlign w:val="center"/>
          </w:tcPr>
          <w:p w14:paraId="3CDAD942">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《机械安全防护装置固定式和活动式防护装置的设计与制造一般要求》</w:t>
            </w:r>
          </w:p>
          <w:p w14:paraId="157019CB">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（GB/T 8196-2018）</w:t>
            </w:r>
          </w:p>
          <w:p w14:paraId="42CA96F8">
            <w:pPr>
              <w:tabs>
                <w:tab w:val="left" w:pos="2898"/>
              </w:tabs>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第5.1.1条</w:t>
            </w:r>
          </w:p>
        </w:tc>
        <w:tc>
          <w:tcPr>
            <w:tcW w:w="1808" w:type="dxa"/>
            <w:vAlign w:val="center"/>
          </w:tcPr>
          <w:p w14:paraId="56AD9DA3">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该项目的采用的防护装置均考虑了相关的因素。</w:t>
            </w:r>
          </w:p>
        </w:tc>
        <w:tc>
          <w:tcPr>
            <w:tcW w:w="806" w:type="dxa"/>
            <w:vAlign w:val="center"/>
          </w:tcPr>
          <w:p w14:paraId="2BA43E0D">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73D94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0B04D7D2">
            <w:pPr>
              <w:numPr>
                <w:ilvl w:val="0"/>
                <w:numId w:val="7"/>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75B3E97D">
            <w:pPr>
              <w:tabs>
                <w:tab w:val="left" w:pos="2898"/>
              </w:tabs>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在可行时,为尽可能减少进入危险区,防护装置和机械的设计应使得不用打开或拆卸防护装置就可进行例行的调整、润滑和维护。</w:t>
            </w:r>
          </w:p>
          <w:p w14:paraId="247E253F">
            <w:pPr>
              <w:tabs>
                <w:tab w:val="left" w:pos="2898"/>
              </w:tabs>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如果需要进入被防护区域，则应尽可能做到可自由、畅通无阻地进入。</w:t>
            </w:r>
          </w:p>
        </w:tc>
        <w:tc>
          <w:tcPr>
            <w:tcW w:w="2271" w:type="dxa"/>
            <w:vAlign w:val="center"/>
          </w:tcPr>
          <w:p w14:paraId="6CA95322">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《机械安全防护装置固定式和活动式防护装置的设计与制造一般要求》</w:t>
            </w:r>
          </w:p>
          <w:p w14:paraId="7D9655F7">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（GB/T 8196-2018）</w:t>
            </w:r>
          </w:p>
          <w:p w14:paraId="3548F895">
            <w:pPr>
              <w:tabs>
                <w:tab w:val="left" w:pos="2898"/>
              </w:tabs>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第5.1.2条</w:t>
            </w:r>
          </w:p>
        </w:tc>
        <w:tc>
          <w:tcPr>
            <w:tcW w:w="1808" w:type="dxa"/>
            <w:vAlign w:val="center"/>
          </w:tcPr>
          <w:p w14:paraId="425F3754">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该项目的防护装置符合相关的要求。</w:t>
            </w:r>
          </w:p>
        </w:tc>
        <w:tc>
          <w:tcPr>
            <w:tcW w:w="806" w:type="dxa"/>
            <w:vAlign w:val="center"/>
          </w:tcPr>
          <w:p w14:paraId="2B7CAD1D">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31043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29BC2BEF">
            <w:pPr>
              <w:numPr>
                <w:ilvl w:val="0"/>
                <w:numId w:val="7"/>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2918FE4E">
            <w:pPr>
              <w:tabs>
                <w:tab w:val="left" w:pos="2898"/>
              </w:tabs>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对于用于防止进入危险区的防护装置，其设计、制造和定位应满足 ISO 13857，以防止人体各部位触及危险区。对联锁活动式防护装置，还应满足ISO 13855 的安全距离。</w:t>
            </w:r>
          </w:p>
        </w:tc>
        <w:tc>
          <w:tcPr>
            <w:tcW w:w="2271" w:type="dxa"/>
            <w:vAlign w:val="center"/>
          </w:tcPr>
          <w:p w14:paraId="045AF207">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《机械安全防护装置固定式和活动式防护装置的设计与制造一般要求》</w:t>
            </w:r>
          </w:p>
          <w:p w14:paraId="158ED857">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（GB/T 8196-2018）</w:t>
            </w:r>
          </w:p>
          <w:p w14:paraId="0715ADA7">
            <w:pPr>
              <w:tabs>
                <w:tab w:val="left" w:pos="2898"/>
              </w:tabs>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第5.2.2条</w:t>
            </w:r>
          </w:p>
        </w:tc>
        <w:tc>
          <w:tcPr>
            <w:tcW w:w="1808" w:type="dxa"/>
            <w:vAlign w:val="center"/>
          </w:tcPr>
          <w:p w14:paraId="6A5814DF">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该项目的防护装置符合相关的要求。</w:t>
            </w:r>
          </w:p>
        </w:tc>
        <w:tc>
          <w:tcPr>
            <w:tcW w:w="806" w:type="dxa"/>
            <w:vAlign w:val="center"/>
          </w:tcPr>
          <w:p w14:paraId="10F9C308">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59F37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69EDEE15">
            <w:pPr>
              <w:numPr>
                <w:ilvl w:val="0"/>
                <w:numId w:val="7"/>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0B84BE9F">
            <w:pPr>
              <w:tabs>
                <w:tab w:val="left" w:pos="2898"/>
              </w:tabs>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连接牢固性：焊接、粘接或机械式紧固连接应有足够的强度，以承受正常的可预见的载荷。在使用粘接剂的场合，应使其与所采用的工艺和使用的材料相匹配。在使用机械紧固件的场合，其强度、数量和位置应足以保证防护装置的稳定性和刚度。</w:t>
            </w:r>
          </w:p>
        </w:tc>
        <w:tc>
          <w:tcPr>
            <w:tcW w:w="2271" w:type="dxa"/>
            <w:vAlign w:val="center"/>
          </w:tcPr>
          <w:p w14:paraId="6857A34D">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《机械安全防护装置固定式和活动式防护装置的设计与制造一般要求》</w:t>
            </w:r>
          </w:p>
          <w:p w14:paraId="07D2AB7F">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（GB/T 8196-2018）</w:t>
            </w:r>
          </w:p>
          <w:p w14:paraId="2CFB6C4C">
            <w:pPr>
              <w:tabs>
                <w:tab w:val="left" w:pos="2898"/>
              </w:tabs>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第5.3.8条</w:t>
            </w:r>
          </w:p>
        </w:tc>
        <w:tc>
          <w:tcPr>
            <w:tcW w:w="1808" w:type="dxa"/>
            <w:vAlign w:val="center"/>
          </w:tcPr>
          <w:p w14:paraId="76632292">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该项目防护装置连接牢固性基本符合要求，现场检查时未发现明显缺陷。</w:t>
            </w:r>
          </w:p>
        </w:tc>
        <w:tc>
          <w:tcPr>
            <w:tcW w:w="806" w:type="dxa"/>
            <w:vAlign w:val="center"/>
          </w:tcPr>
          <w:p w14:paraId="4FD01F97">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4951F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0F411571">
            <w:pPr>
              <w:numPr>
                <w:ilvl w:val="0"/>
                <w:numId w:val="7"/>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2D662E83">
            <w:pPr>
              <w:tabs>
                <w:tab w:val="left" w:pos="2898"/>
              </w:tabs>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只能用工具拆卸：防护装置的可拆卸部件应只能借助工具才可以拆卸。</w:t>
            </w:r>
          </w:p>
        </w:tc>
        <w:tc>
          <w:tcPr>
            <w:tcW w:w="2271" w:type="dxa"/>
            <w:vAlign w:val="center"/>
          </w:tcPr>
          <w:p w14:paraId="448A231C">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《机械安全防护装置固定式和活动式防护装置的设计与制造一般要求》</w:t>
            </w:r>
          </w:p>
          <w:p w14:paraId="5C1AFF10">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（GB/T 8196-2018）</w:t>
            </w:r>
          </w:p>
          <w:p w14:paraId="030AD988">
            <w:pPr>
              <w:tabs>
                <w:tab w:val="left" w:pos="2898"/>
              </w:tabs>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第5.3.9条</w:t>
            </w:r>
          </w:p>
        </w:tc>
        <w:tc>
          <w:tcPr>
            <w:tcW w:w="1808" w:type="dxa"/>
            <w:vAlign w:val="center"/>
          </w:tcPr>
          <w:p w14:paraId="6ED6ADCB">
            <w:pPr>
              <w:tabs>
                <w:tab w:val="left" w:pos="2898"/>
              </w:tabs>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该项目防护装置可拆卸部件设计符合相关要求。</w:t>
            </w:r>
          </w:p>
        </w:tc>
        <w:tc>
          <w:tcPr>
            <w:tcW w:w="806" w:type="dxa"/>
            <w:vAlign w:val="center"/>
          </w:tcPr>
          <w:p w14:paraId="3D63B647">
            <w:pPr>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79631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17BE646B">
            <w:pPr>
              <w:numPr>
                <w:ilvl w:val="0"/>
                <w:numId w:val="7"/>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2350D516">
            <w:pPr>
              <w:tabs>
                <w:tab w:val="left" w:pos="2898"/>
              </w:tabs>
              <w:autoSpaceDE w:val="0"/>
              <w:autoSpaceDN w:val="0"/>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对于带轮、传动带、齿轮、齿条齿轮和传动轴等运动的传动部件产生的危险,应采用固定式防护装置或联锁的活动式防护装置进行防护。</w:t>
            </w:r>
          </w:p>
        </w:tc>
        <w:tc>
          <w:tcPr>
            <w:tcW w:w="2271" w:type="dxa"/>
            <w:vAlign w:val="center"/>
          </w:tcPr>
          <w:p w14:paraId="53C67D07">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《机械安全防护装置固定式和活动式防护装置的设计与制造一般要求》</w:t>
            </w:r>
          </w:p>
          <w:p w14:paraId="3116AC56">
            <w:pPr>
              <w:tabs>
                <w:tab w:val="left" w:pos="2898"/>
              </w:tabs>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（GB/T 8196-2018）</w:t>
            </w:r>
          </w:p>
          <w:p w14:paraId="73302AB7">
            <w:pPr>
              <w:tabs>
                <w:tab w:val="left" w:pos="2898"/>
              </w:tabs>
              <w:autoSpaceDE w:val="0"/>
              <w:autoSpaceDN w:val="0"/>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第6.4.2条</w:t>
            </w:r>
          </w:p>
        </w:tc>
        <w:tc>
          <w:tcPr>
            <w:tcW w:w="1808" w:type="dxa"/>
            <w:vAlign w:val="center"/>
          </w:tcPr>
          <w:p w14:paraId="4E5E54F1">
            <w:pPr>
              <w:tabs>
                <w:tab w:val="left" w:pos="2898"/>
              </w:tabs>
              <w:autoSpaceDE w:val="0"/>
              <w:autoSpaceDN w:val="0"/>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该项目的转动或传动机械设备部位设置了机械防护装置。</w:t>
            </w:r>
          </w:p>
        </w:tc>
        <w:tc>
          <w:tcPr>
            <w:tcW w:w="806" w:type="dxa"/>
            <w:vAlign w:val="center"/>
          </w:tcPr>
          <w:p w14:paraId="7E800BE1">
            <w:pPr>
              <w:autoSpaceDE w:val="0"/>
              <w:autoSpaceDN w:val="0"/>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12944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0" w:type="dxa"/>
            <w:vAlign w:val="center"/>
          </w:tcPr>
          <w:p w14:paraId="188F8A82">
            <w:pPr>
              <w:numPr>
                <w:ilvl w:val="0"/>
                <w:numId w:val="7"/>
              </w:numPr>
              <w:tabs>
                <w:tab w:val="left" w:pos="533"/>
              </w:tabs>
              <w:adjustRightInd w:val="0"/>
              <w:snapToGrid w:val="0"/>
              <w:spacing w:line="300" w:lineRule="exact"/>
              <w:ind w:left="533" w:hanging="420"/>
              <w:jc w:val="center"/>
              <w:rPr>
                <w:rFonts w:hint="eastAsia" w:ascii="宋体" w:hAnsi="宋体" w:eastAsia="宋体" w:cs="宋体"/>
                <w:color w:val="000000" w:themeColor="text1"/>
                <w:sz w:val="21"/>
                <w:szCs w:val="21"/>
                <w14:textFill>
                  <w14:solidFill>
                    <w14:schemeClr w14:val="tx1"/>
                  </w14:solidFill>
                </w14:textFill>
              </w:rPr>
            </w:pPr>
          </w:p>
        </w:tc>
        <w:tc>
          <w:tcPr>
            <w:tcW w:w="3335" w:type="dxa"/>
            <w:vAlign w:val="center"/>
          </w:tcPr>
          <w:p w14:paraId="197ADF4A">
            <w:pPr>
              <w:tabs>
                <w:tab w:val="left" w:pos="2898"/>
              </w:tabs>
              <w:autoSpaceDE w:val="0"/>
              <w:autoSpaceDN w:val="0"/>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车间的地面应平坦、不打滑。</w:t>
            </w:r>
          </w:p>
        </w:tc>
        <w:tc>
          <w:tcPr>
            <w:tcW w:w="2271" w:type="dxa"/>
            <w:vAlign w:val="center"/>
          </w:tcPr>
          <w:p w14:paraId="6F9DD569">
            <w:pPr>
              <w:tabs>
                <w:tab w:val="left" w:pos="2898"/>
              </w:tabs>
              <w:autoSpaceDE w:val="0"/>
              <w:autoSpaceDN w:val="0"/>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《机械工业职业安全卫生设计规范》</w:t>
            </w:r>
            <w:r>
              <w:rPr>
                <w:rFonts w:hint="eastAsia" w:ascii="宋体" w:hAnsi="宋体" w:eastAsia="宋体" w:cs="宋体"/>
                <w:color w:val="000000" w:themeColor="text1"/>
                <w:kern w:val="0"/>
                <w:sz w:val="21"/>
                <w:szCs w:val="21"/>
                <w14:textFill>
                  <w14:solidFill>
                    <w14:schemeClr w14:val="tx1"/>
                  </w14:solidFill>
                </w14:textFill>
              </w:rPr>
              <w:br w:type="textWrapping"/>
            </w:r>
            <w:r>
              <w:rPr>
                <w:rFonts w:hint="eastAsia" w:ascii="宋体" w:hAnsi="宋体" w:eastAsia="宋体" w:cs="宋体"/>
                <w:color w:val="000000" w:themeColor="text1"/>
                <w:kern w:val="0"/>
                <w:sz w:val="21"/>
                <w:szCs w:val="21"/>
                <w14:textFill>
                  <w14:solidFill>
                    <w14:schemeClr w14:val="tx1"/>
                  </w14:solidFill>
                </w14:textFill>
              </w:rPr>
              <w:t>（JBJ 18-2000）</w:t>
            </w:r>
          </w:p>
          <w:p w14:paraId="517E4873">
            <w:pPr>
              <w:tabs>
                <w:tab w:val="left" w:pos="2898"/>
              </w:tabs>
              <w:autoSpaceDE w:val="0"/>
              <w:autoSpaceDN w:val="0"/>
              <w:adjustRightInd w:val="0"/>
              <w:snapToGrid w:val="0"/>
              <w:spacing w:line="300" w:lineRule="exact"/>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第3.1.4条</w:t>
            </w:r>
          </w:p>
        </w:tc>
        <w:tc>
          <w:tcPr>
            <w:tcW w:w="1808" w:type="dxa"/>
            <w:vAlign w:val="center"/>
          </w:tcPr>
          <w:p w14:paraId="2B9F743E">
            <w:pPr>
              <w:tabs>
                <w:tab w:val="left" w:pos="2898"/>
              </w:tabs>
              <w:autoSpaceDE w:val="0"/>
              <w:autoSpaceDN w:val="0"/>
              <w:adjustRightInd w:val="0"/>
              <w:snapToGrid w:val="0"/>
              <w:spacing w:line="300" w:lineRule="exac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该项目车间地面平坦、不打滑。</w:t>
            </w:r>
          </w:p>
        </w:tc>
        <w:tc>
          <w:tcPr>
            <w:tcW w:w="806" w:type="dxa"/>
            <w:vAlign w:val="center"/>
          </w:tcPr>
          <w:p w14:paraId="6F3F8FC1">
            <w:pPr>
              <w:autoSpaceDE w:val="0"/>
              <w:autoSpaceDN w:val="0"/>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bl>
    <w:p w14:paraId="31576A64">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787" w:name="_Toc10336"/>
      <w:bookmarkStart w:id="788" w:name="_Toc11877"/>
      <w:bookmarkStart w:id="789" w:name="_Toc5267"/>
      <w:bookmarkStart w:id="790" w:name="_Toc5797"/>
      <w:bookmarkStart w:id="791" w:name="_Toc16943"/>
      <w:bookmarkStart w:id="792" w:name="_Toc24099"/>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5.3.2防雷、防静电安全评价子单元安全检查表</w:t>
      </w:r>
      <w:bookmarkEnd w:id="787"/>
      <w:bookmarkEnd w:id="788"/>
      <w:bookmarkEnd w:id="789"/>
      <w:bookmarkEnd w:id="790"/>
      <w:bookmarkEnd w:id="791"/>
      <w:bookmarkEnd w:id="792"/>
    </w:p>
    <w:p w14:paraId="3BD18AB2">
      <w:pPr>
        <w:spacing w:line="500" w:lineRule="exact"/>
        <w:ind w:firstLine="560" w:firstLineChars="200"/>
        <w:jc w:val="left"/>
        <w:rPr>
          <w:rFonts w:hint="eastAsia" w:ascii="宋体" w:hAnsi="宋体" w:eastAsia="宋体" w:cs="宋体"/>
          <w:color w:val="000000" w:themeColor="text1"/>
          <w:kern w:val="0"/>
          <w:sz w:val="28"/>
          <w:szCs w:val="28"/>
          <w14:textFill>
            <w14:solidFill>
              <w14:schemeClr w14:val="tx1"/>
            </w14:solidFill>
          </w14:textFill>
        </w:rPr>
      </w:pPr>
      <w:r>
        <w:rPr>
          <w:rFonts w:hint="eastAsia" w:ascii="宋体" w:hAnsi="宋体" w:eastAsia="宋体" w:cs="宋体"/>
          <w:color w:val="000000" w:themeColor="text1"/>
          <w:kern w:val="0"/>
          <w:sz w:val="28"/>
          <w:szCs w:val="28"/>
          <w14:textFill>
            <w14:solidFill>
              <w14:schemeClr w14:val="tx1"/>
            </w14:solidFill>
          </w14:textFill>
        </w:rPr>
        <w:t>根据《建筑物防雷设计规范》（GB50057-2010）、《生产设备安全卫生设计总则》（GB5083-2023）、《防止静电事故通用导则》（GB12158-2006）等标准、规范要求，对该项目区的防雷、防静电设施进行安全评价，具体情况见下表5-</w:t>
      </w:r>
      <w:r>
        <w:rPr>
          <w:rFonts w:hint="eastAsia" w:ascii="宋体" w:hAnsi="宋体" w:eastAsia="宋体" w:cs="宋体"/>
          <w:color w:val="000000" w:themeColor="text1"/>
          <w:kern w:val="0"/>
          <w:sz w:val="28"/>
          <w:szCs w:val="28"/>
          <w:lang w:val="en-US" w:eastAsia="zh-CN"/>
          <w14:textFill>
            <w14:solidFill>
              <w14:schemeClr w14:val="tx1"/>
            </w14:solidFill>
          </w14:textFill>
        </w:rPr>
        <w:t>5</w:t>
      </w:r>
      <w:r>
        <w:rPr>
          <w:rFonts w:hint="eastAsia" w:ascii="宋体" w:hAnsi="宋体" w:eastAsia="宋体" w:cs="宋体"/>
          <w:color w:val="000000" w:themeColor="text1"/>
          <w:kern w:val="0"/>
          <w:sz w:val="28"/>
          <w:szCs w:val="28"/>
          <w14:textFill>
            <w14:solidFill>
              <w14:schemeClr w14:val="tx1"/>
            </w14:solidFill>
          </w14:textFill>
        </w:rPr>
        <w:t>所示。</w:t>
      </w:r>
    </w:p>
    <w:p w14:paraId="6EA01BB8">
      <w:pPr>
        <w:pStyle w:val="14"/>
        <w:autoSpaceDE w:val="0"/>
        <w:autoSpaceDN w:val="0"/>
        <w:adjustRightInd w:val="0"/>
        <w:snapToGrid w:val="0"/>
        <w:spacing w:after="0" w:line="500" w:lineRule="exact"/>
        <w:ind w:left="0" w:leftChars="0" w:firstLine="482" w:firstLineChars="200"/>
        <w:jc w:val="center"/>
        <w:rPr>
          <w:rFonts w:hint="eastAsia" w:ascii="宋体" w:hAnsi="宋体" w:eastAsia="宋体" w:cs="宋体"/>
          <w:snapToGrid w:val="0"/>
          <w:color w:val="000000" w:themeColor="text1"/>
          <w:kern w:val="0"/>
          <w:sz w:val="24"/>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表5-</w:t>
      </w:r>
      <w:r>
        <w:rPr>
          <w:rFonts w:hint="eastAsia" w:ascii="宋体" w:hAnsi="宋体" w:eastAsia="宋体" w:cs="宋体"/>
          <w:b/>
          <w:bCs/>
          <w:color w:val="000000" w:themeColor="text1"/>
          <w:szCs w:val="21"/>
          <w:lang w:val="en-US" w:eastAsia="zh-CN"/>
          <w14:textFill>
            <w14:solidFill>
              <w14:schemeClr w14:val="tx1"/>
            </w14:solidFill>
          </w14:textFill>
        </w:rPr>
        <w:t xml:space="preserve">5 </w:t>
      </w:r>
      <w:r>
        <w:rPr>
          <w:rFonts w:hint="eastAsia" w:ascii="宋体" w:hAnsi="宋体" w:eastAsia="宋体" w:cs="宋体"/>
          <w:b/>
          <w:bCs/>
          <w:color w:val="000000" w:themeColor="text1"/>
          <w:szCs w:val="21"/>
          <w14:textFill>
            <w14:solidFill>
              <w14:schemeClr w14:val="tx1"/>
            </w14:solidFill>
          </w14:textFill>
        </w:rPr>
        <w:t>防雷、防静电设施安全检查表</w:t>
      </w:r>
    </w:p>
    <w:tbl>
      <w:tblPr>
        <w:tblStyle w:val="24"/>
        <w:tblW w:w="9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
        <w:gridCol w:w="2316"/>
        <w:gridCol w:w="1843"/>
        <w:gridCol w:w="3449"/>
        <w:gridCol w:w="1228"/>
      </w:tblGrid>
      <w:tr w14:paraId="0AB6F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521" w:type="dxa"/>
            <w:vAlign w:val="center"/>
          </w:tcPr>
          <w:p w14:paraId="0B64CDC0">
            <w:pPr>
              <w:autoSpaceDE w:val="0"/>
              <w:autoSpaceDN w:val="0"/>
              <w:adjustRightInd w:val="0"/>
              <w:snapToGrid w:val="0"/>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序号</w:t>
            </w:r>
          </w:p>
        </w:tc>
        <w:tc>
          <w:tcPr>
            <w:tcW w:w="2316" w:type="dxa"/>
            <w:vAlign w:val="center"/>
          </w:tcPr>
          <w:p w14:paraId="2FC0AF1A">
            <w:pPr>
              <w:autoSpaceDE w:val="0"/>
              <w:autoSpaceDN w:val="0"/>
              <w:adjustRightInd w:val="0"/>
              <w:snapToGrid w:val="0"/>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检查内容</w:t>
            </w:r>
          </w:p>
        </w:tc>
        <w:tc>
          <w:tcPr>
            <w:tcW w:w="1843" w:type="dxa"/>
            <w:vAlign w:val="center"/>
          </w:tcPr>
          <w:p w14:paraId="7C57AF2F">
            <w:pPr>
              <w:autoSpaceDE w:val="0"/>
              <w:autoSpaceDN w:val="0"/>
              <w:adjustRightInd w:val="0"/>
              <w:snapToGrid w:val="0"/>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检查依据</w:t>
            </w:r>
          </w:p>
        </w:tc>
        <w:tc>
          <w:tcPr>
            <w:tcW w:w="3449" w:type="dxa"/>
            <w:vAlign w:val="center"/>
          </w:tcPr>
          <w:p w14:paraId="2D0955D2">
            <w:pPr>
              <w:autoSpaceDE w:val="0"/>
              <w:autoSpaceDN w:val="0"/>
              <w:adjustRightInd w:val="0"/>
              <w:snapToGrid w:val="0"/>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检查记录</w:t>
            </w:r>
          </w:p>
        </w:tc>
        <w:tc>
          <w:tcPr>
            <w:tcW w:w="1228" w:type="dxa"/>
            <w:vAlign w:val="center"/>
          </w:tcPr>
          <w:p w14:paraId="2EECBB7C">
            <w:pPr>
              <w:autoSpaceDE w:val="0"/>
              <w:autoSpaceDN w:val="0"/>
              <w:adjustRightInd w:val="0"/>
              <w:snapToGrid w:val="0"/>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检查结果</w:t>
            </w:r>
          </w:p>
        </w:tc>
      </w:tr>
      <w:tr w14:paraId="13502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521" w:type="dxa"/>
            <w:vAlign w:val="center"/>
          </w:tcPr>
          <w:p w14:paraId="48057E3A">
            <w:pPr>
              <w:autoSpaceDE w:val="0"/>
              <w:autoSpaceDN w:val="0"/>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2316" w:type="dxa"/>
            <w:vAlign w:val="center"/>
          </w:tcPr>
          <w:p w14:paraId="308582C0">
            <w:pPr>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可能遭受雷击的生产设备，应有防雷等措施。</w:t>
            </w:r>
          </w:p>
        </w:tc>
        <w:tc>
          <w:tcPr>
            <w:tcW w:w="1843" w:type="dxa"/>
            <w:vAlign w:val="center"/>
          </w:tcPr>
          <w:p w14:paraId="401C61F6">
            <w:pPr>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《生产设备安全卫生设计总则》</w:t>
            </w:r>
          </w:p>
          <w:p w14:paraId="4D0B8F5F">
            <w:pPr>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（GB5083-2023）</w:t>
            </w:r>
          </w:p>
          <w:p w14:paraId="39612DFD">
            <w:pPr>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第6.10.1条</w:t>
            </w:r>
          </w:p>
        </w:tc>
        <w:tc>
          <w:tcPr>
            <w:tcW w:w="3449" w:type="dxa"/>
            <w:vAlign w:val="center"/>
          </w:tcPr>
          <w:p w14:paraId="07BAA88F">
            <w:pPr>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本项目防雷接地设施于202</w:t>
            </w:r>
            <w:r>
              <w:rPr>
                <w:rFonts w:hint="eastAsia" w:ascii="宋体" w:hAnsi="宋体" w:eastAsia="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年</w:t>
            </w:r>
            <w:r>
              <w:rPr>
                <w:rFonts w:hint="eastAsia" w:ascii="宋体" w:hAnsi="宋体" w:eastAsia="宋体" w:cs="宋体"/>
                <w:color w:val="000000" w:themeColor="text1"/>
                <w:sz w:val="21"/>
                <w:szCs w:val="21"/>
                <w:lang w:val="en-US" w:eastAsia="zh-CN"/>
                <w14:textFill>
                  <w14:solidFill>
                    <w14:schemeClr w14:val="tx1"/>
                  </w14:solidFill>
                </w14:textFill>
              </w:rPr>
              <w:t>11</w:t>
            </w:r>
            <w:r>
              <w:rPr>
                <w:rFonts w:hint="eastAsia" w:ascii="宋体" w:hAnsi="宋体" w:eastAsia="宋体" w:cs="宋体"/>
                <w:color w:val="000000" w:themeColor="text1"/>
                <w:sz w:val="21"/>
                <w:szCs w:val="21"/>
                <w14:textFill>
                  <w14:solidFill>
                    <w14:schemeClr w14:val="tx1"/>
                  </w14:solidFill>
                </w14:textFill>
              </w:rPr>
              <w:t>月</w:t>
            </w:r>
            <w:r>
              <w:rPr>
                <w:rFonts w:hint="eastAsia" w:ascii="宋体" w:hAnsi="宋体" w:eastAsia="宋体" w:cs="宋体"/>
                <w:color w:val="000000" w:themeColor="text1"/>
                <w:sz w:val="21"/>
                <w:szCs w:val="21"/>
                <w:lang w:val="en-US" w:eastAsia="zh-CN"/>
                <w14:textFill>
                  <w14:solidFill>
                    <w14:schemeClr w14:val="tx1"/>
                  </w14:solidFill>
                </w14:textFill>
              </w:rPr>
              <w:t>04</w:t>
            </w:r>
            <w:r>
              <w:rPr>
                <w:rFonts w:hint="eastAsia" w:ascii="宋体" w:hAnsi="宋体" w:eastAsia="宋体" w:cs="宋体"/>
                <w:color w:val="000000" w:themeColor="text1"/>
                <w:sz w:val="21"/>
                <w:szCs w:val="21"/>
                <w14:textFill>
                  <w14:solidFill>
                    <w14:schemeClr w14:val="tx1"/>
                  </w14:solidFill>
                </w14:textFill>
              </w:rPr>
              <w:t>日</w:t>
            </w:r>
            <w:r>
              <w:rPr>
                <w:rFonts w:hint="eastAsia" w:ascii="宋体" w:hAnsi="宋体" w:eastAsia="宋体" w:cs="宋体"/>
                <w:color w:val="000000" w:themeColor="text1"/>
                <w:sz w:val="21"/>
                <w:szCs w:val="21"/>
                <w:lang w:val="en-US" w:eastAsia="zh-CN"/>
                <w14:textFill>
                  <w14:solidFill>
                    <w14:schemeClr w14:val="tx1"/>
                  </w14:solidFill>
                </w14:textFill>
              </w:rPr>
              <w:t>由云南标普电气检测技术有限公司</w:t>
            </w:r>
            <w:r>
              <w:rPr>
                <w:rFonts w:hint="eastAsia" w:ascii="宋体" w:hAnsi="宋体" w:eastAsia="宋体" w:cs="宋体"/>
                <w:color w:val="000000" w:themeColor="text1"/>
                <w:sz w:val="21"/>
                <w:szCs w:val="21"/>
                <w14:textFill>
                  <w14:solidFill>
                    <w14:schemeClr w14:val="tx1"/>
                  </w14:solidFill>
                </w14:textFill>
              </w:rPr>
              <w:t>检测完成</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检测结果均为合格，有效</w:t>
            </w:r>
            <w:r>
              <w:rPr>
                <w:rFonts w:hint="eastAsia" w:ascii="宋体" w:hAnsi="宋体" w:eastAsia="宋体" w:cs="宋体"/>
                <w:color w:val="000000" w:themeColor="text1"/>
                <w:sz w:val="21"/>
                <w:szCs w:val="21"/>
                <w:lang w:val="en-US" w:eastAsia="zh-CN"/>
                <w14:textFill>
                  <w14:solidFill>
                    <w14:schemeClr w14:val="tx1"/>
                  </w14:solidFill>
                </w14:textFill>
              </w:rPr>
              <w:t>期至：2025年11月03日，报告编号：（1252022002）[2024]0697号。</w:t>
            </w:r>
          </w:p>
        </w:tc>
        <w:tc>
          <w:tcPr>
            <w:tcW w:w="1228" w:type="dxa"/>
            <w:vAlign w:val="center"/>
          </w:tcPr>
          <w:p w14:paraId="5E697793">
            <w:pPr>
              <w:pStyle w:val="44"/>
              <w:widowControl w:val="0"/>
              <w:adjustRightInd/>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17C8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521" w:type="dxa"/>
            <w:vAlign w:val="center"/>
          </w:tcPr>
          <w:p w14:paraId="27684254">
            <w:pPr>
              <w:autoSpaceDE w:val="0"/>
              <w:autoSpaceDN w:val="0"/>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2316" w:type="dxa"/>
            <w:vAlign w:val="center"/>
          </w:tcPr>
          <w:p w14:paraId="1E6773C0">
            <w:pPr>
              <w:autoSpaceDE w:val="0"/>
              <w:autoSpaceDN w:val="0"/>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各类防雷建构物应设防直击雷的外部防雷装置，并应采取防雷电电涌浸入措施。</w:t>
            </w:r>
          </w:p>
        </w:tc>
        <w:tc>
          <w:tcPr>
            <w:tcW w:w="1843" w:type="dxa"/>
            <w:vAlign w:val="center"/>
          </w:tcPr>
          <w:p w14:paraId="12551ED6">
            <w:pPr>
              <w:autoSpaceDE w:val="0"/>
              <w:autoSpaceDN w:val="0"/>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《建筑物防雷设计规范》（GB50057-2010）</w:t>
            </w:r>
          </w:p>
          <w:p w14:paraId="746315AB">
            <w:pPr>
              <w:autoSpaceDE w:val="0"/>
              <w:autoSpaceDN w:val="0"/>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第4.1.1条</w:t>
            </w:r>
          </w:p>
        </w:tc>
        <w:tc>
          <w:tcPr>
            <w:tcW w:w="3449" w:type="dxa"/>
            <w:vAlign w:val="center"/>
          </w:tcPr>
          <w:p w14:paraId="100B6B03">
            <w:pPr>
              <w:autoSpaceDE w:val="0"/>
              <w:autoSpaceDN w:val="0"/>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根据现场检查可知，该项目设置了防雷和防静电接地。</w:t>
            </w:r>
          </w:p>
        </w:tc>
        <w:tc>
          <w:tcPr>
            <w:tcW w:w="1228" w:type="dxa"/>
            <w:vAlign w:val="center"/>
          </w:tcPr>
          <w:p w14:paraId="569157CE">
            <w:pPr>
              <w:autoSpaceDE w:val="0"/>
              <w:autoSpaceDN w:val="0"/>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5605F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521" w:type="dxa"/>
            <w:vAlign w:val="center"/>
          </w:tcPr>
          <w:p w14:paraId="5893141A">
            <w:pPr>
              <w:autoSpaceDE w:val="0"/>
              <w:autoSpaceDN w:val="0"/>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2316" w:type="dxa"/>
            <w:vAlign w:val="center"/>
          </w:tcPr>
          <w:p w14:paraId="6DDAF2D9">
            <w:pPr>
              <w:autoSpaceDE w:val="0"/>
              <w:autoSpaceDN w:val="0"/>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各类防雷建构筑物应设置内部防雷装置。</w:t>
            </w:r>
          </w:p>
        </w:tc>
        <w:tc>
          <w:tcPr>
            <w:tcW w:w="1843" w:type="dxa"/>
            <w:vAlign w:val="center"/>
          </w:tcPr>
          <w:p w14:paraId="6BED2056">
            <w:pPr>
              <w:autoSpaceDE w:val="0"/>
              <w:autoSpaceDN w:val="0"/>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《建筑物防雷设计规范》（GB50057-2010）</w:t>
            </w:r>
          </w:p>
          <w:p w14:paraId="05CDF68C">
            <w:pPr>
              <w:autoSpaceDE w:val="0"/>
              <w:autoSpaceDN w:val="0"/>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第4.1.2条</w:t>
            </w:r>
          </w:p>
        </w:tc>
        <w:tc>
          <w:tcPr>
            <w:tcW w:w="3449" w:type="dxa"/>
            <w:vAlign w:val="center"/>
          </w:tcPr>
          <w:p w14:paraId="0FD963AC">
            <w:pPr>
              <w:autoSpaceDE w:val="0"/>
              <w:autoSpaceDN w:val="0"/>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构筑物已设置内部防雷装置。</w:t>
            </w:r>
          </w:p>
        </w:tc>
        <w:tc>
          <w:tcPr>
            <w:tcW w:w="1228" w:type="dxa"/>
            <w:vAlign w:val="center"/>
          </w:tcPr>
          <w:p w14:paraId="43AA3C35">
            <w:pPr>
              <w:autoSpaceDE w:val="0"/>
              <w:autoSpaceDN w:val="0"/>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6E962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521" w:type="dxa"/>
            <w:vAlign w:val="center"/>
          </w:tcPr>
          <w:p w14:paraId="1E2A7B70">
            <w:pPr>
              <w:autoSpaceDE w:val="0"/>
              <w:autoSpaceDN w:val="0"/>
              <w:adjustRightInd w:val="0"/>
              <w:snapToGrid w:val="0"/>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w:t>
            </w:r>
          </w:p>
        </w:tc>
        <w:tc>
          <w:tcPr>
            <w:tcW w:w="2316" w:type="dxa"/>
            <w:vAlign w:val="center"/>
          </w:tcPr>
          <w:p w14:paraId="1F431843">
            <w:pPr>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在静电危险场所，所有属于静电导体的物体必须接地。对金属物体必须采用金属导体与大地做导通性连接，对金属以外的静电导体及亚导体则应间接接地。</w:t>
            </w:r>
          </w:p>
        </w:tc>
        <w:tc>
          <w:tcPr>
            <w:tcW w:w="1843" w:type="dxa"/>
            <w:vAlign w:val="center"/>
          </w:tcPr>
          <w:p w14:paraId="44C24328">
            <w:pPr>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《防止静电事故通用导则》</w:t>
            </w:r>
          </w:p>
          <w:p w14:paraId="5E19C97C">
            <w:pPr>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（GB12158-2006）</w:t>
            </w:r>
          </w:p>
          <w:p w14:paraId="5586BD74">
            <w:pPr>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第6.1.2条</w:t>
            </w:r>
          </w:p>
        </w:tc>
        <w:tc>
          <w:tcPr>
            <w:tcW w:w="3449" w:type="dxa"/>
            <w:vAlign w:val="center"/>
          </w:tcPr>
          <w:p w14:paraId="7E0612AE">
            <w:pPr>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本项目防雷接地设施于202</w:t>
            </w:r>
            <w:r>
              <w:rPr>
                <w:rFonts w:hint="eastAsia" w:ascii="宋体" w:hAnsi="宋体" w:eastAsia="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年</w:t>
            </w:r>
            <w:r>
              <w:rPr>
                <w:rFonts w:hint="eastAsia" w:ascii="宋体" w:hAnsi="宋体" w:eastAsia="宋体" w:cs="宋体"/>
                <w:color w:val="000000" w:themeColor="text1"/>
                <w:sz w:val="21"/>
                <w:szCs w:val="21"/>
                <w:lang w:val="en-US" w:eastAsia="zh-CN"/>
                <w14:textFill>
                  <w14:solidFill>
                    <w14:schemeClr w14:val="tx1"/>
                  </w14:solidFill>
                </w14:textFill>
              </w:rPr>
              <w:t>11</w:t>
            </w:r>
            <w:r>
              <w:rPr>
                <w:rFonts w:hint="eastAsia" w:ascii="宋体" w:hAnsi="宋体" w:eastAsia="宋体" w:cs="宋体"/>
                <w:color w:val="000000" w:themeColor="text1"/>
                <w:sz w:val="21"/>
                <w:szCs w:val="21"/>
                <w14:textFill>
                  <w14:solidFill>
                    <w14:schemeClr w14:val="tx1"/>
                  </w14:solidFill>
                </w14:textFill>
              </w:rPr>
              <w:t>月</w:t>
            </w:r>
            <w:r>
              <w:rPr>
                <w:rFonts w:hint="eastAsia" w:ascii="宋体" w:hAnsi="宋体" w:eastAsia="宋体" w:cs="宋体"/>
                <w:color w:val="000000" w:themeColor="text1"/>
                <w:sz w:val="21"/>
                <w:szCs w:val="21"/>
                <w:lang w:val="en-US" w:eastAsia="zh-CN"/>
                <w14:textFill>
                  <w14:solidFill>
                    <w14:schemeClr w14:val="tx1"/>
                  </w14:solidFill>
                </w14:textFill>
              </w:rPr>
              <w:t>04</w:t>
            </w:r>
            <w:r>
              <w:rPr>
                <w:rFonts w:hint="eastAsia" w:ascii="宋体" w:hAnsi="宋体" w:eastAsia="宋体" w:cs="宋体"/>
                <w:color w:val="000000" w:themeColor="text1"/>
                <w:sz w:val="21"/>
                <w:szCs w:val="21"/>
                <w14:textFill>
                  <w14:solidFill>
                    <w14:schemeClr w14:val="tx1"/>
                  </w14:solidFill>
                </w14:textFill>
              </w:rPr>
              <w:t>日</w:t>
            </w:r>
            <w:r>
              <w:rPr>
                <w:rFonts w:hint="eastAsia" w:ascii="宋体" w:hAnsi="宋体" w:eastAsia="宋体" w:cs="宋体"/>
                <w:color w:val="000000" w:themeColor="text1"/>
                <w:sz w:val="21"/>
                <w:szCs w:val="21"/>
                <w:lang w:val="en-US" w:eastAsia="zh-CN"/>
                <w14:textFill>
                  <w14:solidFill>
                    <w14:schemeClr w14:val="tx1"/>
                  </w14:solidFill>
                </w14:textFill>
              </w:rPr>
              <w:t>由云南标普电气检测技术有限公司</w:t>
            </w:r>
            <w:r>
              <w:rPr>
                <w:rFonts w:hint="eastAsia" w:ascii="宋体" w:hAnsi="宋体" w:eastAsia="宋体" w:cs="宋体"/>
                <w:color w:val="000000" w:themeColor="text1"/>
                <w:sz w:val="21"/>
                <w:szCs w:val="21"/>
                <w14:textFill>
                  <w14:solidFill>
                    <w14:schemeClr w14:val="tx1"/>
                  </w14:solidFill>
                </w14:textFill>
              </w:rPr>
              <w:t>检测完成</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检测结果均为合格，有效</w:t>
            </w:r>
            <w:r>
              <w:rPr>
                <w:rFonts w:hint="eastAsia" w:ascii="宋体" w:hAnsi="宋体" w:eastAsia="宋体" w:cs="宋体"/>
                <w:color w:val="000000" w:themeColor="text1"/>
                <w:sz w:val="21"/>
                <w:szCs w:val="21"/>
                <w:lang w:val="en-US" w:eastAsia="zh-CN"/>
                <w14:textFill>
                  <w14:solidFill>
                    <w14:schemeClr w14:val="tx1"/>
                  </w14:solidFill>
                </w14:textFill>
              </w:rPr>
              <w:t>期至：2025年11月03日，报告编号：（1252022002）[2024]0697号。</w:t>
            </w:r>
          </w:p>
        </w:tc>
        <w:tc>
          <w:tcPr>
            <w:tcW w:w="1228" w:type="dxa"/>
            <w:vAlign w:val="center"/>
          </w:tcPr>
          <w:p w14:paraId="3DED3E9B">
            <w:pPr>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bl>
    <w:p w14:paraId="4FC0C1B0">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793" w:name="_Toc22920"/>
      <w:bookmarkStart w:id="794" w:name="_Toc24965"/>
      <w:bookmarkStart w:id="795" w:name="_Toc10208"/>
      <w:bookmarkStart w:id="796" w:name="_Toc28849"/>
      <w:bookmarkStart w:id="797" w:name="_Toc6462"/>
      <w:bookmarkStart w:id="798" w:name="_Toc13486"/>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5.3.3单元评价小结</w:t>
      </w:r>
      <w:bookmarkEnd w:id="793"/>
      <w:bookmarkEnd w:id="794"/>
      <w:bookmarkEnd w:id="795"/>
      <w:bookmarkEnd w:id="796"/>
      <w:bookmarkEnd w:id="797"/>
      <w:bookmarkEnd w:id="798"/>
    </w:p>
    <w:p w14:paraId="57FA21C7">
      <w:pPr>
        <w:keepNext w:val="0"/>
        <w:keepLines w:val="0"/>
        <w:pageBreakBefore w:val="0"/>
        <w:widowControl w:val="0"/>
        <w:kinsoku/>
        <w:wordWrap/>
        <w:overflowPunct/>
        <w:topLinePunct w:val="0"/>
        <w:bidi w:val="0"/>
        <w:adjustRightInd w:val="0"/>
        <w:snapToGrid w:val="0"/>
        <w:spacing w:line="500" w:lineRule="exact"/>
        <w:ind w:firstLine="560" w:firstLineChars="200"/>
        <w:textAlignment w:val="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安全检查表分析评价结果：该项目的安全防护设施符合《安全色》（GB2893-2008）、《安全标志及其使用导则》（GB2894-2008）、《机械安全防护装置固定式和活动式防护装置的设计与制造一般要求》（GB/T8196-2018）、《机械工业职业安全卫生设计规范》（JBJ18-2000）等国家相关标准、规范的规定和要求。</w:t>
      </w:r>
    </w:p>
    <w:p w14:paraId="4E53EEC6">
      <w:pPr>
        <w:keepNext w:val="0"/>
        <w:keepLines w:val="0"/>
        <w:pageBreakBefore w:val="0"/>
        <w:widowControl w:val="0"/>
        <w:kinsoku/>
        <w:wordWrap/>
        <w:overflowPunct/>
        <w:topLinePunct w:val="0"/>
        <w:autoSpaceDE w:val="0"/>
        <w:autoSpaceDN w:val="0"/>
        <w:bidi w:val="0"/>
        <w:adjustRightInd w:val="0"/>
        <w:snapToGrid w:val="0"/>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安全检查表分析评价结果</w:t>
      </w:r>
      <w:r>
        <w:rPr>
          <w:rFonts w:hint="eastAsia" w:ascii="宋体" w:hAnsi="宋体" w:eastAsia="宋体" w:cs="宋体"/>
          <w:color w:val="000000" w:themeColor="text1"/>
          <w:kern w:val="0"/>
          <w:sz w:val="28"/>
          <w:szCs w:val="28"/>
          <w14:textFill>
            <w14:solidFill>
              <w14:schemeClr w14:val="tx1"/>
            </w14:solidFill>
          </w14:textFill>
        </w:rPr>
        <w:t>：该项目防雷、防静电装置符合《建筑物防雷设计规范》（GB50057-2010）、《生产设备安全卫生设计总则》（GB5083-2023）、</w:t>
      </w:r>
      <w:r>
        <w:rPr>
          <w:rFonts w:hint="eastAsia" w:ascii="宋体" w:hAnsi="宋体" w:eastAsia="宋体" w:cs="宋体"/>
          <w:color w:val="000000" w:themeColor="text1"/>
          <w:sz w:val="28"/>
          <w:szCs w:val="28"/>
          <w14:textFill>
            <w14:solidFill>
              <w14:schemeClr w14:val="tx1"/>
            </w14:solidFill>
          </w14:textFill>
        </w:rPr>
        <w:t>《防止静电事故通用导则》（GB12158-2006）</w:t>
      </w:r>
      <w:r>
        <w:rPr>
          <w:rFonts w:hint="eastAsia" w:ascii="宋体" w:hAnsi="宋体" w:eastAsia="宋体" w:cs="宋体"/>
          <w:color w:val="000000" w:themeColor="text1"/>
          <w:kern w:val="0"/>
          <w:sz w:val="28"/>
          <w:szCs w:val="28"/>
          <w14:textFill>
            <w14:solidFill>
              <w14:schemeClr w14:val="tx1"/>
            </w14:solidFill>
          </w14:textFill>
        </w:rPr>
        <w:t>等标准、规范的要求</w:t>
      </w:r>
      <w:r>
        <w:rPr>
          <w:rFonts w:hint="eastAsia" w:ascii="宋体" w:hAnsi="宋体" w:eastAsia="宋体" w:cs="宋体"/>
          <w:color w:val="000000" w:themeColor="text1"/>
          <w:sz w:val="28"/>
          <w:szCs w:val="28"/>
          <w14:textFill>
            <w14:solidFill>
              <w14:schemeClr w14:val="tx1"/>
            </w14:solidFill>
          </w14:textFill>
        </w:rPr>
        <w:t>。</w:t>
      </w:r>
    </w:p>
    <w:p w14:paraId="3D2EEEEF">
      <w:pPr>
        <w:pStyle w:val="3"/>
        <w:keepNext/>
        <w:keepLines/>
        <w:pageBreakBefore w:val="0"/>
        <w:widowControl w:val="0"/>
        <w:kinsoku/>
        <w:wordWrap/>
        <w:overflowPunct/>
        <w:topLinePunct w:val="0"/>
        <w:autoSpaceDE/>
        <w:autoSpaceDN/>
        <w:bidi w:val="0"/>
        <w:adjustRightInd/>
        <w:snapToGrid w:val="0"/>
        <w:spacing w:before="0" w:after="0" w:line="520" w:lineRule="exact"/>
        <w:jc w:val="both"/>
        <w:textAlignment w:val="auto"/>
        <w:rPr>
          <w:rFonts w:hint="eastAsia" w:ascii="宋体" w:hAnsi="宋体" w:eastAsia="宋体" w:cs="宋体"/>
          <w:color w:val="000000" w:themeColor="text1"/>
          <w:kern w:val="0"/>
          <w14:textFill>
            <w14:solidFill>
              <w14:schemeClr w14:val="tx1"/>
            </w14:solidFill>
          </w14:textFill>
        </w:rPr>
      </w:pPr>
      <w:bookmarkStart w:id="799" w:name="_Toc4845"/>
      <w:bookmarkStart w:id="800" w:name="_Toc21809"/>
      <w:bookmarkStart w:id="801" w:name="_Toc15595"/>
      <w:bookmarkStart w:id="802" w:name="_Toc13427"/>
      <w:bookmarkStart w:id="803" w:name="_Toc5881"/>
      <w:bookmarkStart w:id="804" w:name="_Toc20151"/>
      <w:r>
        <w:rPr>
          <w:rFonts w:hint="eastAsia" w:ascii="宋体" w:hAnsi="宋体" w:eastAsia="宋体" w:cs="宋体"/>
          <w:color w:val="000000" w:themeColor="text1"/>
          <w:kern w:val="0"/>
          <w14:textFill>
            <w14:solidFill>
              <w14:schemeClr w14:val="tx1"/>
            </w14:solidFill>
          </w14:textFill>
        </w:rPr>
        <w:t>5.</w:t>
      </w:r>
      <w:r>
        <w:rPr>
          <w:rFonts w:hint="eastAsia" w:ascii="宋体" w:hAnsi="宋体" w:eastAsia="宋体" w:cs="宋体"/>
          <w:color w:val="000000" w:themeColor="text1"/>
          <w:kern w:val="0"/>
          <w:lang w:val="en-US" w:eastAsia="zh-CN"/>
          <w14:textFill>
            <w14:solidFill>
              <w14:schemeClr w14:val="tx1"/>
            </w14:solidFill>
          </w14:textFill>
        </w:rPr>
        <w:t>4</w:t>
      </w:r>
      <w:r>
        <w:rPr>
          <w:rFonts w:hint="eastAsia" w:ascii="宋体" w:hAnsi="宋体" w:eastAsia="宋体" w:cs="宋体"/>
          <w:color w:val="000000" w:themeColor="text1"/>
          <w:kern w:val="0"/>
          <w14:textFill>
            <w14:solidFill>
              <w14:schemeClr w14:val="tx1"/>
            </w14:solidFill>
          </w14:textFill>
        </w:rPr>
        <w:t>公用工程及辅助设施评价单元</w:t>
      </w:r>
      <w:bookmarkEnd w:id="799"/>
      <w:bookmarkEnd w:id="800"/>
      <w:bookmarkEnd w:id="801"/>
      <w:bookmarkEnd w:id="802"/>
      <w:bookmarkEnd w:id="803"/>
      <w:bookmarkEnd w:id="804"/>
    </w:p>
    <w:p w14:paraId="00773BD8">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805" w:name="_Toc31717"/>
      <w:bookmarkStart w:id="806" w:name="_Toc433009881"/>
      <w:bookmarkStart w:id="807" w:name="_Toc32325"/>
      <w:bookmarkStart w:id="808" w:name="_Toc27554"/>
      <w:bookmarkStart w:id="809" w:name="_Toc9678"/>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5.4.1 供配电系统安全检查表</w:t>
      </w:r>
      <w:bookmarkEnd w:id="805"/>
      <w:bookmarkEnd w:id="806"/>
      <w:bookmarkEnd w:id="807"/>
      <w:bookmarkEnd w:id="808"/>
      <w:bookmarkEnd w:id="809"/>
    </w:p>
    <w:p w14:paraId="6F54A2F6">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依据《用电安全导则》（GB/T 13869-2017）、《低压配电设计规范》（GB 50054-2011）等标准规范的规定，对本项目的供配电采用安全检查表法进行分析评价。检查结果见下表。</w:t>
      </w:r>
    </w:p>
    <w:p w14:paraId="76841EB5">
      <w:pPr>
        <w:numPr>
          <w:ilvl w:val="0"/>
          <w:numId w:val="0"/>
        </w:numPr>
        <w:adjustRightInd w:val="0"/>
        <w:snapToGrid w:val="0"/>
        <w:ind w:leftChars="0"/>
        <w:jc w:val="center"/>
        <w:rPr>
          <w:rFonts w:hint="eastAsia" w:ascii="宋体" w:hAnsi="宋体" w:eastAsia="宋体" w:cs="宋体"/>
          <w:b/>
          <w:bCs w:val="0"/>
          <w:color w:val="000000" w:themeColor="text1"/>
          <w:sz w:val="24"/>
          <w14:textFill>
            <w14:solidFill>
              <w14:schemeClr w14:val="tx1"/>
            </w14:solidFill>
          </w14:textFill>
        </w:rPr>
      </w:pPr>
      <w:r>
        <w:rPr>
          <w:rFonts w:hint="eastAsia" w:ascii="宋体" w:hAnsi="宋体" w:eastAsia="宋体" w:cs="宋体"/>
          <w:b/>
          <w:bCs w:val="0"/>
          <w:color w:val="000000" w:themeColor="text1"/>
          <w:sz w:val="24"/>
          <w:lang w:val="en-US" w:eastAsia="zh-CN"/>
          <w14:textFill>
            <w14:solidFill>
              <w14:schemeClr w14:val="tx1"/>
            </w14:solidFill>
          </w14:textFill>
        </w:rPr>
        <w:t xml:space="preserve">表5-6 </w:t>
      </w:r>
      <w:r>
        <w:rPr>
          <w:rFonts w:hint="eastAsia" w:ascii="宋体" w:hAnsi="宋体" w:eastAsia="宋体" w:cs="宋体"/>
          <w:b/>
          <w:bCs w:val="0"/>
          <w:color w:val="000000" w:themeColor="text1"/>
          <w:sz w:val="24"/>
          <w14:textFill>
            <w14:solidFill>
              <w14:schemeClr w14:val="tx1"/>
            </w14:solidFill>
          </w14:textFill>
        </w:rPr>
        <w:t>供配电安全检查表</w:t>
      </w:r>
    </w:p>
    <w:tbl>
      <w:tblPr>
        <w:tblStyle w:val="24"/>
        <w:tblW w:w="9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3343"/>
        <w:gridCol w:w="2126"/>
        <w:gridCol w:w="2539"/>
        <w:gridCol w:w="700"/>
      </w:tblGrid>
      <w:tr w14:paraId="42DFC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50" w:type="dxa"/>
            <w:vAlign w:val="center"/>
          </w:tcPr>
          <w:p w14:paraId="15C0FD0D">
            <w:pPr>
              <w:spacing w:line="240" w:lineRule="auto"/>
              <w:ind w:firstLine="0" w:firstLineChars="0"/>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序号</w:t>
            </w:r>
          </w:p>
        </w:tc>
        <w:tc>
          <w:tcPr>
            <w:tcW w:w="3343" w:type="dxa"/>
            <w:vAlign w:val="center"/>
          </w:tcPr>
          <w:p w14:paraId="249C610A">
            <w:pPr>
              <w:spacing w:line="240" w:lineRule="auto"/>
              <w:ind w:firstLine="0" w:firstLineChars="0"/>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检查内容</w:t>
            </w:r>
          </w:p>
        </w:tc>
        <w:tc>
          <w:tcPr>
            <w:tcW w:w="2126" w:type="dxa"/>
            <w:vAlign w:val="center"/>
          </w:tcPr>
          <w:p w14:paraId="2EF9E568">
            <w:pPr>
              <w:spacing w:line="240" w:lineRule="auto"/>
              <w:ind w:firstLine="0" w:firstLineChars="0"/>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依据标准</w:t>
            </w:r>
          </w:p>
        </w:tc>
        <w:tc>
          <w:tcPr>
            <w:tcW w:w="2539" w:type="dxa"/>
            <w:vAlign w:val="center"/>
          </w:tcPr>
          <w:p w14:paraId="3ADEF5BB">
            <w:pPr>
              <w:spacing w:line="240" w:lineRule="auto"/>
              <w:ind w:firstLine="0" w:firstLineChars="0"/>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检查情况</w:t>
            </w:r>
          </w:p>
        </w:tc>
        <w:tc>
          <w:tcPr>
            <w:tcW w:w="700" w:type="dxa"/>
            <w:vAlign w:val="center"/>
          </w:tcPr>
          <w:p w14:paraId="3D6A2BFC">
            <w:pPr>
              <w:spacing w:line="240" w:lineRule="auto"/>
              <w:ind w:firstLine="0" w:firstLineChars="0"/>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结论</w:t>
            </w:r>
          </w:p>
        </w:tc>
      </w:tr>
      <w:tr w14:paraId="469D1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Align w:val="center"/>
          </w:tcPr>
          <w:p w14:paraId="3D815579">
            <w:pPr>
              <w:numPr>
                <w:ilvl w:val="0"/>
                <w:numId w:val="8"/>
              </w:numPr>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3343" w:type="dxa"/>
            <w:vAlign w:val="center"/>
          </w:tcPr>
          <w:p w14:paraId="02F46605">
            <w:pPr>
              <w:spacing w:line="240" w:lineRule="auto"/>
              <w:ind w:firstLine="0" w:firstLineChars="0"/>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配电线路应装设短路保护和过负荷保护</w:t>
            </w:r>
          </w:p>
        </w:tc>
        <w:tc>
          <w:tcPr>
            <w:tcW w:w="2126" w:type="dxa"/>
            <w:vAlign w:val="center"/>
          </w:tcPr>
          <w:p w14:paraId="57CD8887">
            <w:pPr>
              <w:spacing w:line="240" w:lineRule="auto"/>
              <w:ind w:firstLine="0" w:firstLineChars="0"/>
              <w:jc w:val="center"/>
              <w:rPr>
                <w:rFonts w:hint="eastAsia" w:ascii="宋体" w:hAnsi="宋体" w:eastAsia="宋体" w:cs="宋体"/>
                <w:bCs/>
                <w:color w:val="000000" w:themeColor="text1"/>
                <w:sz w:val="21"/>
                <w:szCs w:val="21"/>
                <w:lang w:val="en-US" w:eastAsia="zh-CN"/>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《低压配电设计规范》（GB 50054-2011）</w:t>
            </w:r>
            <w:r>
              <w:rPr>
                <w:rFonts w:hint="eastAsia" w:ascii="宋体" w:hAnsi="宋体" w:eastAsia="宋体" w:cs="宋体"/>
                <w:bCs/>
                <w:color w:val="000000" w:themeColor="text1"/>
                <w:sz w:val="21"/>
                <w:szCs w:val="21"/>
                <w:lang w:val="en-US" w:eastAsia="zh-CN"/>
                <w14:textFill>
                  <w14:solidFill>
                    <w14:schemeClr w14:val="tx1"/>
                  </w14:solidFill>
                </w14:textFill>
              </w:rPr>
              <w:t>第</w:t>
            </w:r>
            <w:r>
              <w:rPr>
                <w:rFonts w:hint="eastAsia" w:ascii="宋体" w:hAnsi="宋体" w:eastAsia="宋体" w:cs="宋体"/>
                <w:bCs/>
                <w:color w:val="000000" w:themeColor="text1"/>
                <w:sz w:val="21"/>
                <w:szCs w:val="21"/>
                <w14:textFill>
                  <w14:solidFill>
                    <w14:schemeClr w14:val="tx1"/>
                  </w14:solidFill>
                </w14:textFill>
              </w:rPr>
              <w:t>6.1.1</w:t>
            </w:r>
            <w:r>
              <w:rPr>
                <w:rFonts w:hint="eastAsia" w:ascii="宋体" w:hAnsi="宋体" w:eastAsia="宋体" w:cs="宋体"/>
                <w:bCs/>
                <w:color w:val="000000" w:themeColor="text1"/>
                <w:sz w:val="21"/>
                <w:szCs w:val="21"/>
                <w:lang w:val="en-US" w:eastAsia="zh-CN"/>
                <w14:textFill>
                  <w14:solidFill>
                    <w14:schemeClr w14:val="tx1"/>
                  </w14:solidFill>
                </w14:textFill>
              </w:rPr>
              <w:t>条</w:t>
            </w:r>
          </w:p>
        </w:tc>
        <w:tc>
          <w:tcPr>
            <w:tcW w:w="2539" w:type="dxa"/>
            <w:vAlign w:val="center"/>
          </w:tcPr>
          <w:p w14:paraId="7EFC52FA">
            <w:pPr>
              <w:spacing w:line="240" w:lineRule="auto"/>
              <w:ind w:firstLine="0" w:firstLineChars="0"/>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配电线路装设短路保护，过载保护和接地保护。</w:t>
            </w:r>
          </w:p>
        </w:tc>
        <w:tc>
          <w:tcPr>
            <w:tcW w:w="700" w:type="dxa"/>
            <w:vAlign w:val="center"/>
          </w:tcPr>
          <w:p w14:paraId="1E5B50C8">
            <w:pPr>
              <w:spacing w:line="240" w:lineRule="auto"/>
              <w:ind w:firstLine="0" w:firstLineChars="0"/>
              <w:jc w:val="center"/>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符合</w:t>
            </w:r>
          </w:p>
        </w:tc>
      </w:tr>
      <w:tr w14:paraId="13F94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Align w:val="center"/>
          </w:tcPr>
          <w:p w14:paraId="7298E210">
            <w:pPr>
              <w:numPr>
                <w:ilvl w:val="0"/>
                <w:numId w:val="8"/>
              </w:numPr>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3343" w:type="dxa"/>
            <w:shd w:val="clear" w:color="auto" w:fill="auto"/>
            <w:vAlign w:val="center"/>
          </w:tcPr>
          <w:p w14:paraId="55528867">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配电室的位置应靠近用电负荷中心，设置在尘埃少、腐蚀介质少、周围环境干燥和无剧烈震动的场所，并宜留有发展余地。</w:t>
            </w:r>
          </w:p>
        </w:tc>
        <w:tc>
          <w:tcPr>
            <w:tcW w:w="2126" w:type="dxa"/>
            <w:shd w:val="clear" w:color="auto" w:fill="auto"/>
            <w:vAlign w:val="center"/>
          </w:tcPr>
          <w:p w14:paraId="5C9CCF2B">
            <w:pPr>
              <w:widowControl/>
              <w:rPr>
                <w:rFonts w:hint="eastAsia" w:ascii="宋体" w:hAnsi="宋体" w:eastAsia="宋体" w:cs="宋体"/>
                <w:b/>
                <w:bCs/>
                <w:color w:val="000000"/>
                <w:sz w:val="21"/>
                <w:szCs w:val="21"/>
                <w:lang w:val="en-US" w:eastAsia="zh-CN" w:bidi="ar"/>
              </w:rPr>
            </w:pPr>
            <w:r>
              <w:rPr>
                <w:rFonts w:hint="eastAsia" w:hAnsi="宋体" w:cs="宋体"/>
                <w:color w:val="000000"/>
                <w:sz w:val="21"/>
                <w:szCs w:val="21"/>
                <w:lang w:bidi="ar"/>
              </w:rPr>
              <w:t>《低压配电设计规范》（GB50054-2011）第4.1.1条</w:t>
            </w:r>
          </w:p>
        </w:tc>
        <w:tc>
          <w:tcPr>
            <w:tcW w:w="2539" w:type="dxa"/>
            <w:shd w:val="clear" w:color="auto" w:fill="auto"/>
            <w:vAlign w:val="center"/>
          </w:tcPr>
          <w:p w14:paraId="114229CE">
            <w:pPr>
              <w:widowControl/>
              <w:rPr>
                <w:rFonts w:hint="eastAsia" w:ascii="宋体" w:hAnsi="宋体" w:eastAsia="宋体" w:cs="宋体"/>
                <w:b/>
                <w:bCs/>
                <w:color w:val="000000"/>
                <w:sz w:val="21"/>
                <w:szCs w:val="21"/>
                <w:lang w:val="en-US" w:eastAsia="zh-CN" w:bidi="ar"/>
              </w:rPr>
            </w:pPr>
            <w:r>
              <w:rPr>
                <w:rFonts w:hint="eastAsia" w:hAnsi="宋体" w:cs="宋体"/>
                <w:color w:val="000000"/>
                <w:sz w:val="21"/>
                <w:szCs w:val="21"/>
                <w:lang w:bidi="ar"/>
              </w:rPr>
              <w:t>该厂配电室布置在用电负荷区，留有足够的安全位置。</w:t>
            </w:r>
          </w:p>
        </w:tc>
        <w:tc>
          <w:tcPr>
            <w:tcW w:w="700" w:type="dxa"/>
            <w:shd w:val="clear" w:color="auto" w:fill="auto"/>
            <w:vAlign w:val="center"/>
          </w:tcPr>
          <w:p w14:paraId="28F819BF">
            <w:pPr>
              <w:widowControl/>
              <w:jc w:val="center"/>
              <w:rPr>
                <w:rFonts w:hint="eastAsia" w:ascii="宋体" w:hAnsi="宋体" w:eastAsia="宋体" w:cs="宋体"/>
                <w:b/>
                <w:bCs/>
                <w:color w:val="000000"/>
                <w:sz w:val="21"/>
                <w:szCs w:val="21"/>
                <w:lang w:val="en-US" w:eastAsia="zh-CN" w:bidi="ar"/>
              </w:rPr>
            </w:pPr>
            <w:r>
              <w:rPr>
                <w:rFonts w:hint="eastAsia" w:hAnsi="宋体" w:cs="宋体"/>
                <w:color w:val="000000"/>
                <w:sz w:val="21"/>
                <w:szCs w:val="21"/>
                <w:lang w:bidi="ar"/>
              </w:rPr>
              <w:t>符合</w:t>
            </w:r>
          </w:p>
        </w:tc>
      </w:tr>
      <w:tr w14:paraId="593BF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Align w:val="center"/>
          </w:tcPr>
          <w:p w14:paraId="30A85DBC">
            <w:pPr>
              <w:numPr>
                <w:ilvl w:val="0"/>
                <w:numId w:val="8"/>
              </w:numPr>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3343" w:type="dxa"/>
            <w:shd w:val="clear" w:color="auto" w:fill="auto"/>
            <w:vAlign w:val="center"/>
          </w:tcPr>
          <w:p w14:paraId="75E4A134">
            <w:pPr>
              <w:widowControl/>
              <w:jc w:val="left"/>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配电线路的敷设，应符合下列条件：1与场所环境的特征相适应；2与建筑物和构筑物的特征相适应；3能承受短路可能出现的机电应力；4能承受安装期间或运行中布线可能遭受的其他应力和导线的自重。</w:t>
            </w:r>
          </w:p>
        </w:tc>
        <w:tc>
          <w:tcPr>
            <w:tcW w:w="2126" w:type="dxa"/>
            <w:shd w:val="clear" w:color="auto" w:fill="auto"/>
            <w:vAlign w:val="center"/>
          </w:tcPr>
          <w:p w14:paraId="602EAFC4">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《低压配电设计规范》（GB50054-2011）第7.1.1条</w:t>
            </w:r>
          </w:p>
        </w:tc>
        <w:tc>
          <w:tcPr>
            <w:tcW w:w="2539" w:type="dxa"/>
            <w:shd w:val="clear" w:color="auto" w:fill="auto"/>
            <w:vAlign w:val="center"/>
          </w:tcPr>
          <w:p w14:paraId="4E63FBC8">
            <w:pPr>
              <w:widowControl/>
              <w:jc w:val="left"/>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配电线路的敷设满足要求。</w:t>
            </w:r>
          </w:p>
        </w:tc>
        <w:tc>
          <w:tcPr>
            <w:tcW w:w="700" w:type="dxa"/>
            <w:shd w:val="clear" w:color="auto" w:fill="auto"/>
            <w:vAlign w:val="center"/>
          </w:tcPr>
          <w:p w14:paraId="1725CEA7">
            <w:pPr>
              <w:widowControl/>
              <w:jc w:val="center"/>
              <w:rPr>
                <w:rFonts w:hint="eastAsia" w:ascii="宋体" w:hAnsi="宋体" w:eastAsia="宋体" w:cs="宋体"/>
                <w:b/>
                <w:bCs/>
                <w:color w:val="000000"/>
                <w:sz w:val="21"/>
                <w:szCs w:val="21"/>
                <w:lang w:val="en-US" w:eastAsia="zh-CN" w:bidi="ar"/>
              </w:rPr>
            </w:pPr>
            <w:r>
              <w:rPr>
                <w:rFonts w:hint="eastAsia" w:hAnsi="宋体" w:cs="宋体"/>
                <w:color w:val="000000"/>
                <w:sz w:val="21"/>
                <w:szCs w:val="21"/>
                <w:lang w:bidi="ar"/>
              </w:rPr>
              <w:t>符合</w:t>
            </w:r>
          </w:p>
        </w:tc>
      </w:tr>
      <w:tr w14:paraId="0E82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Align w:val="center"/>
          </w:tcPr>
          <w:p w14:paraId="351EBB57">
            <w:pPr>
              <w:numPr>
                <w:ilvl w:val="0"/>
                <w:numId w:val="8"/>
              </w:numPr>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3343" w:type="dxa"/>
            <w:shd w:val="clear" w:color="auto" w:fill="auto"/>
            <w:vAlign w:val="center"/>
          </w:tcPr>
          <w:p w14:paraId="192B005E">
            <w:pPr>
              <w:adjustRightInd w:val="0"/>
              <w:snapToGrid w:val="0"/>
              <w:jc w:val="left"/>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电气线路应具有足够的绝缘强度、机械强度和导电能力，其安装应符合相应产品标准的规定。</w:t>
            </w:r>
          </w:p>
        </w:tc>
        <w:tc>
          <w:tcPr>
            <w:tcW w:w="2126" w:type="dxa"/>
            <w:shd w:val="clear" w:color="auto" w:fill="auto"/>
            <w:vAlign w:val="center"/>
          </w:tcPr>
          <w:p w14:paraId="05A85F3B">
            <w:pPr>
              <w:adjustRightInd w:val="0"/>
              <w:snapToGrid w:val="0"/>
              <w:jc w:val="left"/>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hAnsi="宋体" w:cs="宋体"/>
                <w:color w:val="000000"/>
                <w:sz w:val="21"/>
                <w:szCs w:val="21"/>
                <w:lang w:bidi="ar"/>
              </w:rPr>
              <w:t>《用电安全导则》（GB/T13869-2017）</w:t>
            </w:r>
            <w:r>
              <w:rPr>
                <w:rFonts w:hint="eastAsia" w:ascii="宋体" w:hAnsi="宋体" w:eastAsia="宋体" w:cs="宋体"/>
                <w:color w:val="000000" w:themeColor="text1"/>
                <w:sz w:val="21"/>
                <w:szCs w:val="21"/>
                <w14:textFill>
                  <w14:solidFill>
                    <w14:schemeClr w14:val="tx1"/>
                  </w14:solidFill>
                </w14:textFill>
              </w:rPr>
              <w:t>第5.1.2条</w:t>
            </w:r>
          </w:p>
        </w:tc>
        <w:tc>
          <w:tcPr>
            <w:tcW w:w="2539" w:type="dxa"/>
            <w:shd w:val="clear" w:color="auto" w:fill="auto"/>
            <w:vAlign w:val="center"/>
          </w:tcPr>
          <w:p w14:paraId="175C2A98">
            <w:pPr>
              <w:adjustRightInd w:val="0"/>
              <w:snapToGrid w:val="0"/>
              <w:jc w:val="left"/>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电气线路由专业电气操作人员安装、维护。</w:t>
            </w:r>
          </w:p>
        </w:tc>
        <w:tc>
          <w:tcPr>
            <w:tcW w:w="700" w:type="dxa"/>
            <w:shd w:val="clear" w:color="auto" w:fill="auto"/>
            <w:vAlign w:val="center"/>
          </w:tcPr>
          <w:p w14:paraId="28403DDA">
            <w:pPr>
              <w:adjustRightInd w:val="0"/>
              <w:snapToGrid w:val="0"/>
              <w:jc w:val="left"/>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1F348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Align w:val="center"/>
          </w:tcPr>
          <w:p w14:paraId="54ABB6E4">
            <w:pPr>
              <w:numPr>
                <w:ilvl w:val="0"/>
                <w:numId w:val="8"/>
              </w:numPr>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3343" w:type="dxa"/>
            <w:shd w:val="clear" w:color="auto" w:fill="auto"/>
            <w:vAlign w:val="center"/>
          </w:tcPr>
          <w:p w14:paraId="4CE438DB">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用电产品的安装应符合相应产品标准的规定。用电产品应按照制造商要求的使用环境条件进行安装，如果不能满足制造商的环境要求，应该采取附加的安装措施，例如，为用电产品提供防止外来电气、机械、化学和物理应力的防护。一般条件下，用电产品的周围应留有足够的安全通道和工作空间，且不应堆放易燃、易爆和腐蚀性物品。</w:t>
            </w:r>
          </w:p>
        </w:tc>
        <w:tc>
          <w:tcPr>
            <w:tcW w:w="2126" w:type="dxa"/>
            <w:shd w:val="clear" w:color="auto" w:fill="auto"/>
            <w:vAlign w:val="center"/>
          </w:tcPr>
          <w:p w14:paraId="35148A7B">
            <w:pPr>
              <w:widowControl/>
              <w:rPr>
                <w:rFonts w:hint="eastAsia" w:ascii="宋体" w:hAnsi="宋体" w:eastAsia="宋体" w:cs="宋体"/>
                <w:b/>
                <w:bCs/>
                <w:color w:val="000000"/>
                <w:sz w:val="21"/>
                <w:szCs w:val="21"/>
                <w:lang w:val="en-US" w:eastAsia="zh-CN" w:bidi="ar"/>
              </w:rPr>
            </w:pPr>
            <w:r>
              <w:rPr>
                <w:rFonts w:hint="eastAsia" w:hAnsi="宋体" w:cs="宋体"/>
                <w:color w:val="000000"/>
                <w:sz w:val="21"/>
                <w:szCs w:val="21"/>
                <w:lang w:bidi="ar"/>
              </w:rPr>
              <w:t>《用电安全导则》（GB/T13869-2017）第5.1.1条</w:t>
            </w:r>
          </w:p>
        </w:tc>
        <w:tc>
          <w:tcPr>
            <w:tcW w:w="2539" w:type="dxa"/>
            <w:shd w:val="clear" w:color="auto" w:fill="auto"/>
            <w:vAlign w:val="center"/>
          </w:tcPr>
          <w:p w14:paraId="08F82483">
            <w:pPr>
              <w:widowControl/>
              <w:rPr>
                <w:rFonts w:hint="eastAsia" w:ascii="宋体" w:hAnsi="宋体" w:eastAsia="宋体" w:cs="宋体"/>
                <w:b/>
                <w:bCs/>
                <w:color w:val="000000"/>
                <w:sz w:val="21"/>
                <w:szCs w:val="21"/>
                <w:lang w:val="en-US" w:eastAsia="zh-CN" w:bidi="ar"/>
              </w:rPr>
            </w:pPr>
            <w:r>
              <w:rPr>
                <w:rFonts w:hint="eastAsia" w:hAnsi="宋体" w:cs="宋体"/>
                <w:color w:val="000000"/>
                <w:sz w:val="21"/>
                <w:szCs w:val="21"/>
                <w:lang w:bidi="ar"/>
              </w:rPr>
              <w:t>该厂内的用电产品按照要求进行安装，用电产品周边留有足够的安全通道和工作空间。</w:t>
            </w:r>
          </w:p>
        </w:tc>
        <w:tc>
          <w:tcPr>
            <w:tcW w:w="700" w:type="dxa"/>
            <w:shd w:val="clear" w:color="auto" w:fill="auto"/>
            <w:vAlign w:val="center"/>
          </w:tcPr>
          <w:p w14:paraId="4EFFA7E8">
            <w:pPr>
              <w:widowControl/>
              <w:jc w:val="center"/>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符合</w:t>
            </w:r>
          </w:p>
        </w:tc>
      </w:tr>
      <w:tr w14:paraId="1F128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Align w:val="center"/>
          </w:tcPr>
          <w:p w14:paraId="7DC519C7">
            <w:pPr>
              <w:numPr>
                <w:ilvl w:val="0"/>
                <w:numId w:val="8"/>
              </w:numPr>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3343" w:type="dxa"/>
            <w:shd w:val="clear" w:color="auto" w:fill="auto"/>
            <w:vAlign w:val="center"/>
          </w:tcPr>
          <w:p w14:paraId="62385F3C">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任何用电产品在运行过程中，应有必要的监控或监视措施；用电产品不允许超负荷运行。</w:t>
            </w:r>
          </w:p>
        </w:tc>
        <w:tc>
          <w:tcPr>
            <w:tcW w:w="2126" w:type="dxa"/>
            <w:shd w:val="clear" w:color="auto" w:fill="auto"/>
            <w:vAlign w:val="center"/>
          </w:tcPr>
          <w:p w14:paraId="34E260F9">
            <w:pPr>
              <w:widowControl/>
              <w:rPr>
                <w:rFonts w:hint="eastAsia" w:ascii="宋体" w:hAnsi="宋体" w:eastAsia="宋体" w:cs="宋体"/>
                <w:b/>
                <w:bCs/>
                <w:color w:val="000000"/>
                <w:sz w:val="21"/>
                <w:szCs w:val="21"/>
                <w:lang w:val="en-US" w:eastAsia="zh-CN" w:bidi="ar"/>
              </w:rPr>
            </w:pPr>
            <w:r>
              <w:rPr>
                <w:rFonts w:hint="eastAsia" w:hAnsi="宋体" w:cs="宋体"/>
                <w:color w:val="000000"/>
                <w:sz w:val="21"/>
                <w:szCs w:val="21"/>
                <w:lang w:bidi="ar"/>
              </w:rPr>
              <w:t>《用电安全导则》（GB/T13869-2017）第5.2.1条</w:t>
            </w:r>
          </w:p>
        </w:tc>
        <w:tc>
          <w:tcPr>
            <w:tcW w:w="2539" w:type="dxa"/>
            <w:shd w:val="clear" w:color="auto" w:fill="auto"/>
            <w:vAlign w:val="center"/>
          </w:tcPr>
          <w:p w14:paraId="637F1B36">
            <w:pPr>
              <w:widowControl/>
              <w:rPr>
                <w:rFonts w:hint="eastAsia" w:ascii="宋体" w:hAnsi="宋体" w:eastAsia="宋体" w:cs="宋体"/>
                <w:b/>
                <w:bCs/>
                <w:color w:val="000000"/>
                <w:sz w:val="21"/>
                <w:szCs w:val="21"/>
                <w:lang w:val="en-US" w:eastAsia="zh-CN" w:bidi="ar"/>
              </w:rPr>
            </w:pPr>
            <w:r>
              <w:rPr>
                <w:rFonts w:hint="eastAsia" w:hAnsi="宋体" w:cs="宋体"/>
                <w:color w:val="000000"/>
                <w:sz w:val="21"/>
                <w:szCs w:val="21"/>
                <w:lang w:bidi="ar"/>
              </w:rPr>
              <w:t>该厂内的电气装置均在负荷范围内运行。</w:t>
            </w:r>
          </w:p>
        </w:tc>
        <w:tc>
          <w:tcPr>
            <w:tcW w:w="700" w:type="dxa"/>
            <w:shd w:val="clear" w:color="auto" w:fill="auto"/>
            <w:vAlign w:val="center"/>
          </w:tcPr>
          <w:p w14:paraId="6D261298">
            <w:pPr>
              <w:widowControl/>
              <w:jc w:val="center"/>
              <w:rPr>
                <w:rFonts w:hint="eastAsia" w:ascii="宋体" w:hAnsi="宋体" w:eastAsia="宋体" w:cs="宋体"/>
                <w:b/>
                <w:bCs/>
                <w:color w:val="000000"/>
                <w:sz w:val="21"/>
                <w:szCs w:val="21"/>
                <w:lang w:val="en-US" w:eastAsia="zh-CN" w:bidi="ar"/>
              </w:rPr>
            </w:pPr>
            <w:r>
              <w:rPr>
                <w:rFonts w:hint="eastAsia" w:hAnsi="宋体" w:cs="宋体"/>
                <w:color w:val="000000"/>
                <w:sz w:val="21"/>
                <w:szCs w:val="21"/>
                <w:lang w:bidi="ar"/>
              </w:rPr>
              <w:t>符合</w:t>
            </w:r>
          </w:p>
        </w:tc>
      </w:tr>
      <w:tr w14:paraId="4227E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Align w:val="center"/>
          </w:tcPr>
          <w:p w14:paraId="50AB7647">
            <w:pPr>
              <w:numPr>
                <w:ilvl w:val="0"/>
                <w:numId w:val="8"/>
              </w:numPr>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3343" w:type="dxa"/>
            <w:shd w:val="clear" w:color="auto" w:fill="auto"/>
            <w:vAlign w:val="center"/>
          </w:tcPr>
          <w:p w14:paraId="2EA96B1B">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落地式配电箱的底部宜抬高，高出地面的高度室内不应低于50mm，室外不应低于200mm；其底座周围应采取封闭措施，并应能防止鼠、蛇类等小动物进入箱内。</w:t>
            </w:r>
          </w:p>
        </w:tc>
        <w:tc>
          <w:tcPr>
            <w:tcW w:w="2126" w:type="dxa"/>
            <w:shd w:val="clear" w:color="auto" w:fill="auto"/>
            <w:vAlign w:val="center"/>
          </w:tcPr>
          <w:p w14:paraId="06ABA63F">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《低压配电设计规范》（GB50054-2011）第4.2.1条</w:t>
            </w:r>
          </w:p>
        </w:tc>
        <w:tc>
          <w:tcPr>
            <w:tcW w:w="2539" w:type="dxa"/>
            <w:shd w:val="clear" w:color="auto" w:fill="auto"/>
            <w:vAlign w:val="center"/>
          </w:tcPr>
          <w:p w14:paraId="52747720">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落地式配电箱有高出地面，并采取封闭措施。</w:t>
            </w:r>
          </w:p>
        </w:tc>
        <w:tc>
          <w:tcPr>
            <w:tcW w:w="700" w:type="dxa"/>
            <w:shd w:val="clear" w:color="auto" w:fill="auto"/>
            <w:vAlign w:val="center"/>
          </w:tcPr>
          <w:p w14:paraId="1103AD96">
            <w:pPr>
              <w:widowControl/>
              <w:jc w:val="center"/>
              <w:rPr>
                <w:rFonts w:hint="eastAsia" w:ascii="宋体" w:hAnsi="宋体" w:eastAsia="宋体" w:cs="宋体"/>
                <w:b/>
                <w:bCs/>
                <w:color w:val="000000"/>
                <w:sz w:val="21"/>
                <w:szCs w:val="21"/>
                <w:lang w:val="en-US" w:eastAsia="zh-CN" w:bidi="ar"/>
              </w:rPr>
            </w:pPr>
            <w:r>
              <w:rPr>
                <w:rFonts w:hint="eastAsia" w:hAnsi="宋体" w:cs="宋体"/>
                <w:color w:val="000000"/>
                <w:sz w:val="21"/>
                <w:szCs w:val="21"/>
                <w:lang w:bidi="ar"/>
              </w:rPr>
              <w:t>符合</w:t>
            </w:r>
          </w:p>
        </w:tc>
      </w:tr>
    </w:tbl>
    <w:p w14:paraId="4B2A463B">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由上述安全检查表的结果可知，</w:t>
      </w:r>
      <w:bookmarkStart w:id="810" w:name="_Hlk51319922"/>
      <w:r>
        <w:rPr>
          <w:rFonts w:hint="eastAsia" w:ascii="宋体" w:hAnsi="宋体" w:eastAsia="宋体" w:cs="宋体"/>
          <w:color w:val="000000" w:themeColor="text1"/>
          <w:sz w:val="28"/>
          <w:szCs w:val="28"/>
          <w14:textFill>
            <w14:solidFill>
              <w14:schemeClr w14:val="tx1"/>
            </w14:solidFill>
          </w14:textFill>
        </w:rPr>
        <w:t>本项目的供配电系统</w:t>
      </w:r>
      <w:bookmarkEnd w:id="810"/>
      <w:r>
        <w:rPr>
          <w:rFonts w:hint="eastAsia" w:ascii="宋体" w:hAnsi="宋体" w:eastAsia="宋体" w:cs="宋体"/>
          <w:color w:val="000000" w:themeColor="text1"/>
          <w:sz w:val="28"/>
          <w:szCs w:val="28"/>
          <w14:textFill>
            <w14:solidFill>
              <w14:schemeClr w14:val="tx1"/>
            </w14:solidFill>
          </w14:textFill>
        </w:rPr>
        <w:t>符合《用电安全导则》（GB/T 13869-2017）、《低压配电设计规范》（GB 50054-2011）等标准规范的要求。</w:t>
      </w:r>
    </w:p>
    <w:p w14:paraId="2267E65C">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811" w:name="_Toc5385"/>
      <w:bookmarkStart w:id="812" w:name="_Toc9617"/>
      <w:bookmarkStart w:id="813" w:name="_Toc30305"/>
      <w:bookmarkStart w:id="814" w:name="_Toc433009882"/>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5.4.2 给排水系统安全检查表</w:t>
      </w:r>
      <w:bookmarkEnd w:id="811"/>
      <w:bookmarkEnd w:id="812"/>
      <w:bookmarkEnd w:id="813"/>
    </w:p>
    <w:bookmarkEnd w:id="814"/>
    <w:p w14:paraId="48F6CC28">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依据《工业企业总平面设计规范》（GB50187-2012）</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hAnsi="宋体" w:cs="宋体"/>
          <w:color w:val="000000"/>
          <w:sz w:val="28"/>
          <w:szCs w:val="28"/>
          <w:lang w:bidi="ar"/>
        </w:rPr>
        <w:t>《建筑给水排水设计标准》（GB50016-2019）</w:t>
      </w:r>
      <w:r>
        <w:rPr>
          <w:rFonts w:hint="eastAsia" w:ascii="宋体" w:hAnsi="宋体" w:eastAsia="宋体" w:cs="宋体"/>
          <w:color w:val="000000" w:themeColor="text1"/>
          <w:sz w:val="28"/>
          <w:szCs w:val="28"/>
          <w14:textFill>
            <w14:solidFill>
              <w14:schemeClr w14:val="tx1"/>
            </w14:solidFill>
          </w14:textFill>
        </w:rPr>
        <w:t>等标准规范的要求，对该厂的给排水进行安全检查。检查结果见下表5-</w:t>
      </w:r>
      <w:r>
        <w:rPr>
          <w:rFonts w:hint="eastAsia" w:ascii="宋体" w:hAnsi="宋体" w:eastAsia="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t>。</w:t>
      </w:r>
    </w:p>
    <w:p w14:paraId="6EC517FD">
      <w:pPr>
        <w:spacing w:line="5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表5-</w:t>
      </w:r>
      <w:r>
        <w:rPr>
          <w:rFonts w:hint="eastAsia" w:ascii="宋体" w:hAnsi="宋体" w:eastAsia="宋体" w:cs="宋体"/>
          <w:b/>
          <w:bCs/>
          <w:color w:val="000000" w:themeColor="text1"/>
          <w:lang w:val="en-US" w:eastAsia="zh-CN"/>
          <w14:textFill>
            <w14:solidFill>
              <w14:schemeClr w14:val="tx1"/>
            </w14:solidFill>
          </w14:textFill>
        </w:rPr>
        <w:t>7</w:t>
      </w:r>
      <w:r>
        <w:rPr>
          <w:rFonts w:hint="eastAsia" w:ascii="宋体" w:hAnsi="宋体" w:eastAsia="宋体" w:cs="宋体"/>
          <w:b/>
          <w:bCs/>
          <w:color w:val="000000" w:themeColor="text1"/>
          <w14:textFill>
            <w14:solidFill>
              <w14:schemeClr w14:val="tx1"/>
            </w14:solidFill>
          </w14:textFill>
        </w:rPr>
        <w:t xml:space="preserve">  给排水安全检查表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3838"/>
        <w:gridCol w:w="2160"/>
        <w:gridCol w:w="1320"/>
        <w:gridCol w:w="676"/>
      </w:tblGrid>
      <w:tr w14:paraId="1E4F6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blHeader/>
        </w:trPr>
        <w:tc>
          <w:tcPr>
            <w:tcW w:w="0" w:type="auto"/>
            <w:vAlign w:val="center"/>
          </w:tcPr>
          <w:p w14:paraId="53813D65">
            <w:pPr>
              <w:tabs>
                <w:tab w:val="left" w:pos="810"/>
              </w:tabs>
              <w:jc w:val="left"/>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序号</w:t>
            </w:r>
          </w:p>
        </w:tc>
        <w:tc>
          <w:tcPr>
            <w:tcW w:w="3838" w:type="dxa"/>
            <w:vAlign w:val="center"/>
          </w:tcPr>
          <w:p w14:paraId="1CAAB471">
            <w:pPr>
              <w:snapToGrid w:val="0"/>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检查内容</w:t>
            </w:r>
          </w:p>
        </w:tc>
        <w:tc>
          <w:tcPr>
            <w:tcW w:w="2160" w:type="dxa"/>
            <w:vAlign w:val="center"/>
          </w:tcPr>
          <w:p w14:paraId="463FB8DD">
            <w:pPr>
              <w:snapToGrid w:val="0"/>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依据标准</w:t>
            </w:r>
          </w:p>
        </w:tc>
        <w:tc>
          <w:tcPr>
            <w:tcW w:w="1320" w:type="dxa"/>
            <w:vAlign w:val="center"/>
          </w:tcPr>
          <w:p w14:paraId="10ECA172">
            <w:pPr>
              <w:snapToGrid w:val="0"/>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检查情况</w:t>
            </w:r>
          </w:p>
        </w:tc>
        <w:tc>
          <w:tcPr>
            <w:tcW w:w="676" w:type="dxa"/>
            <w:vAlign w:val="center"/>
          </w:tcPr>
          <w:p w14:paraId="6FE4DFA6">
            <w:pPr>
              <w:snapToGrid w:val="0"/>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结论</w:t>
            </w:r>
          </w:p>
        </w:tc>
      </w:tr>
      <w:tr w14:paraId="344FD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blHeader/>
        </w:trPr>
        <w:tc>
          <w:tcPr>
            <w:tcW w:w="0" w:type="auto"/>
            <w:vAlign w:val="center"/>
          </w:tcPr>
          <w:p w14:paraId="2D8B2299">
            <w:pPr>
              <w:snapToGrid w:val="0"/>
              <w:jc w:val="center"/>
              <w:rPr>
                <w:rFonts w:hint="eastAsia" w:ascii="宋体" w:hAnsi="宋体" w:eastAsia="宋体" w:cs="宋体"/>
                <w:b/>
                <w:color w:val="000000" w:themeColor="text1"/>
                <w:sz w:val="21"/>
                <w:szCs w:val="21"/>
                <w:lang w:eastAsia="zh-CN"/>
                <w14:textFill>
                  <w14:solidFill>
                    <w14:schemeClr w14:val="tx1"/>
                  </w14:solidFill>
                </w14:textFill>
              </w:rPr>
            </w:pPr>
            <w:r>
              <w:rPr>
                <w:rFonts w:hint="eastAsia" w:ascii="宋体" w:hAnsi="宋体" w:eastAsia="宋体" w:cs="宋体"/>
                <w:b/>
                <w:color w:val="000000" w:themeColor="text1"/>
                <w:sz w:val="21"/>
                <w:szCs w:val="21"/>
                <w:lang w:val="en-US" w:eastAsia="zh-CN"/>
                <w14:textFill>
                  <w14:solidFill>
                    <w14:schemeClr w14:val="tx1"/>
                  </w14:solidFill>
                </w14:textFill>
              </w:rPr>
              <w:t>1</w:t>
            </w:r>
          </w:p>
        </w:tc>
        <w:tc>
          <w:tcPr>
            <w:tcW w:w="3838" w:type="dxa"/>
            <w:vAlign w:val="center"/>
          </w:tcPr>
          <w:p w14:paraId="107748A1">
            <w:pPr>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场地应有完整、有效的雨水排水系统。场地雨水的排除方式，应结合工业企业所在地区的雨水排除方式、建筑密度、环境卫生要求、地质和气候条件等因素，合理选择暗管、明沟或地面自然排渗等方式，并应符合下列要求：（1）厂区雨水排水管、沟应与厂外排雨水系统相衔接，场地雨水不得任意排至厂外；（2）有条件的工业企业应建立雨水收集系统，应对收集的雨水充分利用；（3）厂区雨水宜采用暗管排水。</w:t>
            </w:r>
          </w:p>
        </w:tc>
        <w:tc>
          <w:tcPr>
            <w:tcW w:w="2160" w:type="dxa"/>
            <w:vAlign w:val="center"/>
          </w:tcPr>
          <w:p w14:paraId="4D88CF8D">
            <w:pPr>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50187-</w:t>
            </w:r>
          </w:p>
          <w:p w14:paraId="3B09E706">
            <w:pPr>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2012）第7.4.</w:t>
            </w: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条</w:t>
            </w:r>
          </w:p>
        </w:tc>
        <w:tc>
          <w:tcPr>
            <w:tcW w:w="1320" w:type="dxa"/>
            <w:vAlign w:val="center"/>
          </w:tcPr>
          <w:p w14:paraId="6FDFC041">
            <w:pPr>
              <w:snapToGrid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本项目有较为完整、有效的排水系统。</w:t>
            </w:r>
          </w:p>
        </w:tc>
        <w:tc>
          <w:tcPr>
            <w:tcW w:w="676" w:type="dxa"/>
            <w:vAlign w:val="center"/>
          </w:tcPr>
          <w:p w14:paraId="375EFB5A">
            <w:pPr>
              <w:spacing w:line="34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575A5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blHeader/>
        </w:trPr>
        <w:tc>
          <w:tcPr>
            <w:tcW w:w="0" w:type="auto"/>
            <w:vAlign w:val="center"/>
          </w:tcPr>
          <w:p w14:paraId="7BAB8048">
            <w:pPr>
              <w:snapToGrid w:val="0"/>
              <w:jc w:val="center"/>
              <w:rPr>
                <w:rFonts w:hint="eastAsia" w:ascii="宋体" w:hAnsi="宋体" w:eastAsia="宋体" w:cs="宋体"/>
                <w:b/>
                <w:color w:val="000000" w:themeColor="text1"/>
                <w:sz w:val="21"/>
                <w:szCs w:val="21"/>
                <w:lang w:eastAsia="zh-CN"/>
                <w14:textFill>
                  <w14:solidFill>
                    <w14:schemeClr w14:val="tx1"/>
                  </w14:solidFill>
                </w14:textFill>
              </w:rPr>
            </w:pPr>
            <w:r>
              <w:rPr>
                <w:rFonts w:hint="eastAsia" w:ascii="宋体" w:hAnsi="宋体" w:eastAsia="宋体" w:cs="宋体"/>
                <w:b/>
                <w:color w:val="000000" w:themeColor="text1"/>
                <w:sz w:val="21"/>
                <w:szCs w:val="21"/>
                <w:lang w:val="en-US" w:eastAsia="zh-CN"/>
                <w14:textFill>
                  <w14:solidFill>
                    <w14:schemeClr w14:val="tx1"/>
                  </w14:solidFill>
                </w14:textFill>
              </w:rPr>
              <w:t>2</w:t>
            </w:r>
          </w:p>
        </w:tc>
        <w:tc>
          <w:tcPr>
            <w:tcW w:w="3838" w:type="dxa"/>
            <w:vAlign w:val="center"/>
          </w:tcPr>
          <w:p w14:paraId="2E7C8FB0">
            <w:pPr>
              <w:snapToGrid w:val="0"/>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场地雨水排水设计流量计算，应符合现行国家标准《室外排水设计</w:t>
            </w:r>
            <w:r>
              <w:rPr>
                <w:rFonts w:hint="eastAsia" w:ascii="宋体" w:hAnsi="宋体" w:eastAsia="宋体" w:cs="宋体"/>
                <w:color w:val="000000" w:themeColor="text1"/>
                <w:sz w:val="21"/>
                <w:szCs w:val="21"/>
                <w:lang w:eastAsia="zh-CN"/>
                <w14:textFill>
                  <w14:solidFill>
                    <w14:schemeClr w14:val="tx1"/>
                  </w14:solidFill>
                </w14:textFill>
              </w:rPr>
              <w:t>规范</w:t>
            </w:r>
            <w:r>
              <w:rPr>
                <w:rFonts w:hint="eastAsia" w:ascii="宋体" w:hAnsi="宋体" w:eastAsia="宋体" w:cs="宋体"/>
                <w:color w:val="000000" w:themeColor="text1"/>
                <w:sz w:val="21"/>
                <w:szCs w:val="21"/>
                <w14:textFill>
                  <w14:solidFill>
                    <w14:schemeClr w14:val="tx1"/>
                  </w14:solidFill>
                </w14:textFill>
              </w:rPr>
              <w:t>》GB 50014的有关规定。</w:t>
            </w:r>
          </w:p>
        </w:tc>
        <w:tc>
          <w:tcPr>
            <w:tcW w:w="2160" w:type="dxa"/>
            <w:vAlign w:val="center"/>
          </w:tcPr>
          <w:p w14:paraId="25FCBF3D">
            <w:pPr>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50187-</w:t>
            </w:r>
          </w:p>
          <w:p w14:paraId="61894041">
            <w:pPr>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2012）第7.4.</w:t>
            </w: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条</w:t>
            </w:r>
          </w:p>
        </w:tc>
        <w:tc>
          <w:tcPr>
            <w:tcW w:w="1320" w:type="dxa"/>
            <w:vAlign w:val="center"/>
          </w:tcPr>
          <w:p w14:paraId="22CBC0EC">
            <w:pPr>
              <w:snapToGrid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本项目场地雨水排量符合相关要求。</w:t>
            </w:r>
          </w:p>
        </w:tc>
        <w:tc>
          <w:tcPr>
            <w:tcW w:w="676" w:type="dxa"/>
            <w:vAlign w:val="center"/>
          </w:tcPr>
          <w:p w14:paraId="465B01F6">
            <w:pPr>
              <w:spacing w:line="34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4072E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blHeader/>
        </w:trPr>
        <w:tc>
          <w:tcPr>
            <w:tcW w:w="0" w:type="auto"/>
            <w:vAlign w:val="center"/>
          </w:tcPr>
          <w:p w14:paraId="4AEB9D4E">
            <w:pPr>
              <w:snapToGrid w:val="0"/>
              <w:jc w:val="center"/>
              <w:rPr>
                <w:rFonts w:hint="eastAsia" w:ascii="宋体" w:hAnsi="宋体" w:eastAsia="宋体" w:cs="宋体"/>
                <w:b/>
                <w:color w:val="000000" w:themeColor="text1"/>
                <w:sz w:val="21"/>
                <w:szCs w:val="21"/>
                <w:lang w:eastAsia="zh-CN"/>
                <w14:textFill>
                  <w14:solidFill>
                    <w14:schemeClr w14:val="tx1"/>
                  </w14:solidFill>
                </w14:textFill>
              </w:rPr>
            </w:pPr>
            <w:r>
              <w:rPr>
                <w:rFonts w:hint="eastAsia" w:ascii="宋体" w:hAnsi="宋体" w:eastAsia="宋体" w:cs="宋体"/>
                <w:b/>
                <w:color w:val="000000" w:themeColor="text1"/>
                <w:sz w:val="21"/>
                <w:szCs w:val="21"/>
                <w:lang w:val="en-US" w:eastAsia="zh-CN"/>
                <w14:textFill>
                  <w14:solidFill>
                    <w14:schemeClr w14:val="tx1"/>
                  </w14:solidFill>
                </w14:textFill>
              </w:rPr>
              <w:t>3</w:t>
            </w:r>
          </w:p>
        </w:tc>
        <w:tc>
          <w:tcPr>
            <w:tcW w:w="3838" w:type="dxa"/>
            <w:vAlign w:val="center"/>
          </w:tcPr>
          <w:p w14:paraId="12829C54">
            <w:pPr>
              <w:snapToGrid w:val="0"/>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当采用明沟排水时，排水沟宜沿铁路、道路布置，并宜避免与其交叉。排出厂外的雨水，不得对其它工程设施或农田造成危害。</w:t>
            </w:r>
          </w:p>
        </w:tc>
        <w:tc>
          <w:tcPr>
            <w:tcW w:w="2160" w:type="dxa"/>
            <w:vAlign w:val="center"/>
          </w:tcPr>
          <w:p w14:paraId="4338C3AF">
            <w:pPr>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50187-</w:t>
            </w:r>
          </w:p>
          <w:p w14:paraId="0A456ADB">
            <w:pPr>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2012）第7.4.</w:t>
            </w:r>
            <w:r>
              <w:rPr>
                <w:rFonts w:hint="eastAsia" w:ascii="宋体" w:hAnsi="宋体" w:eastAsia="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条</w:t>
            </w:r>
          </w:p>
        </w:tc>
        <w:tc>
          <w:tcPr>
            <w:tcW w:w="1320" w:type="dxa"/>
            <w:vAlign w:val="center"/>
          </w:tcPr>
          <w:p w14:paraId="4890FDDE">
            <w:pPr>
              <w:snapToGrid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采用明沟排水，明沟沿道路设置，不会对其他设施造成危害。</w:t>
            </w:r>
          </w:p>
        </w:tc>
        <w:tc>
          <w:tcPr>
            <w:tcW w:w="676" w:type="dxa"/>
            <w:vAlign w:val="center"/>
          </w:tcPr>
          <w:p w14:paraId="7BBE3B5F">
            <w:pPr>
              <w:spacing w:line="34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27E32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blHeader/>
        </w:trPr>
        <w:tc>
          <w:tcPr>
            <w:tcW w:w="0" w:type="auto"/>
            <w:vAlign w:val="center"/>
          </w:tcPr>
          <w:p w14:paraId="7243E9FD">
            <w:pPr>
              <w:snapToGrid w:val="0"/>
              <w:jc w:val="center"/>
              <w:rPr>
                <w:rFonts w:hint="eastAsia" w:ascii="宋体" w:hAnsi="宋体" w:eastAsia="宋体" w:cs="宋体"/>
                <w:b/>
                <w:color w:val="000000" w:themeColor="text1"/>
                <w:sz w:val="21"/>
                <w:szCs w:val="21"/>
                <w:lang w:val="en-US" w:eastAsia="zh-CN"/>
                <w14:textFill>
                  <w14:solidFill>
                    <w14:schemeClr w14:val="tx1"/>
                  </w14:solidFill>
                </w14:textFill>
              </w:rPr>
            </w:pPr>
            <w:r>
              <w:rPr>
                <w:rFonts w:hint="eastAsia" w:ascii="宋体" w:hAnsi="宋体" w:eastAsia="宋体" w:cs="宋体"/>
                <w:b/>
                <w:color w:val="000000" w:themeColor="text1"/>
                <w:sz w:val="21"/>
                <w:szCs w:val="21"/>
                <w:lang w:val="en-US" w:eastAsia="zh-CN"/>
                <w14:textFill>
                  <w14:solidFill>
                    <w14:schemeClr w14:val="tx1"/>
                  </w14:solidFill>
                </w14:textFill>
              </w:rPr>
              <w:t>4</w:t>
            </w:r>
          </w:p>
        </w:tc>
        <w:tc>
          <w:tcPr>
            <w:tcW w:w="3838" w:type="dxa"/>
            <w:vAlign w:val="center"/>
          </w:tcPr>
          <w:p w14:paraId="35B8CAE1">
            <w:pPr>
              <w:snapToGrid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排水明沟的铺砌方式，应根据所处地段的土质和流速等情况确定，应符合下列规定：（1）厂区明沟宜加铺砌；（2）对厂容、卫生和安全要求较高的地段，尚应铺设盖板；（3）矿山及厂区的边缘地段，可采用土明沟。</w:t>
            </w:r>
          </w:p>
        </w:tc>
        <w:tc>
          <w:tcPr>
            <w:tcW w:w="2160" w:type="dxa"/>
            <w:vAlign w:val="center"/>
          </w:tcPr>
          <w:p w14:paraId="6F494BEC">
            <w:pPr>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《工业企业总平面设计规范》（GB</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50187-</w:t>
            </w:r>
          </w:p>
          <w:p w14:paraId="45888448">
            <w:pPr>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2012）第7.4.5条</w:t>
            </w:r>
          </w:p>
        </w:tc>
        <w:tc>
          <w:tcPr>
            <w:tcW w:w="1320" w:type="dxa"/>
            <w:vAlign w:val="center"/>
          </w:tcPr>
          <w:p w14:paraId="64F7A395">
            <w:pPr>
              <w:snapToGrid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本项目的排水设施均按要求进行了布置。</w:t>
            </w:r>
          </w:p>
        </w:tc>
        <w:tc>
          <w:tcPr>
            <w:tcW w:w="676" w:type="dxa"/>
            <w:vAlign w:val="center"/>
          </w:tcPr>
          <w:p w14:paraId="403246D7">
            <w:pPr>
              <w:spacing w:line="34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017B3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blHeader/>
        </w:trPr>
        <w:tc>
          <w:tcPr>
            <w:tcW w:w="0" w:type="auto"/>
            <w:vAlign w:val="center"/>
          </w:tcPr>
          <w:p w14:paraId="1DD2846C">
            <w:pPr>
              <w:snapToGrid w:val="0"/>
              <w:jc w:val="center"/>
              <w:rPr>
                <w:rFonts w:hint="default" w:ascii="宋体" w:hAnsi="宋体" w:eastAsia="宋体" w:cs="宋体"/>
                <w:b/>
                <w:color w:val="000000" w:themeColor="text1"/>
                <w:sz w:val="21"/>
                <w:szCs w:val="21"/>
                <w:lang w:val="en-US" w:eastAsia="zh-CN"/>
                <w14:textFill>
                  <w14:solidFill>
                    <w14:schemeClr w14:val="tx1"/>
                  </w14:solidFill>
                </w14:textFill>
              </w:rPr>
            </w:pPr>
            <w:r>
              <w:rPr>
                <w:rFonts w:hint="eastAsia" w:ascii="宋体" w:hAnsi="宋体" w:eastAsia="宋体" w:cs="宋体"/>
                <w:b/>
                <w:color w:val="000000" w:themeColor="text1"/>
                <w:sz w:val="21"/>
                <w:szCs w:val="21"/>
                <w:lang w:val="en-US" w:eastAsia="zh-CN"/>
                <w14:textFill>
                  <w14:solidFill>
                    <w14:schemeClr w14:val="tx1"/>
                  </w14:solidFill>
                </w14:textFill>
              </w:rPr>
              <w:t>5</w:t>
            </w:r>
          </w:p>
        </w:tc>
        <w:tc>
          <w:tcPr>
            <w:tcW w:w="3838" w:type="dxa"/>
            <w:shd w:val="clear" w:color="auto" w:fill="auto"/>
            <w:vAlign w:val="center"/>
          </w:tcPr>
          <w:p w14:paraId="549452F8">
            <w:pPr>
              <w:widowControl/>
              <w:rPr>
                <w:rFonts w:hint="eastAsia" w:ascii="宋体" w:hAnsi="宋体" w:eastAsia="宋体" w:cs="宋体"/>
                <w:b/>
                <w:bCs/>
                <w:color w:val="000000"/>
                <w:sz w:val="21"/>
                <w:szCs w:val="21"/>
                <w:lang w:val="en-US" w:eastAsia="zh-CN" w:bidi="ar"/>
              </w:rPr>
            </w:pPr>
            <w:r>
              <w:rPr>
                <w:rFonts w:hint="eastAsia" w:hAnsi="宋体" w:cs="宋体"/>
                <w:color w:val="000000"/>
                <w:sz w:val="21"/>
                <w:szCs w:val="21"/>
                <w:lang w:bidi="ar"/>
              </w:rPr>
              <w:t>建筑给水系统的设计应满足生活用水对水质、水量、水压、安全供水，以及消防给水的要求。</w:t>
            </w:r>
          </w:p>
        </w:tc>
        <w:tc>
          <w:tcPr>
            <w:tcW w:w="2160" w:type="dxa"/>
            <w:shd w:val="clear" w:color="auto" w:fill="auto"/>
            <w:vAlign w:val="center"/>
          </w:tcPr>
          <w:p w14:paraId="07DFE3A3">
            <w:pPr>
              <w:widowControl/>
              <w:jc w:val="left"/>
              <w:rPr>
                <w:rFonts w:hint="eastAsia" w:ascii="宋体" w:hAnsi="宋体" w:eastAsia="宋体" w:cs="宋体"/>
                <w:b/>
                <w:bCs/>
                <w:color w:val="000000"/>
                <w:sz w:val="21"/>
                <w:szCs w:val="21"/>
                <w:lang w:val="en-US" w:eastAsia="zh-CN" w:bidi="ar"/>
              </w:rPr>
            </w:pPr>
            <w:r>
              <w:rPr>
                <w:rFonts w:hint="eastAsia" w:hAnsi="宋体" w:cs="宋体"/>
                <w:color w:val="000000"/>
                <w:sz w:val="21"/>
                <w:szCs w:val="21"/>
                <w:lang w:bidi="ar"/>
              </w:rPr>
              <w:t>《建筑给水排水设计标准》（GB50016-2019）第3.1.1条</w:t>
            </w:r>
          </w:p>
        </w:tc>
        <w:tc>
          <w:tcPr>
            <w:tcW w:w="1320" w:type="dxa"/>
            <w:shd w:val="clear" w:color="auto" w:fill="auto"/>
            <w:vAlign w:val="center"/>
          </w:tcPr>
          <w:p w14:paraId="634796EF">
            <w:pPr>
              <w:widowControl/>
              <w:rPr>
                <w:rFonts w:hint="eastAsia" w:ascii="宋体" w:hAnsi="宋体" w:eastAsia="宋体" w:cs="宋体"/>
                <w:b/>
                <w:bCs/>
                <w:color w:val="000000"/>
                <w:sz w:val="21"/>
                <w:szCs w:val="21"/>
                <w:lang w:val="en-US" w:eastAsia="zh-CN" w:bidi="ar"/>
              </w:rPr>
            </w:pPr>
            <w:r>
              <w:rPr>
                <w:rFonts w:hint="eastAsia" w:hAnsi="宋体" w:cs="宋体"/>
                <w:color w:val="000000"/>
                <w:sz w:val="21"/>
                <w:szCs w:val="21"/>
                <w:lang w:bidi="ar"/>
              </w:rPr>
              <w:t>本项目由市政管网供水，消防水由园区消防水管网供给，给水能满足生活用水对水质、水量、水压、安全供水，以及消防给水的要求。</w:t>
            </w:r>
          </w:p>
        </w:tc>
        <w:tc>
          <w:tcPr>
            <w:tcW w:w="676" w:type="dxa"/>
            <w:shd w:val="clear" w:color="auto" w:fill="auto"/>
            <w:vAlign w:val="center"/>
          </w:tcPr>
          <w:p w14:paraId="4FA7D3C8">
            <w:pPr>
              <w:widowControl/>
              <w:jc w:val="center"/>
              <w:rPr>
                <w:rFonts w:hint="eastAsia" w:ascii="宋体" w:hAnsi="宋体" w:eastAsia="宋体" w:cs="宋体"/>
                <w:b/>
                <w:bCs/>
                <w:color w:val="000000"/>
                <w:sz w:val="21"/>
                <w:szCs w:val="21"/>
                <w:lang w:val="en-US" w:eastAsia="zh-CN" w:bidi="ar"/>
              </w:rPr>
            </w:pPr>
            <w:r>
              <w:rPr>
                <w:rFonts w:hint="eastAsia" w:hAnsi="宋体" w:cs="宋体"/>
                <w:color w:val="000000"/>
                <w:sz w:val="21"/>
                <w:szCs w:val="21"/>
                <w:lang w:bidi="ar"/>
              </w:rPr>
              <w:t>符合</w:t>
            </w:r>
          </w:p>
        </w:tc>
      </w:tr>
    </w:tbl>
    <w:p w14:paraId="33CC2DE1">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815" w:name="_Toc1759"/>
      <w:bookmarkStart w:id="816" w:name="_Toc29394"/>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5.4.3 消防系统安全检查表</w:t>
      </w:r>
      <w:bookmarkEnd w:id="815"/>
      <w:bookmarkEnd w:id="816"/>
    </w:p>
    <w:p w14:paraId="786A8D66">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依据《中华人民共和国消防法》</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《建筑灭火器配置设计规范》（GB50140-2005）、</w:t>
      </w:r>
      <w:r>
        <w:rPr>
          <w:rFonts w:hint="eastAsia" w:hAnsi="宋体" w:cs="宋体"/>
          <w:color w:val="000000"/>
          <w:sz w:val="28"/>
          <w:szCs w:val="28"/>
          <w:lang w:bidi="ar"/>
        </w:rPr>
        <w:t>《消防设施通用规范》（GB55036-2022）</w:t>
      </w:r>
      <w:r>
        <w:rPr>
          <w:rFonts w:hint="eastAsia" w:ascii="宋体" w:hAnsi="宋体" w:eastAsia="宋体" w:cs="宋体"/>
          <w:color w:val="000000" w:themeColor="text1"/>
          <w:sz w:val="28"/>
          <w:szCs w:val="28"/>
          <w14:textFill>
            <w14:solidFill>
              <w14:schemeClr w14:val="tx1"/>
            </w14:solidFill>
          </w14:textFill>
        </w:rPr>
        <w:t>等相关法律法规、标准规范的要求，对该厂的消防进行安全检查。检查结果见下表。</w:t>
      </w:r>
    </w:p>
    <w:p w14:paraId="38A1E4A4">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宋体" w:hAnsi="宋体" w:eastAsia="宋体" w:cs="宋体"/>
          <w:b/>
          <w:bCs/>
          <w:color w:val="000000" w:themeColor="text1"/>
          <w14:textFill>
            <w14:solidFill>
              <w14:schemeClr w14:val="tx1"/>
            </w14:solidFill>
          </w14:textFill>
        </w:rPr>
      </w:pPr>
    </w:p>
    <w:p w14:paraId="60A6EBEA">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表5-</w:t>
      </w:r>
      <w:r>
        <w:rPr>
          <w:rFonts w:hint="eastAsia" w:ascii="宋体" w:hAnsi="宋体" w:eastAsia="宋体" w:cs="宋体"/>
          <w:b/>
          <w:bCs/>
          <w:color w:val="000000" w:themeColor="text1"/>
          <w:lang w:val="en-US" w:eastAsia="zh-CN"/>
          <w14:textFill>
            <w14:solidFill>
              <w14:schemeClr w14:val="tx1"/>
            </w14:solidFill>
          </w14:textFill>
        </w:rPr>
        <w:t>8</w:t>
      </w:r>
      <w:r>
        <w:rPr>
          <w:rFonts w:hint="eastAsia" w:ascii="宋体" w:hAnsi="宋体" w:eastAsia="宋体" w:cs="宋体"/>
          <w:b/>
          <w:bCs/>
          <w:color w:val="000000" w:themeColor="text1"/>
          <w14:textFill>
            <w14:solidFill>
              <w14:schemeClr w14:val="tx1"/>
            </w14:solidFill>
          </w14:textFill>
        </w:rPr>
        <w:t xml:space="preserve">  消防系统安全检查表</w:t>
      </w:r>
    </w:p>
    <w:tbl>
      <w:tblPr>
        <w:tblStyle w:val="24"/>
        <w:tblW w:w="47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3510"/>
        <w:gridCol w:w="2475"/>
        <w:gridCol w:w="1779"/>
        <w:gridCol w:w="652"/>
      </w:tblGrid>
      <w:tr w14:paraId="77239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71" w:type="pct"/>
            <w:tcBorders>
              <w:top w:val="single" w:color="auto" w:sz="4" w:space="0"/>
              <w:left w:val="single" w:color="auto" w:sz="4" w:space="0"/>
              <w:bottom w:val="single" w:color="auto" w:sz="4" w:space="0"/>
              <w:right w:val="single" w:color="auto" w:sz="4" w:space="0"/>
            </w:tcBorders>
            <w:vAlign w:val="center"/>
          </w:tcPr>
          <w:p w14:paraId="6F9C7727">
            <w:pPr>
              <w:snapToGrid w:val="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序号</w:t>
            </w:r>
          </w:p>
        </w:tc>
        <w:tc>
          <w:tcPr>
            <w:tcW w:w="1971" w:type="pct"/>
            <w:tcBorders>
              <w:top w:val="single" w:color="auto" w:sz="4" w:space="0"/>
              <w:left w:val="single" w:color="auto" w:sz="4" w:space="0"/>
              <w:bottom w:val="single" w:color="auto" w:sz="4" w:space="0"/>
              <w:right w:val="single" w:color="auto" w:sz="4" w:space="0"/>
            </w:tcBorders>
            <w:vAlign w:val="center"/>
          </w:tcPr>
          <w:p w14:paraId="283ECD30">
            <w:pPr>
              <w:snapToGrid w:val="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检查内容</w:t>
            </w:r>
          </w:p>
        </w:tc>
        <w:tc>
          <w:tcPr>
            <w:tcW w:w="1390" w:type="pct"/>
            <w:tcBorders>
              <w:top w:val="single" w:color="auto" w:sz="4" w:space="0"/>
              <w:left w:val="single" w:color="auto" w:sz="4" w:space="0"/>
              <w:bottom w:val="single" w:color="auto" w:sz="4" w:space="0"/>
              <w:right w:val="single" w:color="auto" w:sz="4" w:space="0"/>
            </w:tcBorders>
            <w:vAlign w:val="center"/>
          </w:tcPr>
          <w:p w14:paraId="2F8D7DC6">
            <w:pPr>
              <w:snapToGrid w:val="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依据标准</w:t>
            </w:r>
          </w:p>
        </w:tc>
        <w:tc>
          <w:tcPr>
            <w:tcW w:w="999" w:type="pct"/>
            <w:tcBorders>
              <w:top w:val="single" w:color="auto" w:sz="4" w:space="0"/>
              <w:left w:val="single" w:color="auto" w:sz="4" w:space="0"/>
              <w:bottom w:val="single" w:color="auto" w:sz="4" w:space="0"/>
              <w:right w:val="single" w:color="auto" w:sz="4" w:space="0"/>
            </w:tcBorders>
            <w:vAlign w:val="center"/>
          </w:tcPr>
          <w:p w14:paraId="2E9FB567">
            <w:pPr>
              <w:snapToGrid w:val="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检查情况</w:t>
            </w:r>
          </w:p>
        </w:tc>
        <w:tc>
          <w:tcPr>
            <w:tcW w:w="366" w:type="pct"/>
            <w:tcBorders>
              <w:top w:val="single" w:color="auto" w:sz="4" w:space="0"/>
              <w:left w:val="single" w:color="auto" w:sz="4" w:space="0"/>
              <w:bottom w:val="single" w:color="auto" w:sz="4" w:space="0"/>
              <w:right w:val="single" w:color="auto" w:sz="4" w:space="0"/>
            </w:tcBorders>
            <w:vAlign w:val="center"/>
          </w:tcPr>
          <w:p w14:paraId="6FB9C7E5">
            <w:pPr>
              <w:snapToGrid w:val="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结论</w:t>
            </w:r>
          </w:p>
        </w:tc>
      </w:tr>
      <w:tr w14:paraId="5BC92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tcBorders>
              <w:top w:val="single" w:color="auto" w:sz="4" w:space="0"/>
              <w:left w:val="single" w:color="auto" w:sz="4" w:space="0"/>
              <w:bottom w:val="single" w:color="auto" w:sz="4" w:space="0"/>
              <w:right w:val="single" w:color="auto" w:sz="4" w:space="0"/>
            </w:tcBorders>
            <w:vAlign w:val="center"/>
          </w:tcPr>
          <w:p w14:paraId="74B293FE">
            <w:pPr>
              <w:numPr>
                <w:ilvl w:val="0"/>
                <w:numId w:val="9"/>
              </w:numPr>
              <w:adjustRightInd w:val="0"/>
              <w:snapToGrid w:val="0"/>
              <w:spacing w:line="300" w:lineRule="exact"/>
              <w:ind w:left="420" w:leftChars="0" w:hanging="420" w:firstLineChars="0"/>
              <w:jc w:val="center"/>
              <w:rPr>
                <w:rFonts w:hint="eastAsia" w:ascii="宋体" w:hAnsi="宋体" w:eastAsia="宋体" w:cs="宋体"/>
                <w:color w:val="000000" w:themeColor="text1"/>
                <w:sz w:val="21"/>
                <w:szCs w:val="21"/>
                <w14:textFill>
                  <w14:solidFill>
                    <w14:schemeClr w14:val="tx1"/>
                  </w14:solidFill>
                </w14:textFill>
              </w:rPr>
            </w:pPr>
          </w:p>
        </w:tc>
        <w:tc>
          <w:tcPr>
            <w:tcW w:w="1971" w:type="pct"/>
            <w:tcBorders>
              <w:top w:val="single" w:color="auto" w:sz="4" w:space="0"/>
              <w:left w:val="single" w:color="auto" w:sz="4" w:space="0"/>
              <w:bottom w:val="single" w:color="auto" w:sz="4" w:space="0"/>
              <w:right w:val="single" w:color="auto" w:sz="4" w:space="0"/>
            </w:tcBorders>
            <w:vAlign w:val="center"/>
          </w:tcPr>
          <w:p w14:paraId="7DE01626">
            <w:pPr>
              <w:pStyle w:val="47"/>
              <w:snapToGrid w:val="0"/>
              <w:spacing w:before="0" w:after="0"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按照国家标准、行业标准配置消防设施、器材，设置消防安全标志，并定期组织检验、维修，确保完好有效。</w:t>
            </w:r>
          </w:p>
        </w:tc>
        <w:tc>
          <w:tcPr>
            <w:tcW w:w="1390" w:type="pct"/>
            <w:tcBorders>
              <w:top w:val="single" w:color="auto" w:sz="4" w:space="0"/>
              <w:left w:val="single" w:color="auto" w:sz="4" w:space="0"/>
              <w:bottom w:val="single" w:color="auto" w:sz="4" w:space="0"/>
              <w:right w:val="single" w:color="auto" w:sz="4" w:space="0"/>
            </w:tcBorders>
            <w:vAlign w:val="center"/>
          </w:tcPr>
          <w:p w14:paraId="6766315C">
            <w:pPr>
              <w:pStyle w:val="47"/>
              <w:snapToGrid w:val="0"/>
              <w:spacing w:before="0" w:after="0"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《中华人民共和国消防法》第十六条</w:t>
            </w:r>
          </w:p>
        </w:tc>
        <w:tc>
          <w:tcPr>
            <w:tcW w:w="999" w:type="pct"/>
            <w:tcBorders>
              <w:top w:val="single" w:color="auto" w:sz="4" w:space="0"/>
              <w:left w:val="single" w:color="auto" w:sz="4" w:space="0"/>
              <w:bottom w:val="single" w:color="auto" w:sz="4" w:space="0"/>
              <w:right w:val="single" w:color="auto" w:sz="4" w:space="0"/>
            </w:tcBorders>
            <w:vAlign w:val="center"/>
          </w:tcPr>
          <w:p w14:paraId="6482F2E9">
            <w:pPr>
              <w:pStyle w:val="47"/>
              <w:snapToGrid w:val="0"/>
              <w:spacing w:before="0" w:after="0"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该项目消防器材、设施等完好有效。</w:t>
            </w:r>
          </w:p>
        </w:tc>
        <w:tc>
          <w:tcPr>
            <w:tcW w:w="366" w:type="pct"/>
            <w:tcBorders>
              <w:top w:val="single" w:color="auto" w:sz="4" w:space="0"/>
              <w:left w:val="single" w:color="auto" w:sz="4" w:space="0"/>
              <w:bottom w:val="single" w:color="auto" w:sz="4" w:space="0"/>
              <w:right w:val="single" w:color="auto" w:sz="4" w:space="0"/>
            </w:tcBorders>
            <w:vAlign w:val="center"/>
          </w:tcPr>
          <w:p w14:paraId="5F76DB1C">
            <w:pPr>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5F2B4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tcBorders>
              <w:top w:val="single" w:color="auto" w:sz="4" w:space="0"/>
              <w:left w:val="single" w:color="auto" w:sz="4" w:space="0"/>
              <w:bottom w:val="single" w:color="auto" w:sz="4" w:space="0"/>
              <w:right w:val="single" w:color="auto" w:sz="4" w:space="0"/>
            </w:tcBorders>
            <w:vAlign w:val="center"/>
          </w:tcPr>
          <w:p w14:paraId="062A2DCC">
            <w:pPr>
              <w:numPr>
                <w:ilvl w:val="0"/>
                <w:numId w:val="9"/>
              </w:numPr>
              <w:adjustRightInd w:val="0"/>
              <w:snapToGrid w:val="0"/>
              <w:spacing w:line="300" w:lineRule="exact"/>
              <w:ind w:left="420" w:leftChars="0" w:hanging="420" w:firstLineChars="0"/>
              <w:jc w:val="center"/>
              <w:rPr>
                <w:rFonts w:hint="eastAsia" w:ascii="宋体" w:hAnsi="宋体" w:eastAsia="宋体" w:cs="宋体"/>
                <w:color w:val="000000" w:themeColor="text1"/>
                <w:sz w:val="21"/>
                <w:szCs w:val="21"/>
                <w14:textFill>
                  <w14:solidFill>
                    <w14:schemeClr w14:val="tx1"/>
                  </w14:solidFill>
                </w14:textFill>
              </w:rPr>
            </w:pPr>
          </w:p>
        </w:tc>
        <w:tc>
          <w:tcPr>
            <w:tcW w:w="1971" w:type="pct"/>
            <w:tcBorders>
              <w:top w:val="single" w:color="auto" w:sz="4" w:space="0"/>
              <w:left w:val="single" w:color="auto" w:sz="4" w:space="0"/>
              <w:bottom w:val="single" w:color="auto" w:sz="4" w:space="0"/>
              <w:right w:val="single" w:color="auto" w:sz="4" w:space="0"/>
            </w:tcBorders>
            <w:shd w:val="clear" w:color="auto" w:fill="auto"/>
            <w:vAlign w:val="center"/>
          </w:tcPr>
          <w:p w14:paraId="6B865882">
            <w:pPr>
              <w:widowControl/>
              <w:rPr>
                <w:rFonts w:hint="eastAsia" w:ascii="宋体" w:hAnsi="宋体" w:eastAsia="宋体" w:cs="宋体"/>
                <w:b/>
                <w:bCs/>
                <w:color w:val="000000"/>
                <w:sz w:val="21"/>
                <w:szCs w:val="21"/>
                <w:lang w:val="en-US" w:eastAsia="zh-CN" w:bidi="ar"/>
              </w:rPr>
            </w:pPr>
            <w:r>
              <w:rPr>
                <w:rFonts w:hint="eastAsia" w:hAnsi="宋体" w:cs="宋体"/>
                <w:color w:val="000000"/>
                <w:sz w:val="21"/>
                <w:szCs w:val="21"/>
                <w:lang w:bidi="ar"/>
              </w:rPr>
              <w:t>任何单位、个人不得损坏、挪用或者擅自拆除、停用消防设施、器材，不得埋压、圈占、遮挡消火栓或者占用防火间距，不得占用、堵塞、封闭疏散通道、安全出口、消防车通道。人员密集场所的门窗不得设置影响逃生和灭火救援的障碍物。</w:t>
            </w:r>
          </w:p>
        </w:tc>
        <w:tc>
          <w:tcPr>
            <w:tcW w:w="1390" w:type="pct"/>
            <w:tcBorders>
              <w:top w:val="single" w:color="auto" w:sz="4" w:space="0"/>
              <w:left w:val="single" w:color="auto" w:sz="4" w:space="0"/>
              <w:bottom w:val="single" w:color="auto" w:sz="4" w:space="0"/>
              <w:right w:val="single" w:color="auto" w:sz="4" w:space="0"/>
            </w:tcBorders>
            <w:shd w:val="clear" w:color="auto" w:fill="auto"/>
            <w:vAlign w:val="center"/>
          </w:tcPr>
          <w:p w14:paraId="1F23C4B7">
            <w:pPr>
              <w:widowControl/>
              <w:rPr>
                <w:rFonts w:hint="eastAsia" w:ascii="宋体" w:hAnsi="宋体" w:eastAsia="宋体" w:cs="宋体"/>
                <w:b/>
                <w:bCs/>
                <w:color w:val="000000"/>
                <w:sz w:val="21"/>
                <w:szCs w:val="21"/>
                <w:lang w:val="en-US" w:eastAsia="zh-CN" w:bidi="ar"/>
              </w:rPr>
            </w:pPr>
            <w:r>
              <w:rPr>
                <w:rFonts w:hint="eastAsia" w:hAnsi="宋体" w:cs="宋体"/>
                <w:color w:val="000000"/>
                <w:sz w:val="21"/>
                <w:szCs w:val="21"/>
                <w:lang w:bidi="ar"/>
              </w:rPr>
              <w:t>《中华人民共和国消防法》第二十八条</w:t>
            </w:r>
          </w:p>
        </w:tc>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5552CB08">
            <w:pPr>
              <w:widowControl/>
              <w:rPr>
                <w:rFonts w:hint="eastAsia" w:ascii="宋体" w:hAnsi="宋体" w:eastAsia="宋体" w:cs="宋体"/>
                <w:b/>
                <w:bCs/>
                <w:color w:val="000000"/>
                <w:sz w:val="21"/>
                <w:szCs w:val="21"/>
                <w:lang w:val="en-US" w:eastAsia="zh-CN" w:bidi="ar"/>
              </w:rPr>
            </w:pPr>
            <w:r>
              <w:rPr>
                <w:rFonts w:hint="eastAsia" w:hAnsi="宋体" w:cs="宋体"/>
                <w:sz w:val="21"/>
                <w:szCs w:val="21"/>
              </w:rPr>
              <w:t>安全出口正常。</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6D8D7883">
            <w:pPr>
              <w:widowControl/>
              <w:jc w:val="center"/>
              <w:rPr>
                <w:rFonts w:hint="eastAsia" w:ascii="宋体" w:hAnsi="宋体" w:eastAsia="宋体" w:cs="宋体"/>
                <w:b/>
                <w:bCs/>
                <w:color w:val="000000"/>
                <w:sz w:val="21"/>
                <w:szCs w:val="21"/>
                <w:lang w:val="en-US" w:eastAsia="zh-CN" w:bidi="ar"/>
              </w:rPr>
            </w:pPr>
            <w:r>
              <w:rPr>
                <w:rFonts w:hint="eastAsia" w:hAnsi="宋体" w:cs="宋体"/>
                <w:color w:val="000000"/>
                <w:sz w:val="21"/>
                <w:szCs w:val="21"/>
                <w:lang w:bidi="ar"/>
              </w:rPr>
              <w:t>符合</w:t>
            </w:r>
          </w:p>
        </w:tc>
      </w:tr>
      <w:tr w14:paraId="2716D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tcBorders>
              <w:top w:val="single" w:color="auto" w:sz="4" w:space="0"/>
              <w:left w:val="single" w:color="auto" w:sz="4" w:space="0"/>
              <w:bottom w:val="single" w:color="auto" w:sz="4" w:space="0"/>
              <w:right w:val="single" w:color="auto" w:sz="4" w:space="0"/>
            </w:tcBorders>
            <w:vAlign w:val="center"/>
          </w:tcPr>
          <w:p w14:paraId="6A3B2E0B">
            <w:pPr>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w:t>
            </w:r>
          </w:p>
        </w:tc>
        <w:tc>
          <w:tcPr>
            <w:tcW w:w="1971" w:type="pct"/>
            <w:tcBorders>
              <w:top w:val="single" w:color="auto" w:sz="4" w:space="0"/>
              <w:left w:val="single" w:color="auto" w:sz="4" w:space="0"/>
              <w:bottom w:val="single" w:color="auto" w:sz="4" w:space="0"/>
              <w:right w:val="single" w:color="auto" w:sz="4" w:space="0"/>
            </w:tcBorders>
            <w:vAlign w:val="center"/>
          </w:tcPr>
          <w:p w14:paraId="3C22C5AA">
            <w:pPr>
              <w:snapToGrid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灭火器应设置在位置明显和便于取用的地点，且不得影响安全疏散。</w:t>
            </w:r>
          </w:p>
        </w:tc>
        <w:tc>
          <w:tcPr>
            <w:tcW w:w="1390" w:type="pct"/>
            <w:tcBorders>
              <w:top w:val="single" w:color="auto" w:sz="4" w:space="0"/>
              <w:left w:val="single" w:color="auto" w:sz="4" w:space="0"/>
              <w:bottom w:val="single" w:color="auto" w:sz="4" w:space="0"/>
              <w:right w:val="single" w:color="auto" w:sz="4" w:space="0"/>
            </w:tcBorders>
            <w:vAlign w:val="center"/>
          </w:tcPr>
          <w:p w14:paraId="05803A27">
            <w:pPr>
              <w:snapToGrid w:val="0"/>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《建筑灭火器配置设计规范》（GB</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50140-2005）</w:t>
            </w:r>
            <w:r>
              <w:rPr>
                <w:rFonts w:hint="eastAsia" w:ascii="宋体" w:hAnsi="宋体" w:eastAsia="宋体" w:cs="宋体"/>
                <w:color w:val="000000" w:themeColor="text1"/>
                <w:sz w:val="21"/>
                <w:szCs w:val="21"/>
                <w:lang w:eastAsia="zh-CN"/>
                <w14:textFill>
                  <w14:solidFill>
                    <w14:schemeClr w14:val="tx1"/>
                  </w14:solidFill>
                </w14:textFill>
              </w:rPr>
              <w:t>第</w:t>
            </w:r>
            <w:r>
              <w:rPr>
                <w:rFonts w:hint="eastAsia" w:ascii="宋体" w:hAnsi="宋体" w:eastAsia="宋体" w:cs="宋体"/>
                <w:color w:val="000000" w:themeColor="text1"/>
                <w:sz w:val="21"/>
                <w:szCs w:val="21"/>
                <w14:textFill>
                  <w14:solidFill>
                    <w14:schemeClr w14:val="tx1"/>
                  </w14:solidFill>
                </w14:textFill>
              </w:rPr>
              <w:t>5.1.1</w:t>
            </w:r>
            <w:r>
              <w:rPr>
                <w:rFonts w:hint="eastAsia" w:ascii="宋体" w:hAnsi="宋体" w:eastAsia="宋体" w:cs="宋体"/>
                <w:color w:val="000000" w:themeColor="text1"/>
                <w:sz w:val="21"/>
                <w:szCs w:val="21"/>
                <w:lang w:eastAsia="zh-CN"/>
                <w14:textFill>
                  <w14:solidFill>
                    <w14:schemeClr w14:val="tx1"/>
                  </w14:solidFill>
                </w14:textFill>
              </w:rPr>
              <w:t>条</w:t>
            </w:r>
          </w:p>
        </w:tc>
        <w:tc>
          <w:tcPr>
            <w:tcW w:w="999" w:type="pct"/>
            <w:tcBorders>
              <w:top w:val="single" w:color="auto" w:sz="4" w:space="0"/>
              <w:left w:val="single" w:color="auto" w:sz="4" w:space="0"/>
              <w:bottom w:val="single" w:color="auto" w:sz="4" w:space="0"/>
              <w:right w:val="single" w:color="auto" w:sz="4" w:space="0"/>
            </w:tcBorders>
            <w:vAlign w:val="center"/>
          </w:tcPr>
          <w:p w14:paraId="776335F9">
            <w:pPr>
              <w:snapToGrid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该项目灭火器设置在明显和便于取用的地点，且不影响安全疏散。</w:t>
            </w:r>
          </w:p>
        </w:tc>
        <w:tc>
          <w:tcPr>
            <w:tcW w:w="366" w:type="pct"/>
            <w:tcBorders>
              <w:top w:val="single" w:color="auto" w:sz="4" w:space="0"/>
              <w:left w:val="single" w:color="auto" w:sz="4" w:space="0"/>
              <w:bottom w:val="single" w:color="auto" w:sz="4" w:space="0"/>
              <w:right w:val="single" w:color="auto" w:sz="4" w:space="0"/>
            </w:tcBorders>
            <w:vAlign w:val="center"/>
          </w:tcPr>
          <w:p w14:paraId="6F924C00">
            <w:pPr>
              <w:snapToGrid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20DC9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tcBorders>
              <w:top w:val="single" w:color="auto" w:sz="4" w:space="0"/>
              <w:left w:val="single" w:color="auto" w:sz="4" w:space="0"/>
              <w:bottom w:val="single" w:color="auto" w:sz="4" w:space="0"/>
              <w:right w:val="single" w:color="auto" w:sz="4" w:space="0"/>
            </w:tcBorders>
            <w:vAlign w:val="center"/>
          </w:tcPr>
          <w:p w14:paraId="6745C2E4">
            <w:pPr>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p>
        </w:tc>
        <w:tc>
          <w:tcPr>
            <w:tcW w:w="1971" w:type="pct"/>
            <w:tcBorders>
              <w:top w:val="single" w:color="auto" w:sz="4" w:space="0"/>
              <w:left w:val="single" w:color="auto" w:sz="4" w:space="0"/>
              <w:bottom w:val="single" w:color="auto" w:sz="4" w:space="0"/>
              <w:right w:val="single" w:color="auto" w:sz="4" w:space="0"/>
            </w:tcBorders>
            <w:shd w:val="clear" w:color="auto" w:fill="auto"/>
            <w:vAlign w:val="center"/>
          </w:tcPr>
          <w:p w14:paraId="470EC15D">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灭火器的摆放应稳固，其铭牌应朝外。手提式灭火器宜设置在灭火器箱内或挂钩、托架上，其顶部离地面高度不应大于1.50m；底部离地面高度不宜小于0.08m。灭火器箱不得上锁。</w:t>
            </w:r>
          </w:p>
        </w:tc>
        <w:tc>
          <w:tcPr>
            <w:tcW w:w="1390" w:type="pct"/>
            <w:tcBorders>
              <w:top w:val="single" w:color="auto" w:sz="4" w:space="0"/>
              <w:left w:val="single" w:color="auto" w:sz="4" w:space="0"/>
              <w:bottom w:val="single" w:color="auto" w:sz="4" w:space="0"/>
              <w:right w:val="single" w:color="auto" w:sz="4" w:space="0"/>
            </w:tcBorders>
            <w:shd w:val="clear" w:color="auto" w:fill="auto"/>
            <w:vAlign w:val="center"/>
          </w:tcPr>
          <w:p w14:paraId="394DC3CF">
            <w:pPr>
              <w:widowControl/>
              <w:jc w:val="left"/>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《建筑灭火器配置设计规范》（GB50140-2005）第5.1.3条</w:t>
            </w:r>
          </w:p>
        </w:tc>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60A293AA">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本项目配备的干粉灭火器均采用灭火器箱装。</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47AD3330">
            <w:pPr>
              <w:widowControl/>
              <w:jc w:val="center"/>
              <w:rPr>
                <w:rFonts w:hint="eastAsia" w:ascii="宋体" w:hAnsi="宋体" w:eastAsia="宋体" w:cs="宋体"/>
                <w:b/>
                <w:bCs/>
                <w:color w:val="000000"/>
                <w:sz w:val="21"/>
                <w:szCs w:val="21"/>
                <w:lang w:val="en-US" w:eastAsia="zh-CN" w:bidi="ar"/>
              </w:rPr>
            </w:pPr>
            <w:r>
              <w:rPr>
                <w:rFonts w:hint="eastAsia" w:hAnsi="宋体" w:cs="宋体"/>
                <w:color w:val="000000"/>
                <w:sz w:val="21"/>
                <w:szCs w:val="21"/>
                <w:lang w:bidi="ar"/>
              </w:rPr>
              <w:t>符合</w:t>
            </w:r>
          </w:p>
        </w:tc>
      </w:tr>
      <w:tr w14:paraId="273FB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tcBorders>
              <w:top w:val="single" w:color="auto" w:sz="4" w:space="0"/>
              <w:left w:val="single" w:color="auto" w:sz="4" w:space="0"/>
              <w:bottom w:val="single" w:color="auto" w:sz="4" w:space="0"/>
              <w:right w:val="single" w:color="auto" w:sz="4" w:space="0"/>
            </w:tcBorders>
            <w:vAlign w:val="center"/>
          </w:tcPr>
          <w:p w14:paraId="43796D99">
            <w:pPr>
              <w:snapToGrid w:val="0"/>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 5</w:t>
            </w:r>
          </w:p>
        </w:tc>
        <w:tc>
          <w:tcPr>
            <w:tcW w:w="1971" w:type="pct"/>
            <w:tcBorders>
              <w:top w:val="single" w:color="auto" w:sz="4" w:space="0"/>
              <w:left w:val="single" w:color="auto" w:sz="4" w:space="0"/>
              <w:bottom w:val="single" w:color="auto" w:sz="4" w:space="0"/>
              <w:right w:val="single" w:color="auto" w:sz="4" w:space="0"/>
            </w:tcBorders>
            <w:shd w:val="clear" w:color="auto" w:fill="auto"/>
            <w:vAlign w:val="center"/>
          </w:tcPr>
          <w:p w14:paraId="10CF616A">
            <w:pPr>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灭火器不宜设置在潮湿或强腐蚀性的地点。当必须设置时，应有相应的保护措施。</w:t>
            </w:r>
          </w:p>
        </w:tc>
        <w:tc>
          <w:tcPr>
            <w:tcW w:w="1390" w:type="pct"/>
            <w:tcBorders>
              <w:top w:val="single" w:color="auto" w:sz="4" w:space="0"/>
              <w:left w:val="single" w:color="auto" w:sz="4" w:space="0"/>
              <w:bottom w:val="single" w:color="auto" w:sz="4" w:space="0"/>
              <w:right w:val="single" w:color="auto" w:sz="4" w:space="0"/>
            </w:tcBorders>
            <w:shd w:val="clear" w:color="auto" w:fill="auto"/>
            <w:vAlign w:val="center"/>
          </w:tcPr>
          <w:p w14:paraId="5CFF5D29">
            <w:pPr>
              <w:snapToGrid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《建筑灭火器配置设计规范》（GB50140-2005）</w:t>
            </w:r>
          </w:p>
          <w:p w14:paraId="6B4E768E">
            <w:pPr>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第5.1.4条</w:t>
            </w:r>
          </w:p>
        </w:tc>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1766A65F">
            <w:pPr>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该项目灭火器基本未设置在潮湿或强腐蚀性的地点。</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5680A020">
            <w:pPr>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49F84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tcBorders>
              <w:top w:val="single" w:color="auto" w:sz="4" w:space="0"/>
              <w:left w:val="single" w:color="auto" w:sz="4" w:space="0"/>
              <w:bottom w:val="single" w:color="auto" w:sz="4" w:space="0"/>
              <w:right w:val="single" w:color="auto" w:sz="4" w:space="0"/>
            </w:tcBorders>
            <w:vAlign w:val="center"/>
          </w:tcPr>
          <w:p w14:paraId="7D46C61A">
            <w:pPr>
              <w:snapToGrid w:val="0"/>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p>
        </w:tc>
        <w:tc>
          <w:tcPr>
            <w:tcW w:w="1971" w:type="pct"/>
            <w:tcBorders>
              <w:top w:val="single" w:color="auto" w:sz="4" w:space="0"/>
              <w:left w:val="single" w:color="auto" w:sz="4" w:space="0"/>
              <w:bottom w:val="single" w:color="auto" w:sz="4" w:space="0"/>
              <w:right w:val="single" w:color="auto" w:sz="4" w:space="0"/>
            </w:tcBorders>
            <w:shd w:val="clear" w:color="auto" w:fill="auto"/>
            <w:vAlign w:val="center"/>
          </w:tcPr>
          <w:p w14:paraId="68DC4E6A">
            <w:pPr>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灭火器不得设置在超出其使用温度范围的地点。</w:t>
            </w:r>
          </w:p>
        </w:tc>
        <w:tc>
          <w:tcPr>
            <w:tcW w:w="1390" w:type="pct"/>
            <w:tcBorders>
              <w:top w:val="single" w:color="auto" w:sz="4" w:space="0"/>
              <w:left w:val="single" w:color="auto" w:sz="4" w:space="0"/>
              <w:bottom w:val="single" w:color="auto" w:sz="4" w:space="0"/>
              <w:right w:val="single" w:color="auto" w:sz="4" w:space="0"/>
            </w:tcBorders>
            <w:shd w:val="clear" w:color="auto" w:fill="auto"/>
            <w:vAlign w:val="center"/>
          </w:tcPr>
          <w:p w14:paraId="3FCD34E8">
            <w:pPr>
              <w:snapToGrid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《建筑灭火器配置设计规范》（GB50140-2005）</w:t>
            </w:r>
          </w:p>
          <w:p w14:paraId="04F16ED9">
            <w:pPr>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第5.1.5条</w:t>
            </w:r>
          </w:p>
        </w:tc>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39A3ADD9">
            <w:pPr>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该项目灭火器的使用温度均在允许范围内。</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272C9BB2">
            <w:pPr>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21F99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tcBorders>
              <w:top w:val="single" w:color="auto" w:sz="4" w:space="0"/>
              <w:left w:val="single" w:color="auto" w:sz="4" w:space="0"/>
              <w:bottom w:val="single" w:color="auto" w:sz="4" w:space="0"/>
              <w:right w:val="single" w:color="auto" w:sz="4" w:space="0"/>
            </w:tcBorders>
            <w:vAlign w:val="center"/>
          </w:tcPr>
          <w:p w14:paraId="28C3B2F7">
            <w:pPr>
              <w:snapToGrid w:val="0"/>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7</w:t>
            </w:r>
          </w:p>
        </w:tc>
        <w:tc>
          <w:tcPr>
            <w:tcW w:w="1971" w:type="pct"/>
            <w:tcBorders>
              <w:top w:val="single" w:color="auto" w:sz="4" w:space="0"/>
              <w:left w:val="single" w:color="auto" w:sz="4" w:space="0"/>
              <w:bottom w:val="single" w:color="auto" w:sz="4" w:space="0"/>
              <w:right w:val="single" w:color="auto" w:sz="4" w:space="0"/>
            </w:tcBorders>
            <w:shd w:val="clear" w:color="auto" w:fill="auto"/>
            <w:vAlign w:val="center"/>
          </w:tcPr>
          <w:p w14:paraId="287B8B0E">
            <w:pPr>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一个计算单元内配置的灭火器数量不得少于2具。</w:t>
            </w:r>
          </w:p>
        </w:tc>
        <w:tc>
          <w:tcPr>
            <w:tcW w:w="1390" w:type="pct"/>
            <w:tcBorders>
              <w:top w:val="single" w:color="auto" w:sz="4" w:space="0"/>
              <w:left w:val="single" w:color="auto" w:sz="4" w:space="0"/>
              <w:bottom w:val="single" w:color="auto" w:sz="4" w:space="0"/>
              <w:right w:val="single" w:color="auto" w:sz="4" w:space="0"/>
            </w:tcBorders>
            <w:shd w:val="clear" w:color="auto" w:fill="auto"/>
            <w:vAlign w:val="center"/>
          </w:tcPr>
          <w:p w14:paraId="5E3C04AB">
            <w:pPr>
              <w:snapToGrid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《建筑灭火器配置设计规范》（GB50140-2005）</w:t>
            </w:r>
          </w:p>
          <w:p w14:paraId="29CA51D0">
            <w:pPr>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第6.1.1条</w:t>
            </w:r>
          </w:p>
        </w:tc>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5F6311CF">
            <w:pPr>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该项目建构筑物内灭火器的配置数量符合规范要求。</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08804763">
            <w:pPr>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78905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tcBorders>
              <w:top w:val="single" w:color="auto" w:sz="4" w:space="0"/>
              <w:left w:val="single" w:color="auto" w:sz="4" w:space="0"/>
              <w:bottom w:val="single" w:color="auto" w:sz="4" w:space="0"/>
              <w:right w:val="single" w:color="auto" w:sz="4" w:space="0"/>
            </w:tcBorders>
            <w:vAlign w:val="center"/>
          </w:tcPr>
          <w:p w14:paraId="1D1DA982">
            <w:pPr>
              <w:snapToGrid w:val="0"/>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w:t>
            </w:r>
          </w:p>
        </w:tc>
        <w:tc>
          <w:tcPr>
            <w:tcW w:w="1971" w:type="pct"/>
            <w:tcBorders>
              <w:top w:val="single" w:color="auto" w:sz="4" w:space="0"/>
              <w:left w:val="single" w:color="auto" w:sz="4" w:space="0"/>
              <w:bottom w:val="single" w:color="auto" w:sz="4" w:space="0"/>
              <w:right w:val="single" w:color="auto" w:sz="4" w:space="0"/>
            </w:tcBorders>
            <w:shd w:val="clear" w:color="auto" w:fill="auto"/>
            <w:vAlign w:val="center"/>
          </w:tcPr>
          <w:p w14:paraId="4408A05F">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每个设置点的灭火器数量不宜多于5具。</w:t>
            </w:r>
          </w:p>
        </w:tc>
        <w:tc>
          <w:tcPr>
            <w:tcW w:w="1390" w:type="pct"/>
            <w:tcBorders>
              <w:top w:val="single" w:color="auto" w:sz="4" w:space="0"/>
              <w:left w:val="single" w:color="auto" w:sz="4" w:space="0"/>
              <w:bottom w:val="single" w:color="auto" w:sz="4" w:space="0"/>
              <w:right w:val="single" w:color="auto" w:sz="4" w:space="0"/>
            </w:tcBorders>
            <w:shd w:val="clear" w:color="auto" w:fill="auto"/>
            <w:vAlign w:val="center"/>
          </w:tcPr>
          <w:p w14:paraId="506D10F1">
            <w:pPr>
              <w:widowControl/>
              <w:jc w:val="left"/>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《建筑灭火器配置设计规范》（GB50140-2005）第6.1.2条</w:t>
            </w:r>
          </w:p>
        </w:tc>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2191BC3B">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企业一个配置点不少于2具灭火器，不多于5具。</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01377A9A">
            <w:pPr>
              <w:widowControl/>
              <w:jc w:val="center"/>
              <w:rPr>
                <w:rFonts w:hint="eastAsia" w:ascii="宋体" w:hAnsi="宋体" w:eastAsia="宋体" w:cs="宋体"/>
                <w:b/>
                <w:bCs/>
                <w:color w:val="000000"/>
                <w:sz w:val="21"/>
                <w:szCs w:val="21"/>
                <w:lang w:val="en-US" w:eastAsia="zh-CN" w:bidi="ar"/>
              </w:rPr>
            </w:pPr>
            <w:r>
              <w:rPr>
                <w:rFonts w:hint="eastAsia" w:hAnsi="宋体" w:cs="宋体"/>
                <w:color w:val="000000"/>
                <w:sz w:val="21"/>
                <w:szCs w:val="21"/>
                <w:lang w:bidi="ar"/>
              </w:rPr>
              <w:t>符合</w:t>
            </w:r>
          </w:p>
        </w:tc>
      </w:tr>
      <w:tr w14:paraId="770F8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tcBorders>
              <w:top w:val="single" w:color="auto" w:sz="4" w:space="0"/>
              <w:left w:val="single" w:color="auto" w:sz="4" w:space="0"/>
              <w:bottom w:val="single" w:color="auto" w:sz="4" w:space="0"/>
              <w:right w:val="single" w:color="auto" w:sz="4" w:space="0"/>
            </w:tcBorders>
            <w:vAlign w:val="center"/>
          </w:tcPr>
          <w:p w14:paraId="3AB4A6D5">
            <w:pPr>
              <w:snapToGrid w:val="0"/>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9</w:t>
            </w:r>
          </w:p>
        </w:tc>
        <w:tc>
          <w:tcPr>
            <w:tcW w:w="1971" w:type="pct"/>
            <w:tcBorders>
              <w:top w:val="single" w:color="auto" w:sz="4" w:space="0"/>
              <w:left w:val="single" w:color="auto" w:sz="4" w:space="0"/>
              <w:bottom w:val="single" w:color="auto" w:sz="4" w:space="0"/>
              <w:right w:val="single" w:color="auto" w:sz="4" w:space="0"/>
            </w:tcBorders>
            <w:shd w:val="clear" w:color="auto" w:fill="auto"/>
            <w:vAlign w:val="center"/>
          </w:tcPr>
          <w:p w14:paraId="7F97E53A">
            <w:pPr>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每个灭火器设置点实配灭火器的灭火级别和数量不得小于最小需配灭火级别和数量的计算值。</w:t>
            </w:r>
          </w:p>
        </w:tc>
        <w:tc>
          <w:tcPr>
            <w:tcW w:w="1390" w:type="pct"/>
            <w:tcBorders>
              <w:top w:val="single" w:color="auto" w:sz="4" w:space="0"/>
              <w:left w:val="single" w:color="auto" w:sz="4" w:space="0"/>
              <w:bottom w:val="single" w:color="auto" w:sz="4" w:space="0"/>
              <w:right w:val="single" w:color="auto" w:sz="4" w:space="0"/>
            </w:tcBorders>
            <w:shd w:val="clear" w:color="auto" w:fill="auto"/>
            <w:vAlign w:val="center"/>
          </w:tcPr>
          <w:p w14:paraId="65891626">
            <w:pPr>
              <w:snapToGrid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《建筑灭火器配置设计规范》（GB50140-2005）</w:t>
            </w:r>
          </w:p>
          <w:p w14:paraId="6DE8EB9D">
            <w:pPr>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第7.1.2条</w:t>
            </w:r>
          </w:p>
        </w:tc>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1DA67C66">
            <w:pPr>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该项目每个灭火器设置点实配灭火器的灭火级别和数量符合要求。</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582F2D16">
            <w:pPr>
              <w:snapToGrid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7C990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tcBorders>
              <w:top w:val="single" w:color="auto" w:sz="4" w:space="0"/>
              <w:left w:val="single" w:color="auto" w:sz="4" w:space="0"/>
              <w:bottom w:val="single" w:color="auto" w:sz="4" w:space="0"/>
              <w:right w:val="single" w:color="auto" w:sz="4" w:space="0"/>
            </w:tcBorders>
            <w:vAlign w:val="center"/>
          </w:tcPr>
          <w:p w14:paraId="7FA53A9F">
            <w:pPr>
              <w:snapToGrid w:val="0"/>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10</w:t>
            </w:r>
          </w:p>
        </w:tc>
        <w:tc>
          <w:tcPr>
            <w:tcW w:w="1971" w:type="pct"/>
            <w:tcBorders>
              <w:top w:val="single" w:color="auto" w:sz="4" w:space="0"/>
              <w:left w:val="single" w:color="auto" w:sz="4" w:space="0"/>
              <w:bottom w:val="single" w:color="auto" w:sz="4" w:space="0"/>
              <w:right w:val="single" w:color="auto" w:sz="4" w:space="0"/>
            </w:tcBorders>
            <w:shd w:val="clear" w:color="auto" w:fill="auto"/>
            <w:vAlign w:val="center"/>
          </w:tcPr>
          <w:p w14:paraId="0310F676">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消防设施投入使用后，应定期进行巡查、检查和维护，并应保证其处于正常运行或工作状态，不应擅自关停、拆改或移动。超过有效期的灭火介质、消防设施或经检验不符合继续使用要求的管道、组件和压力容器不应使用。</w:t>
            </w:r>
          </w:p>
        </w:tc>
        <w:tc>
          <w:tcPr>
            <w:tcW w:w="1390" w:type="pct"/>
            <w:tcBorders>
              <w:top w:val="single" w:color="auto" w:sz="4" w:space="0"/>
              <w:left w:val="single" w:color="auto" w:sz="4" w:space="0"/>
              <w:bottom w:val="single" w:color="auto" w:sz="4" w:space="0"/>
              <w:right w:val="single" w:color="auto" w:sz="4" w:space="0"/>
            </w:tcBorders>
            <w:shd w:val="clear" w:color="auto" w:fill="auto"/>
            <w:vAlign w:val="center"/>
          </w:tcPr>
          <w:p w14:paraId="692A6D7B">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《消防设施通用规范》（GB55036-2022）第2.0.9条</w:t>
            </w:r>
          </w:p>
        </w:tc>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3ABF8F50">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本项目消防设施主要为灭火器，企业定期进行了检查、维护。</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0ADFF3F7">
            <w:pPr>
              <w:widowControl/>
              <w:jc w:val="center"/>
              <w:rPr>
                <w:rFonts w:hint="eastAsia" w:ascii="宋体" w:hAnsi="宋体" w:eastAsia="宋体" w:cs="宋体"/>
                <w:b/>
                <w:bCs/>
                <w:color w:val="000000"/>
                <w:sz w:val="21"/>
                <w:szCs w:val="21"/>
                <w:lang w:val="en-US" w:eastAsia="zh-CN" w:bidi="ar"/>
              </w:rPr>
            </w:pPr>
            <w:r>
              <w:rPr>
                <w:rFonts w:hint="eastAsia" w:hAnsi="宋体" w:cs="宋体"/>
                <w:color w:val="000000"/>
                <w:sz w:val="21"/>
                <w:szCs w:val="21"/>
                <w:lang w:bidi="ar"/>
              </w:rPr>
              <w:t>符合</w:t>
            </w:r>
          </w:p>
        </w:tc>
      </w:tr>
      <w:tr w14:paraId="3B080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tcBorders>
              <w:top w:val="single" w:color="auto" w:sz="4" w:space="0"/>
              <w:left w:val="single" w:color="auto" w:sz="4" w:space="0"/>
              <w:bottom w:val="single" w:color="auto" w:sz="4" w:space="0"/>
              <w:right w:val="single" w:color="auto" w:sz="4" w:space="0"/>
            </w:tcBorders>
            <w:vAlign w:val="center"/>
          </w:tcPr>
          <w:p w14:paraId="321D7ACC">
            <w:pPr>
              <w:snapToGrid w:val="0"/>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11</w:t>
            </w:r>
          </w:p>
        </w:tc>
        <w:tc>
          <w:tcPr>
            <w:tcW w:w="1971" w:type="pct"/>
            <w:tcBorders>
              <w:top w:val="single" w:color="auto" w:sz="4" w:space="0"/>
              <w:left w:val="single" w:color="auto" w:sz="4" w:space="0"/>
              <w:bottom w:val="single" w:color="auto" w:sz="4" w:space="0"/>
              <w:right w:val="single" w:color="auto" w:sz="4" w:space="0"/>
            </w:tcBorders>
            <w:shd w:val="clear" w:color="auto" w:fill="auto"/>
            <w:vAlign w:val="center"/>
          </w:tcPr>
          <w:p w14:paraId="271CA826">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消防设施上或附近应设置区别于环境的明显标识，说明文字应准确、清楚且易于识别，颜色、符号或标志应规范。手动操作按钮等装置处应采取防止误操作或被损坏的防护措施。</w:t>
            </w:r>
          </w:p>
        </w:tc>
        <w:tc>
          <w:tcPr>
            <w:tcW w:w="1390" w:type="pct"/>
            <w:tcBorders>
              <w:top w:val="single" w:color="auto" w:sz="4" w:space="0"/>
              <w:left w:val="single" w:color="auto" w:sz="4" w:space="0"/>
              <w:bottom w:val="single" w:color="auto" w:sz="4" w:space="0"/>
              <w:right w:val="single" w:color="auto" w:sz="4" w:space="0"/>
            </w:tcBorders>
            <w:shd w:val="clear" w:color="auto" w:fill="auto"/>
            <w:vAlign w:val="center"/>
          </w:tcPr>
          <w:p w14:paraId="555D2E80">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《消防设施通用规范》（GB55036-2022）第2.0.10条</w:t>
            </w:r>
          </w:p>
        </w:tc>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1A7BFFD2">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本项目生产车间内消防栓箱、灭火器材等处均涂刷或粘贴了红色醒目的消防标识。</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2EB20E98">
            <w:pPr>
              <w:widowControl/>
              <w:jc w:val="center"/>
              <w:rPr>
                <w:rFonts w:hint="eastAsia" w:ascii="宋体" w:hAnsi="宋体" w:eastAsia="宋体" w:cs="宋体"/>
                <w:b/>
                <w:bCs/>
                <w:color w:val="000000"/>
                <w:sz w:val="21"/>
                <w:szCs w:val="21"/>
                <w:lang w:val="en-US" w:eastAsia="zh-CN" w:bidi="ar"/>
              </w:rPr>
            </w:pPr>
            <w:r>
              <w:rPr>
                <w:rFonts w:hint="eastAsia" w:hAnsi="宋体" w:cs="宋体"/>
                <w:color w:val="000000"/>
                <w:sz w:val="21"/>
                <w:szCs w:val="21"/>
                <w:lang w:bidi="ar"/>
              </w:rPr>
              <w:t>符合</w:t>
            </w:r>
          </w:p>
        </w:tc>
      </w:tr>
      <w:tr w14:paraId="429D8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tcBorders>
              <w:top w:val="single" w:color="auto" w:sz="4" w:space="0"/>
              <w:left w:val="single" w:color="auto" w:sz="4" w:space="0"/>
              <w:bottom w:val="single" w:color="auto" w:sz="4" w:space="0"/>
              <w:right w:val="single" w:color="auto" w:sz="4" w:space="0"/>
            </w:tcBorders>
            <w:vAlign w:val="center"/>
          </w:tcPr>
          <w:p w14:paraId="6B83DF30">
            <w:pPr>
              <w:snapToGrid w:val="0"/>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12</w:t>
            </w:r>
          </w:p>
        </w:tc>
        <w:tc>
          <w:tcPr>
            <w:tcW w:w="1971" w:type="pct"/>
            <w:tcBorders>
              <w:top w:val="single" w:color="auto" w:sz="4" w:space="0"/>
              <w:left w:val="single" w:color="auto" w:sz="4" w:space="0"/>
              <w:bottom w:val="single" w:color="auto" w:sz="4" w:space="0"/>
              <w:right w:val="single" w:color="auto" w:sz="4" w:space="0"/>
            </w:tcBorders>
            <w:shd w:val="clear" w:color="auto" w:fill="auto"/>
            <w:vAlign w:val="center"/>
          </w:tcPr>
          <w:p w14:paraId="1C7540A5">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灭火器应设置在位置明显和便于取用的地点，且不应影响人员安全疏散。当确需设置在有视线障碍的设置点时，应设置指示灭火器位置的醒目标志。灭火器应设置在位置明显和便于取用的地点，且不应影响人员安全疏散。当确需设置在有视线障碍的设置点时，应设置指示灭火器位置的醒目标志。</w:t>
            </w:r>
          </w:p>
        </w:tc>
        <w:tc>
          <w:tcPr>
            <w:tcW w:w="1390" w:type="pct"/>
            <w:tcBorders>
              <w:top w:val="single" w:color="auto" w:sz="4" w:space="0"/>
              <w:left w:val="single" w:color="auto" w:sz="4" w:space="0"/>
              <w:bottom w:val="single" w:color="auto" w:sz="4" w:space="0"/>
              <w:right w:val="single" w:color="auto" w:sz="4" w:space="0"/>
            </w:tcBorders>
            <w:shd w:val="clear" w:color="auto" w:fill="auto"/>
            <w:vAlign w:val="center"/>
          </w:tcPr>
          <w:p w14:paraId="5B848A46">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《消防设施通用规范》（GB55036-2022）第10.0.4条</w:t>
            </w:r>
          </w:p>
        </w:tc>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5B4087A1">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灭火器设置在明显和便于取用的地点，且未影响安全疏散。</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3F14D077">
            <w:pPr>
              <w:widowControl/>
              <w:jc w:val="center"/>
              <w:rPr>
                <w:rFonts w:hint="eastAsia" w:ascii="宋体" w:hAnsi="宋体" w:eastAsia="宋体" w:cs="宋体"/>
                <w:b/>
                <w:bCs/>
                <w:color w:val="000000"/>
                <w:sz w:val="21"/>
                <w:szCs w:val="21"/>
                <w:lang w:val="en-US" w:eastAsia="zh-CN" w:bidi="ar"/>
              </w:rPr>
            </w:pPr>
            <w:r>
              <w:rPr>
                <w:rFonts w:hint="eastAsia" w:hAnsi="宋体" w:cs="宋体"/>
                <w:color w:val="000000"/>
                <w:sz w:val="21"/>
                <w:szCs w:val="21"/>
                <w:lang w:bidi="ar"/>
              </w:rPr>
              <w:t>符合</w:t>
            </w:r>
          </w:p>
        </w:tc>
      </w:tr>
      <w:tr w14:paraId="653A6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tcBorders>
              <w:top w:val="single" w:color="auto" w:sz="4" w:space="0"/>
              <w:left w:val="single" w:color="auto" w:sz="4" w:space="0"/>
              <w:bottom w:val="single" w:color="auto" w:sz="4" w:space="0"/>
              <w:right w:val="single" w:color="auto" w:sz="4" w:space="0"/>
            </w:tcBorders>
            <w:vAlign w:val="center"/>
          </w:tcPr>
          <w:p w14:paraId="0843EAD8">
            <w:pPr>
              <w:snapToGrid w:val="0"/>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13</w:t>
            </w:r>
          </w:p>
        </w:tc>
        <w:tc>
          <w:tcPr>
            <w:tcW w:w="1971" w:type="pct"/>
            <w:tcBorders>
              <w:top w:val="single" w:color="auto" w:sz="4" w:space="0"/>
              <w:left w:val="single" w:color="auto" w:sz="4" w:space="0"/>
              <w:bottom w:val="single" w:color="auto" w:sz="4" w:space="0"/>
              <w:right w:val="single" w:color="auto" w:sz="4" w:space="0"/>
            </w:tcBorders>
            <w:shd w:val="clear" w:color="auto" w:fill="auto"/>
            <w:vAlign w:val="center"/>
          </w:tcPr>
          <w:p w14:paraId="66B64560">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灭火器不应设置在可能超出其使用温度范围的场所，并应采取与设置场所环境条件相适应的防护措施。</w:t>
            </w:r>
          </w:p>
        </w:tc>
        <w:tc>
          <w:tcPr>
            <w:tcW w:w="1390" w:type="pct"/>
            <w:tcBorders>
              <w:top w:val="single" w:color="auto" w:sz="4" w:space="0"/>
              <w:left w:val="single" w:color="auto" w:sz="4" w:space="0"/>
              <w:bottom w:val="single" w:color="auto" w:sz="4" w:space="0"/>
              <w:right w:val="single" w:color="auto" w:sz="4" w:space="0"/>
            </w:tcBorders>
            <w:shd w:val="clear" w:color="auto" w:fill="auto"/>
            <w:vAlign w:val="center"/>
          </w:tcPr>
          <w:p w14:paraId="79E52979">
            <w:pPr>
              <w:widowControl/>
              <w:jc w:val="left"/>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《消防设施通用规范》（GB55036-2022）第10.0.5条</w:t>
            </w:r>
          </w:p>
        </w:tc>
        <w:tc>
          <w:tcPr>
            <w:tcW w:w="999" w:type="pct"/>
            <w:tcBorders>
              <w:top w:val="single" w:color="auto" w:sz="4" w:space="0"/>
              <w:left w:val="single" w:color="auto" w:sz="4" w:space="0"/>
              <w:bottom w:val="single" w:color="auto" w:sz="4" w:space="0"/>
              <w:right w:val="single" w:color="auto" w:sz="4" w:space="0"/>
            </w:tcBorders>
            <w:shd w:val="clear" w:color="auto" w:fill="auto"/>
            <w:vAlign w:val="center"/>
          </w:tcPr>
          <w:p w14:paraId="4BC3402C">
            <w:pPr>
              <w:widowControl/>
              <w:rPr>
                <w:rFonts w:hint="eastAsia" w:ascii="宋体" w:hAnsi="宋体" w:eastAsia="宋体" w:cs="宋体"/>
                <w:color w:val="000000"/>
                <w:sz w:val="21"/>
                <w:szCs w:val="21"/>
                <w:lang w:val="en-US" w:eastAsia="zh-CN" w:bidi="ar"/>
              </w:rPr>
            </w:pPr>
            <w:r>
              <w:rPr>
                <w:rFonts w:hint="eastAsia" w:hAnsi="宋体" w:cs="宋体"/>
                <w:color w:val="000000"/>
                <w:sz w:val="21"/>
                <w:szCs w:val="21"/>
                <w:lang w:bidi="ar"/>
              </w:rPr>
              <w:t>企业灭火器未设置在超出其使用温度范围的地点。</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510E938E">
            <w:pPr>
              <w:widowControl/>
              <w:jc w:val="center"/>
              <w:rPr>
                <w:rFonts w:hint="eastAsia" w:ascii="宋体" w:hAnsi="宋体" w:eastAsia="宋体" w:cs="宋体"/>
                <w:b/>
                <w:bCs/>
                <w:color w:val="000000"/>
                <w:sz w:val="21"/>
                <w:szCs w:val="21"/>
                <w:lang w:val="en-US" w:eastAsia="zh-CN" w:bidi="ar"/>
              </w:rPr>
            </w:pPr>
            <w:r>
              <w:rPr>
                <w:rFonts w:hint="eastAsia" w:hAnsi="宋体" w:cs="宋体"/>
                <w:color w:val="000000"/>
                <w:sz w:val="21"/>
                <w:szCs w:val="21"/>
                <w:lang w:bidi="ar"/>
              </w:rPr>
              <w:t>符合</w:t>
            </w:r>
          </w:p>
        </w:tc>
      </w:tr>
    </w:tbl>
    <w:p w14:paraId="068B41EF">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817" w:name="_Toc24818"/>
      <w:bookmarkStart w:id="818" w:name="_Toc9207"/>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5.4.4 单元小结</w:t>
      </w:r>
      <w:bookmarkEnd w:id="817"/>
      <w:bookmarkEnd w:id="818"/>
    </w:p>
    <w:p w14:paraId="0FAA7F2C">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安全检查表分析评价结果：该项目的供配电系统基本按照《低压配电设计规范》（GB50054-2011）及《用电安全导则》（GB/T13869-2017）等标准规范的规定等国家相关的标准规范要求；结合公司现场实际情况，该公司的电气设备具备安全生产的条件；</w:t>
      </w:r>
    </w:p>
    <w:p w14:paraId="1ADD7EDF">
      <w:pPr>
        <w:pStyle w:val="10"/>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安全检查表分析评价结果：该项目的给排水符合《工业企业总平面设计规范》（GB50187-2012）要求；</w:t>
      </w:r>
    </w:p>
    <w:p w14:paraId="63B515E4">
      <w:pPr>
        <w:adjustRightInd w:val="0"/>
        <w:snapToGrid w:val="0"/>
        <w:spacing w:line="500" w:lineRule="exact"/>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安全检查表分析评价结果：该项目的消防设施建设基本符合《中华人民共和国消防法》、《建筑灭火器配置设计规范》（GB50140-2005）等相关法律法规、标准规范的要求</w:t>
      </w:r>
      <w:r>
        <w:rPr>
          <w:rFonts w:hint="eastAsia" w:ascii="宋体" w:hAnsi="宋体" w:eastAsia="宋体" w:cs="宋体"/>
          <w:color w:val="000000" w:themeColor="text1"/>
          <w:sz w:val="28"/>
          <w:szCs w:val="28"/>
          <w:lang w:eastAsia="zh-CN"/>
          <w14:textFill>
            <w14:solidFill>
              <w14:schemeClr w14:val="tx1"/>
            </w14:solidFill>
          </w14:textFill>
        </w:rPr>
        <w:t>。</w:t>
      </w:r>
    </w:p>
    <w:p w14:paraId="45BF4E3B">
      <w:pPr>
        <w:pStyle w:val="3"/>
        <w:keepNext/>
        <w:keepLines/>
        <w:pageBreakBefore w:val="0"/>
        <w:widowControl w:val="0"/>
        <w:kinsoku/>
        <w:wordWrap/>
        <w:overflowPunct/>
        <w:topLinePunct w:val="0"/>
        <w:autoSpaceDE/>
        <w:autoSpaceDN/>
        <w:bidi w:val="0"/>
        <w:adjustRightInd/>
        <w:snapToGrid w:val="0"/>
        <w:spacing w:before="0" w:after="0" w:line="520" w:lineRule="exact"/>
        <w:jc w:val="both"/>
        <w:textAlignment w:val="auto"/>
        <w:rPr>
          <w:rFonts w:hint="eastAsia" w:ascii="宋体" w:hAnsi="宋体" w:eastAsia="宋体" w:cs="宋体"/>
          <w:color w:val="000000" w:themeColor="text1"/>
          <w:kern w:val="0"/>
          <w14:textFill>
            <w14:solidFill>
              <w14:schemeClr w14:val="tx1"/>
            </w14:solidFill>
          </w14:textFill>
        </w:rPr>
      </w:pPr>
      <w:bookmarkStart w:id="819" w:name="_Hlt145775763"/>
      <w:bookmarkEnd w:id="819"/>
      <w:bookmarkStart w:id="820" w:name="_Toc145775755"/>
      <w:bookmarkStart w:id="821" w:name="_Toc133428988"/>
      <w:bookmarkStart w:id="822" w:name="_Toc313453623"/>
      <w:bookmarkStart w:id="823" w:name="_Toc21301"/>
      <w:bookmarkStart w:id="824" w:name="_Toc27135"/>
      <w:bookmarkStart w:id="825" w:name="_Toc19957"/>
      <w:bookmarkStart w:id="826" w:name="_Toc11562"/>
      <w:bookmarkStart w:id="827" w:name="_Toc28491"/>
      <w:bookmarkStart w:id="828" w:name="_Toc335926312"/>
      <w:bookmarkStart w:id="829" w:name="_Toc25067"/>
      <w:bookmarkStart w:id="830" w:name="_Toc2634"/>
      <w:r>
        <w:rPr>
          <w:rFonts w:hint="eastAsia" w:ascii="宋体" w:hAnsi="宋体" w:eastAsia="宋体" w:cs="宋体"/>
          <w:color w:val="000000" w:themeColor="text1"/>
          <w:kern w:val="0"/>
          <w14:textFill>
            <w14:solidFill>
              <w14:schemeClr w14:val="tx1"/>
            </w14:solidFill>
          </w14:textFill>
        </w:rPr>
        <w:t>5.5</w:t>
      </w:r>
      <w:r>
        <w:rPr>
          <w:rFonts w:hint="eastAsia" w:ascii="宋体" w:hAnsi="宋体" w:eastAsia="宋体" w:cs="宋体"/>
          <w:color w:val="000000" w:themeColor="text1"/>
          <w:kern w:val="0"/>
          <w:lang w:val="en-US" w:eastAsia="zh-CN"/>
          <w14:textFill>
            <w14:solidFill>
              <w14:schemeClr w14:val="tx1"/>
            </w14:solidFill>
          </w14:textFill>
        </w:rPr>
        <w:t xml:space="preserve"> </w:t>
      </w:r>
      <w:r>
        <w:rPr>
          <w:rFonts w:hint="eastAsia" w:ascii="宋体" w:hAnsi="宋体" w:eastAsia="宋体" w:cs="宋体"/>
          <w:color w:val="000000" w:themeColor="text1"/>
          <w:kern w:val="0"/>
          <w14:textFill>
            <w14:solidFill>
              <w14:schemeClr w14:val="tx1"/>
            </w14:solidFill>
          </w14:textFill>
        </w:rPr>
        <w:t>安全生产管理评价</w:t>
      </w:r>
      <w:bookmarkEnd w:id="820"/>
      <w:bookmarkEnd w:id="821"/>
      <w:r>
        <w:rPr>
          <w:rFonts w:hint="eastAsia" w:ascii="宋体" w:hAnsi="宋体" w:eastAsia="宋体" w:cs="宋体"/>
          <w:color w:val="000000" w:themeColor="text1"/>
          <w:kern w:val="0"/>
          <w14:textFill>
            <w14:solidFill>
              <w14:schemeClr w14:val="tx1"/>
            </w14:solidFill>
          </w14:textFill>
        </w:rPr>
        <w:t>单元</w:t>
      </w:r>
      <w:bookmarkEnd w:id="822"/>
      <w:bookmarkEnd w:id="823"/>
      <w:bookmarkEnd w:id="824"/>
      <w:bookmarkEnd w:id="825"/>
      <w:bookmarkEnd w:id="826"/>
      <w:bookmarkEnd w:id="827"/>
      <w:bookmarkEnd w:id="828"/>
      <w:bookmarkEnd w:id="829"/>
      <w:bookmarkEnd w:id="830"/>
    </w:p>
    <w:p w14:paraId="4C7626D9">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831" w:name="_Toc403746183"/>
      <w:bookmarkStart w:id="832" w:name="_Toc365119548"/>
      <w:bookmarkStart w:id="833" w:name="_Toc61474481"/>
      <w:bookmarkStart w:id="834" w:name="_Toc8165"/>
      <w:bookmarkStart w:id="835" w:name="_Toc5340"/>
      <w:bookmarkStart w:id="836" w:name="_Toc23196"/>
      <w:bookmarkStart w:id="837" w:name="_Toc4740"/>
      <w:bookmarkStart w:id="838" w:name="_Toc30001458"/>
      <w:bookmarkStart w:id="839" w:name="_Toc21137"/>
      <w:bookmarkStart w:id="840" w:name="_Toc20765"/>
      <w:bookmarkStart w:id="841" w:name="_Toc25208"/>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5.5.1安全管理</w:t>
      </w:r>
      <w:bookmarkEnd w:id="831"/>
      <w:bookmarkEnd w:id="832"/>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检查表</w:t>
      </w:r>
      <w:bookmarkEnd w:id="833"/>
      <w:bookmarkEnd w:id="834"/>
      <w:bookmarkEnd w:id="835"/>
      <w:bookmarkEnd w:id="836"/>
      <w:bookmarkEnd w:id="837"/>
      <w:bookmarkEnd w:id="838"/>
      <w:bookmarkEnd w:id="839"/>
      <w:bookmarkEnd w:id="840"/>
      <w:bookmarkEnd w:id="841"/>
    </w:p>
    <w:p w14:paraId="7C28EBF3">
      <w:pPr>
        <w:pStyle w:val="42"/>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napToGrid w:val="0"/>
          <w:color w:val="000000" w:themeColor="text1"/>
          <w14:textFill>
            <w14:solidFill>
              <w14:schemeClr w14:val="tx1"/>
            </w14:solidFill>
          </w14:textFill>
        </w:rPr>
      </w:pPr>
      <w:r>
        <w:rPr>
          <w:rFonts w:hint="eastAsia" w:ascii="宋体" w:hAnsi="宋体" w:eastAsia="宋体" w:cs="宋体"/>
          <w:snapToGrid w:val="0"/>
          <w:color w:val="000000" w:themeColor="text1"/>
          <w14:textFill>
            <w14:solidFill>
              <w14:schemeClr w14:val="tx1"/>
            </w14:solidFill>
          </w14:textFill>
        </w:rPr>
        <w:t>本节依据《中华人民共和国安全生产法》的相关要求，编制安全检查表对企业安全生产管理状况进行检查，检查结果见下表。</w:t>
      </w:r>
    </w:p>
    <w:p w14:paraId="2F63043D">
      <w:pPr>
        <w:pStyle w:val="42"/>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napToGrid w:val="0"/>
          <w:color w:val="000000" w:themeColor="text1"/>
          <w14:textFill>
            <w14:solidFill>
              <w14:schemeClr w14:val="tx1"/>
            </w14:solidFill>
          </w14:textFill>
        </w:rPr>
      </w:pPr>
    </w:p>
    <w:p w14:paraId="6F4B53D9">
      <w:pPr>
        <w:tabs>
          <w:tab w:val="left" w:pos="851"/>
        </w:tabs>
        <w:adjustRightInd w:val="0"/>
        <w:snapToGrid w:val="0"/>
        <w:spacing w:line="240" w:lineRule="exact"/>
        <w:jc w:val="center"/>
        <w:rPr>
          <w:rFonts w:hint="eastAsia" w:ascii="宋体" w:hAnsi="宋体" w:eastAsia="宋体" w:cs="宋体"/>
          <w:b/>
          <w:bCs/>
          <w:color w:val="000000" w:themeColor="text1"/>
          <w:szCs w:val="21"/>
          <w14:textFill>
            <w14:solidFill>
              <w14:schemeClr w14:val="tx1"/>
            </w14:solidFill>
          </w14:textFill>
        </w:rPr>
      </w:pPr>
    </w:p>
    <w:p w14:paraId="1E4112A2">
      <w:pPr>
        <w:tabs>
          <w:tab w:val="left" w:pos="851"/>
        </w:tabs>
        <w:adjustRightInd w:val="0"/>
        <w:snapToGrid w:val="0"/>
        <w:spacing w:line="240" w:lineRule="exact"/>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表5-</w:t>
      </w:r>
      <w:r>
        <w:rPr>
          <w:rFonts w:hint="eastAsia" w:ascii="宋体" w:hAnsi="宋体" w:eastAsia="宋体" w:cs="宋体"/>
          <w:b/>
          <w:bCs/>
          <w:color w:val="000000" w:themeColor="text1"/>
          <w:szCs w:val="21"/>
          <w:lang w:val="en-US" w:eastAsia="zh-CN"/>
          <w14:textFill>
            <w14:solidFill>
              <w14:schemeClr w14:val="tx1"/>
            </w14:solidFill>
          </w14:textFill>
        </w:rPr>
        <w:t>9</w:t>
      </w:r>
      <w:r>
        <w:rPr>
          <w:rFonts w:hint="eastAsia" w:ascii="宋体" w:hAnsi="宋体" w:eastAsia="宋体" w:cs="宋体"/>
          <w:b/>
          <w:bCs/>
          <w:color w:val="000000" w:themeColor="text1"/>
          <w:szCs w:val="21"/>
          <w14:textFill>
            <w14:solidFill>
              <w14:schemeClr w14:val="tx1"/>
            </w14:solidFill>
          </w14:textFill>
        </w:rPr>
        <w:t>安全生产管理检查表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3522"/>
        <w:gridCol w:w="1812"/>
        <w:gridCol w:w="2406"/>
        <w:gridCol w:w="907"/>
      </w:tblGrid>
      <w:tr w14:paraId="68A6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4" w:type="dxa"/>
            <w:vAlign w:val="center"/>
          </w:tcPr>
          <w:p w14:paraId="51E568F8">
            <w:pPr>
              <w:widowControl/>
              <w:jc w:val="center"/>
              <w:rPr>
                <w:rFonts w:hint="eastAsia" w:hAnsi="宋体" w:cs="宋体"/>
                <w:b/>
                <w:bCs/>
                <w:color w:val="000000"/>
                <w:sz w:val="21"/>
                <w:szCs w:val="21"/>
                <w:lang w:bidi="ar"/>
              </w:rPr>
            </w:pPr>
            <w:r>
              <w:rPr>
                <w:rFonts w:hint="eastAsia" w:hAnsi="宋体" w:cs="宋体"/>
                <w:b/>
                <w:bCs/>
                <w:color w:val="000000"/>
                <w:sz w:val="21"/>
                <w:szCs w:val="21"/>
                <w:lang w:bidi="ar"/>
              </w:rPr>
              <w:t>序号</w:t>
            </w:r>
          </w:p>
        </w:tc>
        <w:tc>
          <w:tcPr>
            <w:tcW w:w="3522" w:type="dxa"/>
            <w:vAlign w:val="center"/>
          </w:tcPr>
          <w:p w14:paraId="6372A783">
            <w:pPr>
              <w:widowControl/>
              <w:jc w:val="center"/>
              <w:rPr>
                <w:rFonts w:hint="eastAsia" w:hAnsi="宋体" w:cs="宋体"/>
                <w:b/>
                <w:bCs/>
                <w:color w:val="000000"/>
                <w:sz w:val="21"/>
                <w:szCs w:val="21"/>
                <w:lang w:bidi="ar"/>
              </w:rPr>
            </w:pPr>
            <w:r>
              <w:rPr>
                <w:rFonts w:hint="eastAsia" w:hAnsi="宋体" w:cs="宋体"/>
                <w:b/>
                <w:bCs/>
                <w:color w:val="000000"/>
                <w:sz w:val="21"/>
                <w:szCs w:val="21"/>
                <w:lang w:bidi="ar"/>
              </w:rPr>
              <w:t>检查内容</w:t>
            </w:r>
          </w:p>
        </w:tc>
        <w:tc>
          <w:tcPr>
            <w:tcW w:w="1812" w:type="dxa"/>
            <w:vAlign w:val="center"/>
          </w:tcPr>
          <w:p w14:paraId="79ECB2A0">
            <w:pPr>
              <w:widowControl/>
              <w:jc w:val="center"/>
              <w:rPr>
                <w:rFonts w:hint="eastAsia" w:hAnsi="宋体" w:cs="宋体"/>
                <w:b/>
                <w:bCs/>
                <w:color w:val="000000"/>
                <w:sz w:val="21"/>
                <w:szCs w:val="21"/>
                <w:lang w:bidi="ar"/>
              </w:rPr>
            </w:pPr>
            <w:r>
              <w:rPr>
                <w:rFonts w:hint="eastAsia" w:hAnsi="宋体" w:cs="宋体"/>
                <w:b/>
                <w:bCs/>
                <w:color w:val="000000"/>
                <w:sz w:val="21"/>
                <w:szCs w:val="21"/>
                <w:lang w:bidi="ar"/>
              </w:rPr>
              <w:t>检查依据</w:t>
            </w:r>
          </w:p>
        </w:tc>
        <w:tc>
          <w:tcPr>
            <w:tcW w:w="2406" w:type="dxa"/>
            <w:vAlign w:val="center"/>
          </w:tcPr>
          <w:p w14:paraId="49D6FCE6">
            <w:pPr>
              <w:widowControl/>
              <w:jc w:val="center"/>
              <w:rPr>
                <w:rFonts w:hint="eastAsia" w:hAnsi="宋体" w:cs="宋体"/>
                <w:b/>
                <w:bCs/>
                <w:color w:val="000000"/>
                <w:sz w:val="21"/>
                <w:szCs w:val="21"/>
                <w:lang w:bidi="ar"/>
              </w:rPr>
            </w:pPr>
            <w:r>
              <w:rPr>
                <w:rFonts w:hint="eastAsia" w:hAnsi="宋体" w:cs="宋体"/>
                <w:b/>
                <w:bCs/>
                <w:color w:val="000000"/>
                <w:sz w:val="21"/>
                <w:szCs w:val="21"/>
                <w:lang w:bidi="ar"/>
              </w:rPr>
              <w:t>检查情况</w:t>
            </w:r>
          </w:p>
        </w:tc>
        <w:tc>
          <w:tcPr>
            <w:tcW w:w="907" w:type="dxa"/>
            <w:vAlign w:val="center"/>
          </w:tcPr>
          <w:p w14:paraId="0A6E0BD3">
            <w:pPr>
              <w:widowControl/>
              <w:jc w:val="center"/>
              <w:rPr>
                <w:rFonts w:hint="eastAsia" w:hAnsi="宋体" w:cs="宋体"/>
                <w:b/>
                <w:bCs/>
                <w:color w:val="000000"/>
                <w:sz w:val="21"/>
                <w:szCs w:val="21"/>
                <w:lang w:bidi="ar"/>
              </w:rPr>
            </w:pPr>
            <w:r>
              <w:rPr>
                <w:rFonts w:hint="eastAsia" w:hAnsi="宋体" w:cs="宋体"/>
                <w:b/>
                <w:bCs/>
                <w:color w:val="000000"/>
                <w:sz w:val="21"/>
                <w:szCs w:val="21"/>
                <w:lang w:bidi="ar"/>
              </w:rPr>
              <w:t>检查结果</w:t>
            </w:r>
          </w:p>
        </w:tc>
      </w:tr>
      <w:tr w14:paraId="0BCB2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1" w:type="dxa"/>
            <w:gridSpan w:val="5"/>
            <w:vAlign w:val="center"/>
          </w:tcPr>
          <w:p w14:paraId="0D1A3274">
            <w:pPr>
              <w:widowControl/>
              <w:jc w:val="center"/>
              <w:rPr>
                <w:rFonts w:hint="eastAsia" w:hAnsi="宋体" w:cs="宋体"/>
                <w:b/>
                <w:bCs/>
                <w:color w:val="000000"/>
                <w:sz w:val="21"/>
                <w:szCs w:val="21"/>
                <w:lang w:bidi="ar"/>
              </w:rPr>
            </w:pPr>
            <w:r>
              <w:rPr>
                <w:rFonts w:hint="eastAsia" w:hAnsi="宋体" w:cs="宋体"/>
                <w:b/>
                <w:bCs/>
                <w:color w:val="000000"/>
                <w:sz w:val="21"/>
                <w:szCs w:val="21"/>
                <w:lang w:bidi="ar"/>
              </w:rPr>
              <w:t>安全管理组织机构</w:t>
            </w:r>
          </w:p>
        </w:tc>
      </w:tr>
      <w:tr w14:paraId="2A421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20FC960A">
            <w:pPr>
              <w:widowControl/>
              <w:jc w:val="center"/>
              <w:rPr>
                <w:rFonts w:hint="eastAsia" w:hAnsi="宋体" w:cs="宋体"/>
                <w:color w:val="000000"/>
                <w:sz w:val="21"/>
                <w:szCs w:val="21"/>
                <w:lang w:bidi="ar"/>
              </w:rPr>
            </w:pPr>
            <w:r>
              <w:rPr>
                <w:rFonts w:hint="eastAsia" w:hAnsi="宋体" w:cs="宋体"/>
                <w:color w:val="000000"/>
                <w:sz w:val="21"/>
                <w:szCs w:val="21"/>
                <w:lang w:bidi="ar"/>
              </w:rPr>
              <w:t>1</w:t>
            </w:r>
          </w:p>
        </w:tc>
        <w:tc>
          <w:tcPr>
            <w:tcW w:w="3522" w:type="dxa"/>
            <w:vAlign w:val="center"/>
          </w:tcPr>
          <w:p w14:paraId="5677D01F">
            <w:pPr>
              <w:widowControl/>
              <w:rPr>
                <w:rFonts w:hint="eastAsia" w:ascii="宋体" w:hAnsi="宋体" w:eastAsia="宋体" w:cs="宋体"/>
                <w:color w:val="000000"/>
                <w:sz w:val="21"/>
                <w:szCs w:val="21"/>
                <w:lang w:bidi="ar"/>
              </w:rPr>
            </w:pPr>
            <w:r>
              <w:rPr>
                <w:rFonts w:hint="eastAsia" w:ascii="宋体" w:hAnsi="宋体" w:eastAsia="宋体" w:cs="宋体"/>
                <w:color w:val="000000"/>
                <w:sz w:val="21"/>
                <w:szCs w:val="21"/>
                <w:lang w:bidi="ar"/>
              </w:rPr>
              <w:t>矿山、金属冶炼、建筑施工、运输单位和危险物品的生产、经营、储存、装卸单位，应当设置安全生产管理机构或者配备专职安全生产管理人员。前款规定以外的其他生产经营单位，从业人员超过一百人的，应当设置安全生产管理机构或者配备专职安全生产管理人员；从业人员在一百人以下的，应当配备专职或者兼职的安全生产管理人员。</w:t>
            </w:r>
          </w:p>
        </w:tc>
        <w:tc>
          <w:tcPr>
            <w:tcW w:w="1812" w:type="dxa"/>
            <w:vAlign w:val="center"/>
          </w:tcPr>
          <w:p w14:paraId="09A76857">
            <w:pPr>
              <w:widowControl/>
              <w:rPr>
                <w:rFonts w:hint="eastAsia" w:ascii="宋体" w:hAnsi="宋体" w:eastAsia="宋体" w:cs="宋体"/>
                <w:color w:val="000000"/>
                <w:sz w:val="21"/>
                <w:szCs w:val="21"/>
                <w:lang w:bidi="ar"/>
              </w:rPr>
            </w:pPr>
            <w:r>
              <w:rPr>
                <w:rFonts w:hint="eastAsia" w:ascii="宋体" w:hAnsi="宋体" w:eastAsia="宋体" w:cs="宋体"/>
                <w:color w:val="000000"/>
                <w:sz w:val="21"/>
                <w:szCs w:val="21"/>
                <w:lang w:bidi="ar"/>
              </w:rPr>
              <w:t>《中华人民共和国安全生产法》（主席令第88号）第24条</w:t>
            </w:r>
          </w:p>
        </w:tc>
        <w:tc>
          <w:tcPr>
            <w:tcW w:w="2406" w:type="dxa"/>
            <w:vAlign w:val="center"/>
          </w:tcPr>
          <w:p w14:paraId="493AE6BF">
            <w:pPr>
              <w:widowControl/>
              <w:rPr>
                <w:rFonts w:hint="eastAsia" w:ascii="宋体" w:hAnsi="宋体" w:eastAsia="宋体" w:cs="宋体"/>
                <w:color w:val="000000"/>
                <w:sz w:val="21"/>
                <w:szCs w:val="21"/>
                <w:lang w:bidi="ar"/>
              </w:rPr>
            </w:pPr>
            <w:r>
              <w:rPr>
                <w:rFonts w:hint="eastAsia" w:ascii="宋体" w:hAnsi="宋体" w:eastAsia="宋体" w:cs="宋体"/>
                <w:color w:val="000000"/>
                <w:sz w:val="21"/>
                <w:szCs w:val="21"/>
                <w:lang w:bidi="ar"/>
              </w:rPr>
              <w:t>该企业成立有安全生产领导小组，并任命了兼职安全管理人员，已持证上岗。</w:t>
            </w:r>
          </w:p>
        </w:tc>
        <w:tc>
          <w:tcPr>
            <w:tcW w:w="907" w:type="dxa"/>
            <w:vAlign w:val="center"/>
          </w:tcPr>
          <w:p w14:paraId="13BCC2FB">
            <w:pPr>
              <w:widowControl/>
              <w:rPr>
                <w:rFonts w:hint="eastAsia" w:ascii="宋体" w:hAnsi="宋体" w:eastAsia="宋体" w:cs="宋体"/>
                <w:color w:val="000000"/>
                <w:sz w:val="21"/>
                <w:szCs w:val="21"/>
                <w:lang w:bidi="ar"/>
              </w:rPr>
            </w:pPr>
            <w:r>
              <w:rPr>
                <w:rFonts w:hint="eastAsia" w:ascii="宋体" w:hAnsi="宋体" w:eastAsia="宋体" w:cs="宋体"/>
                <w:color w:val="000000"/>
                <w:sz w:val="21"/>
                <w:szCs w:val="21"/>
                <w:lang w:bidi="ar"/>
              </w:rPr>
              <w:t>符合</w:t>
            </w:r>
          </w:p>
        </w:tc>
      </w:tr>
      <w:tr w14:paraId="09926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4C5296CE">
            <w:pPr>
              <w:widowControl/>
              <w:jc w:val="center"/>
              <w:rPr>
                <w:rFonts w:hint="eastAsia" w:hAnsi="宋体" w:cs="宋体"/>
                <w:color w:val="000000"/>
                <w:sz w:val="21"/>
                <w:szCs w:val="21"/>
                <w:lang w:bidi="ar"/>
              </w:rPr>
            </w:pPr>
            <w:r>
              <w:rPr>
                <w:rFonts w:hint="eastAsia" w:hAnsi="宋体" w:cs="宋体"/>
                <w:color w:val="000000"/>
                <w:sz w:val="21"/>
                <w:szCs w:val="21"/>
                <w:lang w:bidi="ar"/>
              </w:rPr>
              <w:t>2</w:t>
            </w:r>
          </w:p>
        </w:tc>
        <w:tc>
          <w:tcPr>
            <w:tcW w:w="3522" w:type="dxa"/>
            <w:vAlign w:val="center"/>
          </w:tcPr>
          <w:p w14:paraId="211161EC">
            <w:pPr>
              <w:widowControl/>
              <w:rPr>
                <w:rFonts w:hint="eastAsia" w:hAnsi="宋体" w:cs="宋体"/>
                <w:color w:val="000000"/>
                <w:sz w:val="21"/>
                <w:szCs w:val="21"/>
                <w:lang w:bidi="ar"/>
              </w:rPr>
            </w:pPr>
            <w:r>
              <w:rPr>
                <w:rFonts w:hint="eastAsia" w:ascii="宋体" w:hAnsi="宋体" w:eastAsia="宋体" w:cs="宋体"/>
                <w:color w:val="000000"/>
                <w:sz w:val="21"/>
                <w:szCs w:val="21"/>
                <w:lang w:bidi="ar"/>
              </w:rPr>
              <w:t>矿山、金属冶炼、建筑施工、道路运输单位和危险物品的生产、经营、储存、废弃处置单位，应当设置专门的安全生产管理机构或者配备相应的专职安全生产管理人员。前款规定以外的其他生产经营单位，从业人员超过100人的，应当设置安全生产管理机构，专职安全生产管理人员不得少于2人；从业人员在100人以下的，应当配备专职或者兼职安全生产管理人员，或者委托依法设立的机构提供安全生产管理服务。生产经营单位的分支机构或者所属单位，应当按照本条规定设置、配备安全生产管理机构和人员。</w:t>
            </w:r>
          </w:p>
        </w:tc>
        <w:tc>
          <w:tcPr>
            <w:tcW w:w="1812" w:type="dxa"/>
            <w:vAlign w:val="center"/>
          </w:tcPr>
          <w:p w14:paraId="480B0891">
            <w:pPr>
              <w:widowControl/>
              <w:rPr>
                <w:rFonts w:hint="eastAsia" w:hAnsi="宋体" w:cs="宋体"/>
                <w:color w:val="000000"/>
                <w:sz w:val="21"/>
                <w:szCs w:val="21"/>
                <w:lang w:bidi="ar"/>
              </w:rPr>
            </w:pPr>
            <w:r>
              <w:rPr>
                <w:rFonts w:hint="eastAsia" w:hAnsi="宋体" w:cs="宋体"/>
                <w:color w:val="000000"/>
                <w:sz w:val="21"/>
                <w:szCs w:val="21"/>
                <w:lang w:bidi="ar"/>
              </w:rPr>
              <w:t>《云南省安全生产条例》（2017年11月30日云南省第十二届人民代表大会常务委员会第三十八次会议通过）第十五条</w:t>
            </w:r>
          </w:p>
        </w:tc>
        <w:tc>
          <w:tcPr>
            <w:tcW w:w="2406" w:type="dxa"/>
            <w:vAlign w:val="center"/>
          </w:tcPr>
          <w:p w14:paraId="5457ECAF">
            <w:pPr>
              <w:widowControl/>
              <w:rPr>
                <w:rFonts w:hint="eastAsia" w:hAnsi="宋体" w:cs="宋体"/>
                <w:color w:val="000000"/>
                <w:sz w:val="21"/>
                <w:szCs w:val="21"/>
                <w:lang w:bidi="ar"/>
              </w:rPr>
            </w:pPr>
            <w:r>
              <w:rPr>
                <w:rFonts w:hint="eastAsia" w:hAnsi="宋体" w:cs="宋体"/>
                <w:color w:val="000000"/>
                <w:sz w:val="21"/>
                <w:szCs w:val="21"/>
                <w:lang w:bidi="ar"/>
              </w:rPr>
              <w:t>该企业从业人员未超过100人，配备有兼职安全生产管理人员。</w:t>
            </w:r>
          </w:p>
        </w:tc>
        <w:tc>
          <w:tcPr>
            <w:tcW w:w="907" w:type="dxa"/>
            <w:vAlign w:val="center"/>
          </w:tcPr>
          <w:p w14:paraId="1F2D961F">
            <w:pPr>
              <w:widowControl/>
              <w:jc w:val="center"/>
              <w:rPr>
                <w:rFonts w:hint="eastAsia" w:hAnsi="宋体" w:cs="宋体"/>
                <w:color w:val="000000"/>
                <w:sz w:val="21"/>
                <w:szCs w:val="21"/>
                <w:lang w:bidi="ar"/>
              </w:rPr>
            </w:pPr>
            <w:r>
              <w:rPr>
                <w:rFonts w:hint="eastAsia" w:hAnsi="宋体" w:cs="宋体"/>
                <w:color w:val="000000"/>
                <w:sz w:val="21"/>
                <w:szCs w:val="21"/>
                <w:lang w:bidi="ar"/>
              </w:rPr>
              <w:t>符合</w:t>
            </w:r>
          </w:p>
        </w:tc>
      </w:tr>
      <w:tr w14:paraId="127B0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1" w:type="dxa"/>
            <w:gridSpan w:val="5"/>
            <w:vAlign w:val="center"/>
          </w:tcPr>
          <w:p w14:paraId="4558513F">
            <w:pPr>
              <w:widowControl/>
              <w:jc w:val="center"/>
              <w:rPr>
                <w:rFonts w:hint="eastAsia" w:hAnsi="宋体" w:cs="宋体"/>
                <w:color w:val="000000"/>
                <w:sz w:val="21"/>
                <w:szCs w:val="21"/>
                <w:lang w:bidi="ar"/>
              </w:rPr>
            </w:pPr>
            <w:r>
              <w:rPr>
                <w:rFonts w:hint="eastAsia" w:hAnsi="宋体" w:cs="宋体"/>
                <w:b/>
                <w:bCs/>
                <w:color w:val="000000"/>
                <w:sz w:val="21"/>
                <w:szCs w:val="21"/>
                <w:lang w:bidi="ar"/>
              </w:rPr>
              <w:t>安全管理规章制度</w:t>
            </w:r>
          </w:p>
        </w:tc>
      </w:tr>
      <w:tr w14:paraId="35CD1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1AD60E73">
            <w:pPr>
              <w:widowControl/>
              <w:jc w:val="center"/>
              <w:rPr>
                <w:rFonts w:hint="eastAsia" w:hAnsi="宋体" w:cs="宋体"/>
                <w:color w:val="000000"/>
                <w:sz w:val="21"/>
                <w:szCs w:val="21"/>
                <w:lang w:bidi="ar"/>
              </w:rPr>
            </w:pPr>
            <w:r>
              <w:rPr>
                <w:rFonts w:hint="eastAsia" w:hAnsi="宋体" w:cs="宋体"/>
                <w:color w:val="000000"/>
                <w:sz w:val="21"/>
                <w:szCs w:val="21"/>
                <w:lang w:bidi="ar"/>
              </w:rPr>
              <w:t>3</w:t>
            </w:r>
          </w:p>
        </w:tc>
        <w:tc>
          <w:tcPr>
            <w:tcW w:w="3522" w:type="dxa"/>
            <w:vAlign w:val="center"/>
          </w:tcPr>
          <w:p w14:paraId="66CDAC23">
            <w:pPr>
              <w:widowControl/>
              <w:rPr>
                <w:rFonts w:hint="eastAsia" w:hAnsi="宋体" w:cs="宋体"/>
                <w:b/>
                <w:bCs/>
                <w:color w:val="000000"/>
                <w:sz w:val="21"/>
                <w:szCs w:val="21"/>
                <w:lang w:bidi="ar"/>
              </w:rPr>
            </w:pPr>
            <w:r>
              <w:rPr>
                <w:rFonts w:hint="eastAsia" w:hAnsi="宋体" w:cs="宋体"/>
                <w:sz w:val="21"/>
                <w:szCs w:val="21"/>
              </w:rPr>
              <w:t>生产经营单位的主要负责人应建立、健全本单位安全生产责任制；组织制定本单位安全生产规章制度和操作规程；组织制定并实施本单位安全生产教育和培训计划；保证本单位安全生产投入的有效实施；督促、检查本单位的安全生产工作，及时消除生产安全事故隐患；组织制定并实施本单位的生产安全施工应急救援预案；及时、如实报告生产安全事故。</w:t>
            </w:r>
          </w:p>
        </w:tc>
        <w:tc>
          <w:tcPr>
            <w:tcW w:w="1812" w:type="dxa"/>
            <w:vAlign w:val="center"/>
          </w:tcPr>
          <w:p w14:paraId="783F4FCA">
            <w:pPr>
              <w:snapToGrid w:val="0"/>
              <w:jc w:val="center"/>
              <w:rPr>
                <w:rFonts w:hint="eastAsia" w:hAnsi="宋体" w:cs="宋体"/>
                <w:sz w:val="21"/>
                <w:szCs w:val="21"/>
              </w:rPr>
            </w:pPr>
            <w:r>
              <w:rPr>
                <w:rFonts w:hint="eastAsia" w:hAnsi="宋体" w:cs="宋体"/>
                <w:sz w:val="21"/>
                <w:szCs w:val="21"/>
              </w:rPr>
              <w:t>《安全生产法》</w:t>
            </w:r>
          </w:p>
          <w:p w14:paraId="1E8F7656">
            <w:pPr>
              <w:snapToGrid w:val="0"/>
              <w:jc w:val="center"/>
              <w:rPr>
                <w:rFonts w:hint="eastAsia" w:hAnsi="宋体" w:cs="宋体"/>
                <w:b/>
                <w:bCs/>
                <w:color w:val="000000"/>
                <w:sz w:val="21"/>
                <w:szCs w:val="21"/>
                <w:lang w:bidi="ar"/>
              </w:rPr>
            </w:pPr>
            <w:r>
              <w:rPr>
                <w:rFonts w:hint="eastAsia" w:hAnsi="宋体" w:cs="宋体"/>
                <w:sz w:val="21"/>
                <w:szCs w:val="21"/>
              </w:rPr>
              <w:t>第十八条</w:t>
            </w:r>
          </w:p>
        </w:tc>
        <w:tc>
          <w:tcPr>
            <w:tcW w:w="2406" w:type="dxa"/>
            <w:vAlign w:val="center"/>
          </w:tcPr>
          <w:p w14:paraId="219C4F0C">
            <w:pPr>
              <w:widowControl/>
              <w:rPr>
                <w:rFonts w:hint="eastAsia" w:hAnsi="宋体" w:cs="宋体"/>
                <w:b/>
                <w:bCs/>
                <w:color w:val="000000"/>
                <w:sz w:val="21"/>
                <w:szCs w:val="21"/>
                <w:lang w:bidi="ar"/>
              </w:rPr>
            </w:pPr>
            <w:r>
              <w:rPr>
                <w:rFonts w:hint="eastAsia" w:hAnsi="宋体" w:cs="宋体"/>
                <w:sz w:val="21"/>
                <w:szCs w:val="21"/>
              </w:rPr>
              <w:t>制定了安全生产责任制，符合该企业的现状。</w:t>
            </w:r>
          </w:p>
        </w:tc>
        <w:tc>
          <w:tcPr>
            <w:tcW w:w="907" w:type="dxa"/>
            <w:vAlign w:val="center"/>
          </w:tcPr>
          <w:p w14:paraId="0E4E81D5">
            <w:pPr>
              <w:widowControl/>
              <w:jc w:val="center"/>
              <w:rPr>
                <w:rFonts w:hint="eastAsia" w:hAnsi="宋体" w:cs="宋体"/>
                <w:color w:val="000000"/>
                <w:sz w:val="21"/>
                <w:szCs w:val="21"/>
                <w:lang w:bidi="ar"/>
              </w:rPr>
            </w:pPr>
            <w:r>
              <w:rPr>
                <w:rFonts w:hint="eastAsia" w:hAnsi="宋体" w:cs="宋体"/>
                <w:color w:val="000000"/>
                <w:sz w:val="21"/>
                <w:szCs w:val="21"/>
                <w:lang w:bidi="ar"/>
              </w:rPr>
              <w:t>符合</w:t>
            </w:r>
          </w:p>
        </w:tc>
      </w:tr>
      <w:tr w14:paraId="3CC82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02AB00E1">
            <w:pPr>
              <w:widowControl/>
              <w:jc w:val="center"/>
              <w:rPr>
                <w:rFonts w:hint="eastAsia" w:hAnsi="宋体" w:cs="宋体"/>
                <w:color w:val="000000"/>
                <w:sz w:val="21"/>
                <w:szCs w:val="21"/>
                <w:lang w:bidi="ar"/>
              </w:rPr>
            </w:pPr>
            <w:r>
              <w:rPr>
                <w:rFonts w:hint="eastAsia" w:hAnsi="宋体" w:cs="宋体"/>
                <w:color w:val="000000"/>
                <w:sz w:val="21"/>
                <w:szCs w:val="21"/>
                <w:lang w:bidi="ar"/>
              </w:rPr>
              <w:t>4</w:t>
            </w:r>
          </w:p>
        </w:tc>
        <w:tc>
          <w:tcPr>
            <w:tcW w:w="3522" w:type="dxa"/>
            <w:vAlign w:val="center"/>
          </w:tcPr>
          <w:p w14:paraId="091F5176">
            <w:pPr>
              <w:widowControl/>
              <w:rPr>
                <w:rFonts w:hint="eastAsia" w:hAnsi="宋体" w:cs="宋体"/>
                <w:color w:val="000000"/>
                <w:sz w:val="21"/>
                <w:szCs w:val="21"/>
                <w:lang w:bidi="ar"/>
              </w:rPr>
            </w:pPr>
            <w:r>
              <w:rPr>
                <w:rFonts w:hint="eastAsia" w:hAnsi="宋体" w:cs="宋体"/>
                <w:sz w:val="21"/>
                <w:szCs w:val="21"/>
              </w:rPr>
              <w:t>生产经营单位应当教育和督促从业人员严格执行本单位的安全生产规章制度和安全操作规程；并向从业人员如实告知作业场所和工作岗位存在的危险因素、防范措施以及事故应急措施。</w:t>
            </w:r>
          </w:p>
        </w:tc>
        <w:tc>
          <w:tcPr>
            <w:tcW w:w="1812" w:type="dxa"/>
            <w:vAlign w:val="center"/>
          </w:tcPr>
          <w:p w14:paraId="79479818">
            <w:pPr>
              <w:snapToGrid w:val="0"/>
              <w:jc w:val="center"/>
              <w:rPr>
                <w:rFonts w:hint="eastAsia" w:hAnsi="宋体" w:cs="宋体"/>
                <w:sz w:val="21"/>
                <w:szCs w:val="21"/>
              </w:rPr>
            </w:pPr>
            <w:r>
              <w:rPr>
                <w:rFonts w:hint="eastAsia" w:hAnsi="宋体" w:cs="宋体"/>
                <w:sz w:val="21"/>
                <w:szCs w:val="21"/>
              </w:rPr>
              <w:t>《安全生产法》</w:t>
            </w:r>
          </w:p>
          <w:p w14:paraId="1FF34ECE">
            <w:pPr>
              <w:widowControl/>
              <w:jc w:val="center"/>
              <w:rPr>
                <w:rFonts w:hint="eastAsia" w:hAnsi="宋体" w:cs="宋体"/>
                <w:color w:val="000000"/>
                <w:sz w:val="21"/>
                <w:szCs w:val="21"/>
                <w:lang w:bidi="ar"/>
              </w:rPr>
            </w:pPr>
            <w:r>
              <w:rPr>
                <w:rFonts w:hint="eastAsia" w:hAnsi="宋体" w:cs="宋体"/>
                <w:sz w:val="21"/>
                <w:szCs w:val="21"/>
              </w:rPr>
              <w:t>第四十一条</w:t>
            </w:r>
          </w:p>
        </w:tc>
        <w:tc>
          <w:tcPr>
            <w:tcW w:w="2406" w:type="dxa"/>
            <w:shd w:val="clear" w:color="auto" w:fill="auto"/>
            <w:vAlign w:val="center"/>
          </w:tcPr>
          <w:p w14:paraId="0527158C">
            <w:pPr>
              <w:autoSpaceDE w:val="0"/>
              <w:autoSpaceDN w:val="0"/>
              <w:adjustRightInd w:val="0"/>
              <w:snapToGrid w:val="0"/>
              <w:rPr>
                <w:rFonts w:hint="eastAsia" w:hAnsi="宋体" w:cs="宋体"/>
                <w:sz w:val="21"/>
                <w:szCs w:val="21"/>
              </w:rPr>
            </w:pPr>
            <w:r>
              <w:rPr>
                <w:rFonts w:hint="eastAsia" w:hAnsi="宋体" w:cs="宋体"/>
                <w:sz w:val="21"/>
                <w:szCs w:val="21"/>
              </w:rPr>
              <w:t>向从业人员告知作业场所和工作岗位的危险因素、防范措施及应急措施。</w:t>
            </w:r>
          </w:p>
        </w:tc>
        <w:tc>
          <w:tcPr>
            <w:tcW w:w="907" w:type="dxa"/>
            <w:vAlign w:val="center"/>
          </w:tcPr>
          <w:p w14:paraId="6E1CF480">
            <w:pPr>
              <w:widowControl/>
              <w:jc w:val="center"/>
              <w:rPr>
                <w:rFonts w:hint="eastAsia" w:hAnsi="宋体" w:cs="宋体"/>
                <w:color w:val="000000"/>
                <w:sz w:val="21"/>
                <w:szCs w:val="21"/>
                <w:lang w:bidi="ar"/>
              </w:rPr>
            </w:pPr>
            <w:r>
              <w:rPr>
                <w:rFonts w:hint="eastAsia" w:hAnsi="宋体" w:cs="宋体"/>
                <w:color w:val="000000"/>
                <w:sz w:val="21"/>
                <w:szCs w:val="21"/>
                <w:lang w:bidi="ar"/>
              </w:rPr>
              <w:t>符合</w:t>
            </w:r>
          </w:p>
        </w:tc>
      </w:tr>
      <w:tr w14:paraId="11542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32380290">
            <w:pPr>
              <w:widowControl/>
              <w:jc w:val="center"/>
              <w:rPr>
                <w:rFonts w:hint="eastAsia" w:hAnsi="宋体" w:cs="宋体"/>
                <w:color w:val="000000"/>
                <w:sz w:val="21"/>
                <w:szCs w:val="21"/>
                <w:lang w:bidi="ar"/>
              </w:rPr>
            </w:pPr>
            <w:r>
              <w:rPr>
                <w:rFonts w:hint="eastAsia" w:hAnsi="宋体" w:cs="宋体"/>
                <w:color w:val="000000"/>
                <w:sz w:val="21"/>
                <w:szCs w:val="21"/>
                <w:lang w:bidi="ar"/>
              </w:rPr>
              <w:t>5</w:t>
            </w:r>
          </w:p>
        </w:tc>
        <w:tc>
          <w:tcPr>
            <w:tcW w:w="3522" w:type="dxa"/>
            <w:vAlign w:val="center"/>
          </w:tcPr>
          <w:p w14:paraId="3AD408D1">
            <w:pPr>
              <w:autoSpaceDE w:val="0"/>
              <w:autoSpaceDN w:val="0"/>
              <w:adjustRightInd w:val="0"/>
              <w:snapToGrid w:val="0"/>
              <w:jc w:val="left"/>
              <w:rPr>
                <w:rFonts w:hint="eastAsia" w:hAnsi="宋体" w:cs="宋体"/>
                <w:sz w:val="21"/>
                <w:szCs w:val="21"/>
              </w:rPr>
            </w:pPr>
            <w:r>
              <w:rPr>
                <w:rFonts w:hint="eastAsia" w:hAnsi="宋体" w:cs="宋体"/>
                <w:sz w:val="21"/>
                <w:szCs w:val="21"/>
              </w:rPr>
              <w:t>产经营单位应当建立健全下列制度：</w:t>
            </w:r>
          </w:p>
          <w:p w14:paraId="38BBFCF4">
            <w:pPr>
              <w:autoSpaceDE w:val="0"/>
              <w:autoSpaceDN w:val="0"/>
              <w:adjustRightInd w:val="0"/>
              <w:snapToGrid w:val="0"/>
              <w:jc w:val="left"/>
              <w:rPr>
                <w:rFonts w:hint="eastAsia" w:hAnsi="宋体" w:cs="宋体"/>
                <w:sz w:val="21"/>
                <w:szCs w:val="21"/>
              </w:rPr>
            </w:pPr>
            <w:r>
              <w:rPr>
                <w:rFonts w:hint="eastAsia" w:hAnsi="宋体" w:cs="宋体"/>
                <w:sz w:val="21"/>
                <w:szCs w:val="21"/>
              </w:rPr>
              <w:t>（一）安全生产责任制度；</w:t>
            </w:r>
          </w:p>
          <w:p w14:paraId="27E9778C">
            <w:pPr>
              <w:autoSpaceDE w:val="0"/>
              <w:autoSpaceDN w:val="0"/>
              <w:adjustRightInd w:val="0"/>
              <w:snapToGrid w:val="0"/>
              <w:jc w:val="left"/>
              <w:rPr>
                <w:rFonts w:hint="eastAsia" w:hAnsi="宋体" w:cs="宋体"/>
                <w:sz w:val="21"/>
                <w:szCs w:val="21"/>
              </w:rPr>
            </w:pPr>
            <w:r>
              <w:rPr>
                <w:rFonts w:hint="eastAsia" w:hAnsi="宋体" w:cs="宋体"/>
                <w:sz w:val="21"/>
                <w:szCs w:val="21"/>
              </w:rPr>
              <w:t>（二）安全生产例会制度；</w:t>
            </w:r>
          </w:p>
          <w:p w14:paraId="4DD696AC">
            <w:pPr>
              <w:autoSpaceDE w:val="0"/>
              <w:autoSpaceDN w:val="0"/>
              <w:adjustRightInd w:val="0"/>
              <w:snapToGrid w:val="0"/>
              <w:jc w:val="left"/>
              <w:rPr>
                <w:rFonts w:hint="eastAsia" w:hAnsi="宋体" w:cs="宋体"/>
                <w:sz w:val="21"/>
                <w:szCs w:val="21"/>
              </w:rPr>
            </w:pPr>
            <w:r>
              <w:rPr>
                <w:rFonts w:hint="eastAsia" w:hAnsi="宋体" w:cs="宋体"/>
                <w:sz w:val="21"/>
                <w:szCs w:val="21"/>
              </w:rPr>
              <w:t>（三）安全生产奖惩制度；</w:t>
            </w:r>
          </w:p>
          <w:p w14:paraId="6F2A4924">
            <w:pPr>
              <w:autoSpaceDE w:val="0"/>
              <w:autoSpaceDN w:val="0"/>
              <w:adjustRightInd w:val="0"/>
              <w:snapToGrid w:val="0"/>
              <w:jc w:val="left"/>
              <w:rPr>
                <w:rFonts w:hint="eastAsia" w:hAnsi="宋体" w:cs="宋体"/>
                <w:sz w:val="21"/>
                <w:szCs w:val="21"/>
              </w:rPr>
            </w:pPr>
            <w:r>
              <w:rPr>
                <w:rFonts w:hint="eastAsia" w:hAnsi="宋体" w:cs="宋体"/>
                <w:sz w:val="21"/>
                <w:szCs w:val="21"/>
              </w:rPr>
              <w:t>（四）安全生产教育培训制度；</w:t>
            </w:r>
          </w:p>
          <w:p w14:paraId="05DA8242">
            <w:pPr>
              <w:autoSpaceDE w:val="0"/>
              <w:autoSpaceDN w:val="0"/>
              <w:adjustRightInd w:val="0"/>
              <w:snapToGrid w:val="0"/>
              <w:jc w:val="left"/>
              <w:rPr>
                <w:rFonts w:hint="eastAsia" w:hAnsi="宋体" w:cs="宋体"/>
                <w:sz w:val="21"/>
                <w:szCs w:val="21"/>
              </w:rPr>
            </w:pPr>
            <w:r>
              <w:rPr>
                <w:rFonts w:hint="eastAsia" w:hAnsi="宋体" w:cs="宋体"/>
                <w:sz w:val="21"/>
                <w:szCs w:val="21"/>
              </w:rPr>
              <w:t>（五）安全生产检查制度；</w:t>
            </w:r>
          </w:p>
          <w:p w14:paraId="30609297">
            <w:pPr>
              <w:autoSpaceDE w:val="0"/>
              <w:autoSpaceDN w:val="0"/>
              <w:adjustRightInd w:val="0"/>
              <w:snapToGrid w:val="0"/>
              <w:jc w:val="left"/>
              <w:rPr>
                <w:rFonts w:hint="eastAsia" w:hAnsi="宋体" w:cs="宋体"/>
                <w:sz w:val="21"/>
                <w:szCs w:val="21"/>
              </w:rPr>
            </w:pPr>
            <w:r>
              <w:rPr>
                <w:rFonts w:hint="eastAsia" w:hAnsi="宋体" w:cs="宋体"/>
                <w:sz w:val="21"/>
                <w:szCs w:val="21"/>
              </w:rPr>
              <w:t>（六）生产经营场所、设备、设施安全管理制度；</w:t>
            </w:r>
          </w:p>
          <w:p w14:paraId="5518ED0E">
            <w:pPr>
              <w:autoSpaceDE w:val="0"/>
              <w:autoSpaceDN w:val="0"/>
              <w:adjustRightInd w:val="0"/>
              <w:snapToGrid w:val="0"/>
              <w:jc w:val="left"/>
              <w:rPr>
                <w:rFonts w:hint="eastAsia" w:hAnsi="宋体" w:cs="宋体"/>
                <w:sz w:val="21"/>
                <w:szCs w:val="21"/>
              </w:rPr>
            </w:pPr>
            <w:r>
              <w:rPr>
                <w:rFonts w:hint="eastAsia" w:hAnsi="宋体" w:cs="宋体"/>
                <w:sz w:val="21"/>
                <w:szCs w:val="21"/>
              </w:rPr>
              <w:t>（七）安全生产风险分级管理控制制度；</w:t>
            </w:r>
          </w:p>
          <w:p w14:paraId="2E9C6323">
            <w:pPr>
              <w:autoSpaceDE w:val="0"/>
              <w:autoSpaceDN w:val="0"/>
              <w:adjustRightInd w:val="0"/>
              <w:snapToGrid w:val="0"/>
              <w:jc w:val="left"/>
              <w:rPr>
                <w:rFonts w:hint="eastAsia" w:hAnsi="宋体" w:cs="宋体"/>
                <w:sz w:val="21"/>
                <w:szCs w:val="21"/>
              </w:rPr>
            </w:pPr>
            <w:r>
              <w:rPr>
                <w:rFonts w:hint="eastAsia" w:hAnsi="宋体" w:cs="宋体"/>
                <w:sz w:val="21"/>
                <w:szCs w:val="21"/>
              </w:rPr>
              <w:t>（八）危险源管理制度；</w:t>
            </w:r>
          </w:p>
          <w:p w14:paraId="51CA48B5">
            <w:pPr>
              <w:autoSpaceDE w:val="0"/>
              <w:autoSpaceDN w:val="0"/>
              <w:adjustRightInd w:val="0"/>
              <w:snapToGrid w:val="0"/>
              <w:jc w:val="left"/>
              <w:rPr>
                <w:rFonts w:hint="eastAsia" w:hAnsi="宋体" w:cs="宋体"/>
                <w:sz w:val="21"/>
                <w:szCs w:val="21"/>
              </w:rPr>
            </w:pPr>
            <w:r>
              <w:rPr>
                <w:rFonts w:hint="eastAsia" w:hAnsi="宋体" w:cs="宋体"/>
                <w:sz w:val="21"/>
                <w:szCs w:val="21"/>
              </w:rPr>
              <w:t>（九）安全生产应急管理和事故报告处理制度； </w:t>
            </w:r>
          </w:p>
          <w:p w14:paraId="150B4C6E">
            <w:pPr>
              <w:autoSpaceDE w:val="0"/>
              <w:autoSpaceDN w:val="0"/>
              <w:adjustRightInd w:val="0"/>
              <w:snapToGrid w:val="0"/>
              <w:jc w:val="left"/>
              <w:rPr>
                <w:rFonts w:hint="eastAsia" w:hAnsi="宋体" w:cs="宋体"/>
                <w:sz w:val="21"/>
                <w:szCs w:val="21"/>
              </w:rPr>
            </w:pPr>
            <w:r>
              <w:rPr>
                <w:rFonts w:hint="eastAsia" w:hAnsi="宋体" w:cs="宋体"/>
                <w:sz w:val="21"/>
                <w:szCs w:val="21"/>
              </w:rPr>
              <w:t>（十）危险作业、特种作业人员、劳动防护用品管理制度；</w:t>
            </w:r>
          </w:p>
          <w:p w14:paraId="26F69B99">
            <w:pPr>
              <w:widowControl/>
              <w:rPr>
                <w:rFonts w:hint="eastAsia" w:hAnsi="宋体" w:cs="宋体"/>
                <w:color w:val="000000"/>
                <w:sz w:val="21"/>
                <w:szCs w:val="21"/>
                <w:lang w:bidi="ar"/>
              </w:rPr>
            </w:pPr>
            <w:r>
              <w:rPr>
                <w:rFonts w:hint="eastAsia" w:hAnsi="宋体" w:cs="宋体"/>
                <w:sz w:val="21"/>
                <w:szCs w:val="21"/>
              </w:rPr>
              <w:t>（十一）法律法规规定的其他安全生产制度。</w:t>
            </w:r>
          </w:p>
        </w:tc>
        <w:tc>
          <w:tcPr>
            <w:tcW w:w="1812" w:type="dxa"/>
            <w:vAlign w:val="center"/>
          </w:tcPr>
          <w:p w14:paraId="128C3533">
            <w:pPr>
              <w:autoSpaceDE w:val="0"/>
              <w:autoSpaceDN w:val="0"/>
              <w:adjustRightInd w:val="0"/>
              <w:snapToGrid w:val="0"/>
              <w:jc w:val="center"/>
              <w:rPr>
                <w:rFonts w:hint="eastAsia" w:hAnsi="宋体" w:cs="宋体"/>
                <w:sz w:val="21"/>
                <w:szCs w:val="21"/>
              </w:rPr>
            </w:pPr>
            <w:r>
              <w:rPr>
                <w:rFonts w:hint="eastAsia" w:hAnsi="宋体" w:cs="宋体"/>
                <w:sz w:val="21"/>
                <w:szCs w:val="21"/>
              </w:rPr>
              <w:t>《云南省安全生产条例》</w:t>
            </w:r>
          </w:p>
          <w:p w14:paraId="31A8A791">
            <w:pPr>
              <w:widowControl/>
              <w:jc w:val="center"/>
              <w:rPr>
                <w:rFonts w:hint="eastAsia" w:hAnsi="宋体" w:cs="宋体"/>
                <w:color w:val="000000"/>
                <w:sz w:val="21"/>
                <w:szCs w:val="21"/>
                <w:lang w:bidi="ar"/>
              </w:rPr>
            </w:pPr>
            <w:r>
              <w:rPr>
                <w:rFonts w:hint="eastAsia" w:hAnsi="宋体" w:cs="宋体"/>
                <w:sz w:val="21"/>
                <w:szCs w:val="21"/>
              </w:rPr>
              <w:t>第十八条</w:t>
            </w:r>
          </w:p>
        </w:tc>
        <w:tc>
          <w:tcPr>
            <w:tcW w:w="2406" w:type="dxa"/>
            <w:vAlign w:val="center"/>
          </w:tcPr>
          <w:p w14:paraId="664E2A5C">
            <w:pPr>
              <w:widowControl/>
              <w:rPr>
                <w:rFonts w:hint="eastAsia" w:hAnsi="宋体" w:cs="宋体"/>
                <w:color w:val="000000"/>
                <w:sz w:val="21"/>
                <w:szCs w:val="21"/>
                <w:lang w:bidi="ar"/>
              </w:rPr>
            </w:pPr>
            <w:r>
              <w:rPr>
                <w:rFonts w:hint="eastAsia" w:hAnsi="宋体" w:cs="宋体"/>
                <w:sz w:val="21"/>
                <w:szCs w:val="21"/>
              </w:rPr>
              <w:t>制定了适用于该企业的安全生产管理制度。</w:t>
            </w:r>
          </w:p>
        </w:tc>
        <w:tc>
          <w:tcPr>
            <w:tcW w:w="907" w:type="dxa"/>
            <w:vAlign w:val="center"/>
          </w:tcPr>
          <w:p w14:paraId="05FEEFA8">
            <w:pPr>
              <w:widowControl/>
              <w:jc w:val="center"/>
              <w:rPr>
                <w:rFonts w:hint="eastAsia" w:hAnsi="宋体" w:cs="宋体"/>
                <w:color w:val="000000"/>
                <w:sz w:val="21"/>
                <w:szCs w:val="21"/>
                <w:lang w:bidi="ar"/>
              </w:rPr>
            </w:pPr>
            <w:r>
              <w:rPr>
                <w:rFonts w:hint="eastAsia" w:hAnsi="宋体" w:cs="宋体"/>
                <w:color w:val="000000"/>
                <w:sz w:val="21"/>
                <w:szCs w:val="21"/>
                <w:lang w:bidi="ar"/>
              </w:rPr>
              <w:t>符合</w:t>
            </w:r>
          </w:p>
        </w:tc>
      </w:tr>
      <w:tr w14:paraId="04CD3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3C401D35">
            <w:pPr>
              <w:widowControl/>
              <w:jc w:val="center"/>
              <w:rPr>
                <w:rFonts w:hint="eastAsia" w:hAnsi="宋体" w:cs="宋体"/>
                <w:color w:val="000000"/>
                <w:sz w:val="21"/>
                <w:szCs w:val="21"/>
                <w:lang w:bidi="ar"/>
              </w:rPr>
            </w:pPr>
            <w:r>
              <w:rPr>
                <w:rFonts w:hint="eastAsia" w:hAnsi="宋体" w:cs="宋体"/>
                <w:color w:val="000000"/>
                <w:sz w:val="21"/>
                <w:szCs w:val="21"/>
                <w:lang w:bidi="ar"/>
              </w:rPr>
              <w:t>6</w:t>
            </w:r>
          </w:p>
        </w:tc>
        <w:tc>
          <w:tcPr>
            <w:tcW w:w="3522" w:type="dxa"/>
            <w:vAlign w:val="center"/>
          </w:tcPr>
          <w:p w14:paraId="45D9BC48">
            <w:pPr>
              <w:widowControl/>
              <w:rPr>
                <w:rFonts w:hint="eastAsia" w:hAnsi="宋体" w:cs="宋体"/>
                <w:sz w:val="21"/>
                <w:szCs w:val="21"/>
              </w:rPr>
            </w:pPr>
            <w:r>
              <w:rPr>
                <w:rFonts w:hint="eastAsia" w:hAnsi="宋体" w:cs="宋体"/>
                <w:sz w:val="21"/>
                <w:szCs w:val="21"/>
              </w:rPr>
              <w:t>生产经营单位进行高处作业、有限空间作业、危险物品充装和接卸作业、危险场所动火作业等危险作业，应当严格执行操作规程，落实安全措施，加强现场安全管理。</w:t>
            </w:r>
          </w:p>
        </w:tc>
        <w:tc>
          <w:tcPr>
            <w:tcW w:w="1812" w:type="dxa"/>
            <w:shd w:val="clear" w:color="auto" w:fill="auto"/>
            <w:vAlign w:val="center"/>
          </w:tcPr>
          <w:p w14:paraId="2661B2D9">
            <w:pPr>
              <w:autoSpaceDE w:val="0"/>
              <w:autoSpaceDN w:val="0"/>
              <w:adjustRightInd w:val="0"/>
              <w:snapToGrid w:val="0"/>
              <w:jc w:val="center"/>
              <w:rPr>
                <w:rFonts w:hint="eastAsia" w:hAnsi="宋体" w:cs="宋体"/>
                <w:sz w:val="21"/>
                <w:szCs w:val="21"/>
              </w:rPr>
            </w:pPr>
            <w:r>
              <w:rPr>
                <w:rFonts w:hint="eastAsia" w:hAnsi="宋体" w:cs="宋体"/>
                <w:sz w:val="21"/>
                <w:szCs w:val="21"/>
              </w:rPr>
              <w:t>《云南省安全生产条例》</w:t>
            </w:r>
          </w:p>
          <w:p w14:paraId="6F9974A3">
            <w:pPr>
              <w:autoSpaceDE w:val="0"/>
              <w:autoSpaceDN w:val="0"/>
              <w:adjustRightInd w:val="0"/>
              <w:snapToGrid w:val="0"/>
              <w:jc w:val="center"/>
              <w:rPr>
                <w:rFonts w:hint="eastAsia" w:hAnsi="宋体" w:cs="宋体"/>
                <w:sz w:val="21"/>
                <w:szCs w:val="21"/>
              </w:rPr>
            </w:pPr>
            <w:r>
              <w:rPr>
                <w:rFonts w:hint="eastAsia" w:hAnsi="宋体" w:cs="宋体"/>
                <w:sz w:val="21"/>
                <w:szCs w:val="21"/>
              </w:rPr>
              <w:t>第二十一条</w:t>
            </w:r>
          </w:p>
        </w:tc>
        <w:tc>
          <w:tcPr>
            <w:tcW w:w="2406" w:type="dxa"/>
            <w:shd w:val="clear" w:color="auto" w:fill="auto"/>
            <w:vAlign w:val="center"/>
          </w:tcPr>
          <w:p w14:paraId="0C4062FA">
            <w:pPr>
              <w:autoSpaceDE w:val="0"/>
              <w:autoSpaceDN w:val="0"/>
              <w:adjustRightInd w:val="0"/>
              <w:snapToGrid w:val="0"/>
              <w:rPr>
                <w:rFonts w:hint="eastAsia" w:hAnsi="宋体" w:cs="宋体"/>
                <w:sz w:val="21"/>
                <w:szCs w:val="21"/>
              </w:rPr>
            </w:pPr>
            <w:r>
              <w:rPr>
                <w:rFonts w:hint="eastAsia" w:hAnsi="宋体" w:cs="宋体"/>
                <w:sz w:val="21"/>
                <w:szCs w:val="21"/>
              </w:rPr>
              <w:t>严格执行危险作业的操作规程，有相关记录。</w:t>
            </w:r>
          </w:p>
        </w:tc>
        <w:tc>
          <w:tcPr>
            <w:tcW w:w="907" w:type="dxa"/>
            <w:vAlign w:val="center"/>
          </w:tcPr>
          <w:p w14:paraId="26CD8CA1">
            <w:pPr>
              <w:widowControl/>
              <w:jc w:val="center"/>
              <w:rPr>
                <w:rFonts w:hint="eastAsia" w:hAnsi="宋体" w:cs="宋体"/>
                <w:color w:val="000000"/>
                <w:sz w:val="21"/>
                <w:szCs w:val="21"/>
                <w:lang w:bidi="ar"/>
              </w:rPr>
            </w:pPr>
            <w:r>
              <w:rPr>
                <w:rFonts w:hint="eastAsia" w:hAnsi="宋体" w:cs="宋体"/>
                <w:color w:val="000000"/>
                <w:sz w:val="21"/>
                <w:szCs w:val="21"/>
                <w:lang w:bidi="ar"/>
              </w:rPr>
              <w:t>符合</w:t>
            </w:r>
          </w:p>
        </w:tc>
      </w:tr>
      <w:tr w14:paraId="16D6F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23F48A5E">
            <w:pPr>
              <w:widowControl/>
              <w:jc w:val="center"/>
              <w:rPr>
                <w:rFonts w:hint="eastAsia" w:hAnsi="宋体" w:cs="宋体"/>
                <w:color w:val="000000"/>
                <w:sz w:val="21"/>
                <w:szCs w:val="21"/>
                <w:lang w:bidi="ar"/>
              </w:rPr>
            </w:pPr>
            <w:r>
              <w:rPr>
                <w:rFonts w:hint="eastAsia" w:hAnsi="宋体" w:cs="宋体"/>
                <w:color w:val="000000"/>
                <w:sz w:val="21"/>
                <w:szCs w:val="21"/>
                <w:lang w:bidi="ar"/>
              </w:rPr>
              <w:t>7</w:t>
            </w:r>
          </w:p>
        </w:tc>
        <w:tc>
          <w:tcPr>
            <w:tcW w:w="3522" w:type="dxa"/>
            <w:vAlign w:val="center"/>
          </w:tcPr>
          <w:p w14:paraId="6410705D">
            <w:pPr>
              <w:widowControl/>
              <w:rPr>
                <w:rFonts w:hint="eastAsia" w:hAnsi="宋体" w:cs="宋体"/>
                <w:sz w:val="21"/>
                <w:szCs w:val="21"/>
              </w:rPr>
            </w:pPr>
            <w:r>
              <w:rPr>
                <w:rFonts w:hint="eastAsia" w:hAnsi="宋体" w:cs="宋体"/>
                <w:color w:val="000000"/>
                <w:sz w:val="21"/>
                <w:szCs w:val="21"/>
                <w:lang w:bidi="ar"/>
              </w:rPr>
              <w:t>生产经营单位应当按照安全生产法和有关法律、行政法规和本规定，建立健全安全培训工作制度。</w:t>
            </w:r>
          </w:p>
        </w:tc>
        <w:tc>
          <w:tcPr>
            <w:tcW w:w="1812" w:type="dxa"/>
            <w:shd w:val="clear" w:color="auto" w:fill="auto"/>
            <w:vAlign w:val="center"/>
          </w:tcPr>
          <w:p w14:paraId="356D7714">
            <w:pPr>
              <w:widowControl/>
              <w:rPr>
                <w:rFonts w:hint="eastAsia" w:hAnsi="宋体" w:cs="宋体"/>
                <w:sz w:val="21"/>
                <w:szCs w:val="21"/>
              </w:rPr>
            </w:pPr>
            <w:r>
              <w:rPr>
                <w:rFonts w:hint="eastAsia" w:hAnsi="宋体" w:cs="宋体"/>
                <w:color w:val="000000"/>
                <w:sz w:val="21"/>
                <w:szCs w:val="21"/>
                <w:lang w:bidi="ar"/>
              </w:rPr>
              <w:t>《生产经营单位安全培训规定》（国家安监总局令第3号）第三条及《国家安全监管总局关于修改〈生产经营单位安全培训规定〉等11件规章的决定》（国家安全生产监督管理总局令第63号）</w:t>
            </w:r>
          </w:p>
        </w:tc>
        <w:tc>
          <w:tcPr>
            <w:tcW w:w="2406" w:type="dxa"/>
            <w:shd w:val="clear" w:color="auto" w:fill="auto"/>
            <w:vAlign w:val="center"/>
          </w:tcPr>
          <w:p w14:paraId="3F6B9B08">
            <w:pPr>
              <w:widowControl/>
              <w:rPr>
                <w:rFonts w:hint="eastAsia" w:hAnsi="宋体" w:cs="宋体"/>
                <w:sz w:val="21"/>
                <w:szCs w:val="21"/>
              </w:rPr>
            </w:pPr>
            <w:r>
              <w:rPr>
                <w:rFonts w:hint="eastAsia" w:hAnsi="宋体" w:cs="宋体"/>
                <w:color w:val="000000"/>
                <w:sz w:val="21"/>
                <w:szCs w:val="21"/>
                <w:lang w:bidi="ar"/>
              </w:rPr>
              <w:t>已建立了安全教育培训制度，并对管理人员、操作人员进行了相应的安全教育培训。</w:t>
            </w:r>
          </w:p>
        </w:tc>
        <w:tc>
          <w:tcPr>
            <w:tcW w:w="907" w:type="dxa"/>
            <w:vAlign w:val="center"/>
          </w:tcPr>
          <w:p w14:paraId="2D241443">
            <w:pPr>
              <w:widowControl/>
              <w:jc w:val="center"/>
              <w:rPr>
                <w:rFonts w:hint="eastAsia" w:hAnsi="宋体" w:cs="宋体"/>
                <w:color w:val="000000"/>
                <w:sz w:val="21"/>
                <w:szCs w:val="21"/>
                <w:lang w:bidi="ar"/>
              </w:rPr>
            </w:pPr>
            <w:r>
              <w:rPr>
                <w:rFonts w:hint="eastAsia" w:hAnsi="宋体" w:cs="宋体"/>
                <w:color w:val="000000"/>
                <w:sz w:val="21"/>
                <w:szCs w:val="21"/>
                <w:lang w:bidi="ar"/>
              </w:rPr>
              <w:t>符合</w:t>
            </w:r>
          </w:p>
        </w:tc>
      </w:tr>
      <w:tr w14:paraId="6C5EC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49864E07">
            <w:pPr>
              <w:widowControl/>
              <w:jc w:val="center"/>
              <w:rPr>
                <w:rFonts w:hint="eastAsia" w:hAnsi="宋体" w:cs="宋体"/>
                <w:color w:val="000000"/>
                <w:sz w:val="21"/>
                <w:szCs w:val="21"/>
                <w:lang w:bidi="ar"/>
              </w:rPr>
            </w:pPr>
            <w:r>
              <w:rPr>
                <w:rFonts w:hint="eastAsia" w:hAnsi="宋体" w:cs="宋体"/>
                <w:color w:val="000000"/>
                <w:sz w:val="21"/>
                <w:szCs w:val="21"/>
                <w:lang w:bidi="ar"/>
              </w:rPr>
              <w:t>8</w:t>
            </w:r>
          </w:p>
        </w:tc>
        <w:tc>
          <w:tcPr>
            <w:tcW w:w="3522" w:type="dxa"/>
            <w:vAlign w:val="center"/>
          </w:tcPr>
          <w:p w14:paraId="4CA2558D">
            <w:pPr>
              <w:widowControl/>
              <w:rPr>
                <w:rFonts w:hint="eastAsia" w:hAnsi="宋体" w:cs="宋体"/>
                <w:color w:val="000000"/>
                <w:sz w:val="21"/>
                <w:szCs w:val="21"/>
                <w:lang w:bidi="ar"/>
              </w:rPr>
            </w:pPr>
            <w:r>
              <w:rPr>
                <w:rFonts w:hint="eastAsia" w:hAnsi="宋体" w:cs="宋体"/>
                <w:color w:val="000000"/>
                <w:sz w:val="21"/>
                <w:szCs w:val="21"/>
                <w:lang w:bidi="ar"/>
              </w:rPr>
              <w:t>落实企业安全生产主体责任是做好安全生产工作的前提，是安全监管工作的靶向目标。各级应急管理部门和有关工贸企业要高度重视《清单》中5个层面29项法定重点事项，结合本地区、本企业实际，认真学习领会每项重点事项的重要内容，并采取行之有效的方式落实到具体工作中，为切实做好企业安全生产工作奠定坚实基础。</w:t>
            </w:r>
          </w:p>
        </w:tc>
        <w:tc>
          <w:tcPr>
            <w:tcW w:w="1812" w:type="dxa"/>
            <w:shd w:val="clear" w:color="auto" w:fill="auto"/>
            <w:vAlign w:val="center"/>
          </w:tcPr>
          <w:p w14:paraId="4F3927AB">
            <w:pPr>
              <w:widowControl/>
              <w:jc w:val="left"/>
              <w:rPr>
                <w:rFonts w:hint="eastAsia" w:hAnsi="宋体" w:cs="宋体"/>
                <w:color w:val="000000"/>
                <w:sz w:val="21"/>
                <w:szCs w:val="21"/>
                <w:lang w:bidi="ar"/>
              </w:rPr>
            </w:pPr>
            <w:r>
              <w:rPr>
                <w:rFonts w:hint="eastAsia" w:hAnsi="宋体" w:cs="宋体"/>
                <w:color w:val="000000"/>
                <w:sz w:val="21"/>
                <w:szCs w:val="21"/>
                <w:lang w:bidi="ar"/>
              </w:rPr>
              <w:t>云南省应急管理厅关于印发《云南省工贸企业安全生产主体责任重点事项清单（暂行）》的通知（云应急〔2022〕9号）</w:t>
            </w:r>
          </w:p>
        </w:tc>
        <w:tc>
          <w:tcPr>
            <w:tcW w:w="2406" w:type="dxa"/>
            <w:shd w:val="clear" w:color="auto" w:fill="auto"/>
            <w:vAlign w:val="center"/>
          </w:tcPr>
          <w:p w14:paraId="2D6838CE">
            <w:pPr>
              <w:widowControl/>
              <w:rPr>
                <w:rFonts w:hint="eastAsia" w:hAnsi="宋体" w:cs="宋体"/>
                <w:color w:val="000000"/>
                <w:sz w:val="21"/>
                <w:szCs w:val="21"/>
                <w:lang w:bidi="ar"/>
              </w:rPr>
            </w:pPr>
            <w:r>
              <w:rPr>
                <w:rFonts w:hint="eastAsia" w:hAnsi="宋体" w:cs="宋体"/>
                <w:color w:val="000000"/>
                <w:sz w:val="21"/>
                <w:szCs w:val="21"/>
                <w:lang w:bidi="ar"/>
              </w:rPr>
              <w:t>企业已组织学习和贯彻，基本能落实相关要求。</w:t>
            </w:r>
          </w:p>
        </w:tc>
        <w:tc>
          <w:tcPr>
            <w:tcW w:w="907" w:type="dxa"/>
            <w:vAlign w:val="center"/>
          </w:tcPr>
          <w:p w14:paraId="0D0CBBE5">
            <w:pPr>
              <w:widowControl/>
              <w:jc w:val="center"/>
              <w:rPr>
                <w:rFonts w:hint="eastAsia" w:hAnsi="宋体" w:cs="宋体"/>
                <w:color w:val="000000"/>
                <w:sz w:val="21"/>
                <w:szCs w:val="21"/>
                <w:lang w:bidi="ar"/>
              </w:rPr>
            </w:pPr>
            <w:r>
              <w:rPr>
                <w:rFonts w:hint="eastAsia" w:hAnsi="宋体" w:cs="宋体"/>
                <w:color w:val="000000"/>
                <w:sz w:val="21"/>
                <w:szCs w:val="21"/>
                <w:lang w:bidi="ar"/>
              </w:rPr>
              <w:t>符合</w:t>
            </w:r>
          </w:p>
        </w:tc>
      </w:tr>
      <w:tr w14:paraId="68EB1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1" w:type="dxa"/>
            <w:gridSpan w:val="5"/>
            <w:vAlign w:val="center"/>
          </w:tcPr>
          <w:p w14:paraId="10FAB90F">
            <w:pPr>
              <w:widowControl/>
              <w:jc w:val="center"/>
              <w:rPr>
                <w:rFonts w:hint="eastAsia" w:hAnsi="宋体" w:cs="宋体"/>
                <w:b/>
                <w:bCs/>
                <w:color w:val="000000"/>
                <w:sz w:val="21"/>
                <w:szCs w:val="21"/>
                <w:lang w:bidi="ar"/>
              </w:rPr>
            </w:pPr>
            <w:r>
              <w:rPr>
                <w:rFonts w:hint="eastAsia" w:hAnsi="宋体" w:cs="宋体"/>
                <w:b/>
                <w:bCs/>
                <w:color w:val="000000"/>
                <w:sz w:val="21"/>
                <w:szCs w:val="21"/>
                <w:lang w:bidi="ar"/>
              </w:rPr>
              <w:t>安全教育培训及人员持证</w:t>
            </w:r>
          </w:p>
        </w:tc>
      </w:tr>
      <w:tr w14:paraId="7C2B5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562D2372">
            <w:pPr>
              <w:widowControl/>
              <w:jc w:val="center"/>
              <w:rPr>
                <w:rFonts w:hint="eastAsia" w:hAnsi="宋体" w:cs="宋体"/>
                <w:color w:val="000000"/>
                <w:sz w:val="21"/>
                <w:szCs w:val="21"/>
                <w:lang w:bidi="ar"/>
              </w:rPr>
            </w:pPr>
            <w:r>
              <w:rPr>
                <w:rFonts w:hint="eastAsia" w:hAnsi="宋体" w:cs="宋体"/>
                <w:color w:val="000000"/>
                <w:sz w:val="21"/>
                <w:szCs w:val="21"/>
                <w:lang w:bidi="ar"/>
              </w:rPr>
              <w:t>9</w:t>
            </w:r>
          </w:p>
        </w:tc>
        <w:tc>
          <w:tcPr>
            <w:tcW w:w="3522" w:type="dxa"/>
            <w:vAlign w:val="center"/>
          </w:tcPr>
          <w:p w14:paraId="60896E73">
            <w:pPr>
              <w:widowControl/>
              <w:rPr>
                <w:rFonts w:hint="eastAsia" w:hAnsi="宋体" w:cs="宋体"/>
                <w:b/>
                <w:bCs/>
                <w:color w:val="000000"/>
                <w:sz w:val="21"/>
                <w:szCs w:val="21"/>
                <w:lang w:bidi="ar"/>
              </w:rPr>
            </w:pPr>
            <w:r>
              <w:rPr>
                <w:rFonts w:hint="eastAsia" w:hAnsi="宋体" w:cs="宋体"/>
                <w:color w:val="000000"/>
                <w:sz w:val="21"/>
                <w:szCs w:val="21"/>
                <w:lang w:bidi="ar"/>
              </w:rPr>
              <w:t>单位应当通过多种形式开展经常性的消防安全宣传教育。消防安全重点单位对每名员工应当至少每年进行一次消防安全培训。</w:t>
            </w:r>
          </w:p>
        </w:tc>
        <w:tc>
          <w:tcPr>
            <w:tcW w:w="1812" w:type="dxa"/>
            <w:vAlign w:val="center"/>
          </w:tcPr>
          <w:p w14:paraId="2F600D53">
            <w:pPr>
              <w:widowControl/>
              <w:rPr>
                <w:rFonts w:hint="eastAsia" w:hAnsi="宋体" w:cs="宋体"/>
                <w:b/>
                <w:bCs/>
                <w:color w:val="000000"/>
                <w:sz w:val="21"/>
                <w:szCs w:val="21"/>
                <w:lang w:bidi="ar"/>
              </w:rPr>
            </w:pPr>
            <w:r>
              <w:rPr>
                <w:rFonts w:hint="eastAsia" w:hAnsi="宋体" w:cs="宋体"/>
                <w:color w:val="000000"/>
                <w:sz w:val="21"/>
                <w:szCs w:val="21"/>
                <w:lang w:bidi="ar"/>
              </w:rPr>
              <w:t>《机关、团体、企业、事业单位消防安全管理规定》（公安部令第61号）第三十六条</w:t>
            </w:r>
          </w:p>
        </w:tc>
        <w:tc>
          <w:tcPr>
            <w:tcW w:w="2406" w:type="dxa"/>
            <w:vAlign w:val="center"/>
          </w:tcPr>
          <w:p w14:paraId="648964FB">
            <w:pPr>
              <w:widowControl/>
              <w:rPr>
                <w:rFonts w:hint="eastAsia" w:hAnsi="宋体" w:cs="宋体"/>
                <w:b/>
                <w:bCs/>
                <w:color w:val="000000"/>
                <w:sz w:val="21"/>
                <w:szCs w:val="21"/>
                <w:lang w:bidi="ar"/>
              </w:rPr>
            </w:pPr>
            <w:r>
              <w:rPr>
                <w:rFonts w:hint="eastAsia" w:hAnsi="宋体" w:cs="宋体"/>
                <w:color w:val="000000"/>
                <w:sz w:val="21"/>
                <w:szCs w:val="21"/>
                <w:lang w:bidi="ar"/>
              </w:rPr>
              <w:t>采用消防应急演练进行宣传消防安全知识。</w:t>
            </w:r>
          </w:p>
        </w:tc>
        <w:tc>
          <w:tcPr>
            <w:tcW w:w="907" w:type="dxa"/>
            <w:vAlign w:val="center"/>
          </w:tcPr>
          <w:p w14:paraId="5429EB41">
            <w:pPr>
              <w:widowControl/>
              <w:jc w:val="center"/>
              <w:rPr>
                <w:rFonts w:hint="eastAsia" w:hAnsi="宋体" w:cs="宋体"/>
                <w:color w:val="000000"/>
                <w:sz w:val="21"/>
                <w:szCs w:val="21"/>
                <w:lang w:bidi="ar"/>
              </w:rPr>
            </w:pPr>
            <w:r>
              <w:rPr>
                <w:rFonts w:hint="eastAsia" w:hAnsi="宋体" w:cs="宋体"/>
                <w:color w:val="000000"/>
                <w:sz w:val="21"/>
                <w:szCs w:val="21"/>
                <w:lang w:bidi="ar"/>
              </w:rPr>
              <w:t>符合</w:t>
            </w:r>
          </w:p>
        </w:tc>
      </w:tr>
      <w:tr w14:paraId="1D968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5EA99389">
            <w:pPr>
              <w:widowControl/>
              <w:jc w:val="center"/>
              <w:rPr>
                <w:rFonts w:hint="eastAsia" w:hAnsi="宋体" w:cs="宋体"/>
                <w:color w:val="000000"/>
                <w:sz w:val="21"/>
                <w:szCs w:val="21"/>
                <w:lang w:bidi="ar"/>
              </w:rPr>
            </w:pPr>
            <w:r>
              <w:rPr>
                <w:rFonts w:hint="eastAsia" w:hAnsi="宋体" w:cs="宋体"/>
                <w:color w:val="000000"/>
                <w:sz w:val="21"/>
                <w:szCs w:val="21"/>
                <w:lang w:bidi="ar"/>
              </w:rPr>
              <w:t>10</w:t>
            </w:r>
          </w:p>
        </w:tc>
        <w:tc>
          <w:tcPr>
            <w:tcW w:w="3522" w:type="dxa"/>
            <w:vAlign w:val="center"/>
          </w:tcPr>
          <w:p w14:paraId="69ED4B6E">
            <w:pPr>
              <w:widowControl/>
              <w:rPr>
                <w:rFonts w:hint="eastAsia" w:hAnsi="宋体" w:cs="宋体"/>
                <w:color w:val="000000"/>
                <w:sz w:val="21"/>
                <w:szCs w:val="21"/>
                <w:lang w:bidi="ar"/>
              </w:rPr>
            </w:pPr>
            <w:r>
              <w:rPr>
                <w:rFonts w:hint="eastAsia" w:hAnsi="宋体" w:cs="宋体"/>
                <w:color w:val="000000"/>
                <w:sz w:val="21"/>
                <w:szCs w:val="21"/>
                <w:lang w:bidi="ar"/>
              </w:rPr>
              <w:t>煤矿、非煤矿山、危险化学品、烟花爆竹等生产经营单位主要负责人和安全生产管理人员，必须接受专门的安全培训，经安全生产监管监察部门对其安全生产知识和管理能力考核合格，取得安全资格证书后，方可任职。</w:t>
            </w:r>
          </w:p>
        </w:tc>
        <w:tc>
          <w:tcPr>
            <w:tcW w:w="1812" w:type="dxa"/>
            <w:vAlign w:val="center"/>
          </w:tcPr>
          <w:p w14:paraId="0ECBA6C3">
            <w:pPr>
              <w:widowControl/>
              <w:rPr>
                <w:rFonts w:hint="eastAsia" w:hAnsi="宋体" w:cs="宋体"/>
                <w:color w:val="000000"/>
                <w:sz w:val="21"/>
                <w:szCs w:val="21"/>
                <w:lang w:bidi="ar"/>
              </w:rPr>
            </w:pPr>
            <w:r>
              <w:rPr>
                <w:rFonts w:hint="eastAsia" w:hAnsi="宋体" w:cs="宋体"/>
                <w:color w:val="000000"/>
                <w:sz w:val="21"/>
                <w:szCs w:val="21"/>
                <w:lang w:bidi="ar"/>
              </w:rPr>
              <w:t>《生产经营单位安全培训规定》（国家安监总局令第3号）第六条及《国家安全监管总局关于修改〈生产经营单位安全培训规定〉等11件规章的决定》（国家安全生产监督管理总局令第63号）</w:t>
            </w:r>
          </w:p>
        </w:tc>
        <w:tc>
          <w:tcPr>
            <w:tcW w:w="2406" w:type="dxa"/>
            <w:vAlign w:val="center"/>
          </w:tcPr>
          <w:p w14:paraId="63062CF2">
            <w:pPr>
              <w:widowControl/>
              <w:rPr>
                <w:rFonts w:hint="eastAsia" w:hAnsi="宋体" w:cs="宋体"/>
                <w:color w:val="000000"/>
                <w:sz w:val="21"/>
                <w:szCs w:val="21"/>
                <w:lang w:bidi="ar"/>
              </w:rPr>
            </w:pPr>
            <w:r>
              <w:rPr>
                <w:rFonts w:hint="eastAsia" w:hAnsi="宋体" w:cs="宋体"/>
                <w:color w:val="000000"/>
                <w:sz w:val="21"/>
                <w:szCs w:val="21"/>
                <w:lang w:bidi="ar"/>
              </w:rPr>
              <w:t>主要负责人、安全员已取得安全管理资格证。</w:t>
            </w:r>
          </w:p>
        </w:tc>
        <w:tc>
          <w:tcPr>
            <w:tcW w:w="907" w:type="dxa"/>
            <w:vAlign w:val="center"/>
          </w:tcPr>
          <w:p w14:paraId="1E75FE39">
            <w:pPr>
              <w:widowControl/>
              <w:jc w:val="center"/>
              <w:rPr>
                <w:rFonts w:hint="eastAsia" w:hAnsi="宋体" w:cs="宋体"/>
                <w:color w:val="000000"/>
                <w:sz w:val="21"/>
                <w:szCs w:val="21"/>
                <w:lang w:bidi="ar"/>
              </w:rPr>
            </w:pPr>
            <w:r>
              <w:rPr>
                <w:rFonts w:hint="eastAsia" w:hAnsi="宋体" w:cs="宋体"/>
                <w:color w:val="000000"/>
                <w:sz w:val="21"/>
                <w:szCs w:val="21"/>
                <w:lang w:bidi="ar"/>
              </w:rPr>
              <w:t>符合</w:t>
            </w:r>
          </w:p>
        </w:tc>
      </w:tr>
      <w:tr w14:paraId="3DC98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0735A0A7">
            <w:pPr>
              <w:widowControl/>
              <w:jc w:val="center"/>
              <w:rPr>
                <w:rFonts w:hint="eastAsia" w:hAnsi="宋体" w:cs="宋体"/>
                <w:color w:val="000000"/>
                <w:sz w:val="21"/>
                <w:szCs w:val="21"/>
                <w:lang w:bidi="ar"/>
              </w:rPr>
            </w:pPr>
            <w:r>
              <w:rPr>
                <w:rFonts w:hint="eastAsia" w:hAnsi="宋体" w:cs="宋体"/>
                <w:color w:val="000000"/>
                <w:sz w:val="21"/>
                <w:szCs w:val="21"/>
                <w:lang w:bidi="ar"/>
              </w:rPr>
              <w:t>11</w:t>
            </w:r>
          </w:p>
        </w:tc>
        <w:tc>
          <w:tcPr>
            <w:tcW w:w="3522" w:type="dxa"/>
            <w:vAlign w:val="center"/>
          </w:tcPr>
          <w:p w14:paraId="44318C22">
            <w:pPr>
              <w:widowControl/>
              <w:rPr>
                <w:rFonts w:hint="eastAsia" w:hAnsi="宋体" w:cs="宋体"/>
                <w:color w:val="000000"/>
                <w:sz w:val="21"/>
                <w:szCs w:val="21"/>
                <w:lang w:bidi="ar"/>
              </w:rPr>
            </w:pPr>
            <w:r>
              <w:rPr>
                <w:rFonts w:hint="eastAsia" w:hAnsi="宋体" w:cs="宋体"/>
                <w:color w:val="000000"/>
                <w:sz w:val="21"/>
                <w:szCs w:val="21"/>
                <w:lang w:bidi="ar"/>
              </w:rPr>
              <w:t>生产经营单位的特种作业人员，必须按照国家有关法律、法规的规定接受专门的安全培训，经考核合格，取得特种作业操作资格证书后，方可上岗作业。</w:t>
            </w:r>
          </w:p>
        </w:tc>
        <w:tc>
          <w:tcPr>
            <w:tcW w:w="1812" w:type="dxa"/>
            <w:vAlign w:val="center"/>
          </w:tcPr>
          <w:p w14:paraId="49DA3572">
            <w:pPr>
              <w:widowControl/>
              <w:rPr>
                <w:rFonts w:hint="eastAsia" w:hAnsi="宋体" w:cs="宋体"/>
                <w:color w:val="000000"/>
                <w:sz w:val="21"/>
                <w:szCs w:val="21"/>
                <w:lang w:bidi="ar"/>
              </w:rPr>
            </w:pPr>
            <w:r>
              <w:rPr>
                <w:rFonts w:hint="eastAsia" w:hAnsi="宋体" w:cs="宋体"/>
                <w:color w:val="000000"/>
                <w:sz w:val="21"/>
                <w:szCs w:val="21"/>
                <w:lang w:bidi="ar"/>
              </w:rPr>
              <w:t>《生产经营单位安全培训规定》（国家安监总局令第3号）第二十条及《国家安全监管总局关于修改〈生产经营单位安全培训规定〉等11件规章的决定》（国家安全生产监督管理总局令第63号）</w:t>
            </w:r>
          </w:p>
        </w:tc>
        <w:tc>
          <w:tcPr>
            <w:tcW w:w="2406" w:type="dxa"/>
            <w:vAlign w:val="center"/>
          </w:tcPr>
          <w:p w14:paraId="383BE325">
            <w:pPr>
              <w:widowControl/>
              <w:rPr>
                <w:rFonts w:hint="eastAsia" w:hAnsi="宋体" w:cs="宋体"/>
                <w:color w:val="000000"/>
                <w:sz w:val="21"/>
                <w:szCs w:val="21"/>
                <w:lang w:bidi="ar"/>
              </w:rPr>
            </w:pPr>
            <w:r>
              <w:rPr>
                <w:rFonts w:hint="eastAsia" w:hAnsi="宋体" w:cs="宋体"/>
                <w:color w:val="000000"/>
                <w:sz w:val="21"/>
                <w:szCs w:val="21"/>
                <w:lang w:bidi="ar"/>
              </w:rPr>
              <w:t>本项目涉及的特种作业人员已取得了特种作业操作资格证书，且在有效期内。</w:t>
            </w:r>
          </w:p>
        </w:tc>
        <w:tc>
          <w:tcPr>
            <w:tcW w:w="907" w:type="dxa"/>
            <w:vAlign w:val="center"/>
          </w:tcPr>
          <w:p w14:paraId="21F4429D">
            <w:pPr>
              <w:widowControl/>
              <w:jc w:val="center"/>
              <w:rPr>
                <w:rFonts w:hint="eastAsia" w:hAnsi="宋体" w:cs="宋体"/>
                <w:color w:val="000000"/>
                <w:sz w:val="21"/>
                <w:szCs w:val="21"/>
                <w:lang w:bidi="ar"/>
              </w:rPr>
            </w:pPr>
            <w:r>
              <w:rPr>
                <w:rFonts w:hint="eastAsia" w:hAnsi="宋体" w:cs="宋体"/>
                <w:color w:val="000000"/>
                <w:sz w:val="21"/>
                <w:szCs w:val="21"/>
                <w:lang w:bidi="ar"/>
              </w:rPr>
              <w:t>符合</w:t>
            </w:r>
          </w:p>
        </w:tc>
      </w:tr>
      <w:tr w14:paraId="31284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1" w:type="dxa"/>
            <w:gridSpan w:val="5"/>
            <w:vAlign w:val="center"/>
          </w:tcPr>
          <w:p w14:paraId="08AD7377">
            <w:pPr>
              <w:widowControl/>
              <w:jc w:val="center"/>
              <w:rPr>
                <w:rFonts w:hint="eastAsia" w:hAnsi="宋体" w:cs="宋体"/>
                <w:color w:val="000000"/>
                <w:sz w:val="21"/>
                <w:szCs w:val="21"/>
                <w:lang w:bidi="ar"/>
              </w:rPr>
            </w:pPr>
            <w:r>
              <w:rPr>
                <w:rFonts w:hint="eastAsia" w:hAnsi="宋体" w:cs="宋体"/>
                <w:b/>
                <w:bCs/>
                <w:color w:val="000000"/>
                <w:sz w:val="21"/>
                <w:szCs w:val="21"/>
                <w:lang w:bidi="ar"/>
              </w:rPr>
              <w:t>安全投入</w:t>
            </w:r>
          </w:p>
        </w:tc>
      </w:tr>
      <w:tr w14:paraId="0FB53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52D6B3D4">
            <w:pPr>
              <w:widowControl/>
              <w:jc w:val="center"/>
              <w:rPr>
                <w:rFonts w:hint="eastAsia" w:hAnsi="宋体" w:cs="宋体"/>
                <w:color w:val="000000"/>
                <w:sz w:val="21"/>
                <w:szCs w:val="21"/>
                <w:lang w:bidi="ar"/>
              </w:rPr>
            </w:pPr>
            <w:r>
              <w:rPr>
                <w:rFonts w:hint="eastAsia" w:hAnsi="宋体" w:cs="宋体"/>
                <w:color w:val="000000"/>
                <w:sz w:val="21"/>
                <w:szCs w:val="21"/>
                <w:lang w:bidi="ar"/>
              </w:rPr>
              <w:t>12</w:t>
            </w:r>
          </w:p>
        </w:tc>
        <w:tc>
          <w:tcPr>
            <w:tcW w:w="3522" w:type="dxa"/>
            <w:shd w:val="clear" w:color="auto" w:fill="auto"/>
            <w:vAlign w:val="center"/>
          </w:tcPr>
          <w:p w14:paraId="6369E33A">
            <w:pPr>
              <w:autoSpaceDE w:val="0"/>
              <w:autoSpaceDN w:val="0"/>
              <w:adjustRightInd w:val="0"/>
              <w:snapToGrid w:val="0"/>
              <w:rPr>
                <w:rFonts w:hint="eastAsia" w:hAnsi="宋体" w:cs="宋体"/>
                <w:sz w:val="21"/>
                <w:szCs w:val="21"/>
              </w:rPr>
            </w:pPr>
            <w:r>
              <w:rPr>
                <w:rFonts w:hint="eastAsia" w:hAnsi="宋体" w:cs="宋体"/>
                <w:sz w:val="21"/>
                <w:szCs w:val="21"/>
              </w:rPr>
              <w:t>生产经营单位必须为从业人员提供符合国家标准或者行业标准的劳动防护用品，并监督、教育从业人员按照使用规则佩戴、使用。</w:t>
            </w:r>
          </w:p>
        </w:tc>
        <w:tc>
          <w:tcPr>
            <w:tcW w:w="1812" w:type="dxa"/>
            <w:shd w:val="clear" w:color="auto" w:fill="auto"/>
            <w:vAlign w:val="center"/>
          </w:tcPr>
          <w:p w14:paraId="5507DC58">
            <w:pPr>
              <w:snapToGrid w:val="0"/>
              <w:jc w:val="center"/>
              <w:rPr>
                <w:rFonts w:hint="eastAsia" w:hAnsi="宋体" w:cs="宋体"/>
                <w:sz w:val="21"/>
                <w:szCs w:val="21"/>
              </w:rPr>
            </w:pPr>
            <w:r>
              <w:rPr>
                <w:rFonts w:hint="eastAsia" w:hAnsi="宋体" w:cs="宋体"/>
                <w:sz w:val="21"/>
                <w:szCs w:val="21"/>
              </w:rPr>
              <w:t>《安全生产法》</w:t>
            </w:r>
          </w:p>
          <w:p w14:paraId="344C3B39">
            <w:pPr>
              <w:snapToGrid w:val="0"/>
              <w:jc w:val="center"/>
              <w:rPr>
                <w:rFonts w:hint="eastAsia" w:hAnsi="宋体" w:cs="宋体"/>
                <w:sz w:val="21"/>
                <w:szCs w:val="21"/>
              </w:rPr>
            </w:pPr>
            <w:r>
              <w:rPr>
                <w:rFonts w:hint="eastAsia" w:hAnsi="宋体" w:cs="宋体"/>
                <w:sz w:val="21"/>
                <w:szCs w:val="21"/>
              </w:rPr>
              <w:t>第四十二条</w:t>
            </w:r>
          </w:p>
        </w:tc>
        <w:tc>
          <w:tcPr>
            <w:tcW w:w="2406" w:type="dxa"/>
            <w:shd w:val="clear" w:color="auto" w:fill="auto"/>
            <w:vAlign w:val="center"/>
          </w:tcPr>
          <w:p w14:paraId="4F4EBE91">
            <w:pPr>
              <w:adjustRightInd w:val="0"/>
              <w:snapToGrid w:val="0"/>
              <w:rPr>
                <w:rFonts w:hint="eastAsia" w:hAnsi="宋体" w:cs="宋体"/>
                <w:sz w:val="21"/>
                <w:szCs w:val="21"/>
              </w:rPr>
            </w:pPr>
            <w:r>
              <w:rPr>
                <w:rFonts w:hint="eastAsia" w:hAnsi="宋体" w:cs="宋体"/>
                <w:sz w:val="21"/>
                <w:szCs w:val="21"/>
              </w:rPr>
              <w:t>提供防尘口罩、安全帽等劳动防护用品。</w:t>
            </w:r>
          </w:p>
        </w:tc>
        <w:tc>
          <w:tcPr>
            <w:tcW w:w="907" w:type="dxa"/>
            <w:shd w:val="clear" w:color="auto" w:fill="auto"/>
            <w:vAlign w:val="center"/>
          </w:tcPr>
          <w:p w14:paraId="68D936B9">
            <w:pPr>
              <w:autoSpaceDE w:val="0"/>
              <w:autoSpaceDN w:val="0"/>
              <w:adjustRightInd w:val="0"/>
              <w:snapToGrid w:val="0"/>
              <w:jc w:val="center"/>
              <w:rPr>
                <w:rFonts w:hint="eastAsia" w:hAnsi="宋体" w:cs="宋体"/>
                <w:sz w:val="21"/>
                <w:szCs w:val="21"/>
              </w:rPr>
            </w:pPr>
            <w:r>
              <w:rPr>
                <w:rFonts w:hint="eastAsia" w:hAnsi="宋体" w:cs="宋体"/>
                <w:sz w:val="21"/>
                <w:szCs w:val="21"/>
              </w:rPr>
              <w:t>符合</w:t>
            </w:r>
          </w:p>
        </w:tc>
      </w:tr>
      <w:tr w14:paraId="0CFA0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4FA03EB8">
            <w:pPr>
              <w:widowControl/>
              <w:jc w:val="center"/>
              <w:rPr>
                <w:rFonts w:hint="eastAsia" w:hAnsi="宋体" w:cs="宋体"/>
                <w:color w:val="000000"/>
                <w:sz w:val="21"/>
                <w:szCs w:val="21"/>
                <w:lang w:bidi="ar"/>
              </w:rPr>
            </w:pPr>
            <w:r>
              <w:rPr>
                <w:rFonts w:hint="eastAsia" w:hAnsi="宋体" w:cs="宋体"/>
                <w:color w:val="000000"/>
                <w:sz w:val="21"/>
                <w:szCs w:val="21"/>
                <w:lang w:bidi="ar"/>
              </w:rPr>
              <w:t>13</w:t>
            </w:r>
          </w:p>
        </w:tc>
        <w:tc>
          <w:tcPr>
            <w:tcW w:w="3522" w:type="dxa"/>
            <w:shd w:val="clear" w:color="auto" w:fill="auto"/>
            <w:vAlign w:val="center"/>
          </w:tcPr>
          <w:p w14:paraId="44555A91">
            <w:pPr>
              <w:autoSpaceDE w:val="0"/>
              <w:autoSpaceDN w:val="0"/>
              <w:adjustRightInd w:val="0"/>
              <w:snapToGrid w:val="0"/>
              <w:rPr>
                <w:rFonts w:hint="eastAsia" w:hAnsi="宋体" w:cs="宋体"/>
                <w:sz w:val="21"/>
                <w:szCs w:val="21"/>
              </w:rPr>
            </w:pPr>
            <w:r>
              <w:rPr>
                <w:rFonts w:hint="eastAsia" w:hAnsi="宋体" w:cs="宋体"/>
                <w:sz w:val="21"/>
                <w:szCs w:val="21"/>
              </w:rPr>
              <w:t>生产经营单位必须依法参加工伤保险，为从业人员缴纳保险费。</w:t>
            </w:r>
          </w:p>
        </w:tc>
        <w:tc>
          <w:tcPr>
            <w:tcW w:w="1812" w:type="dxa"/>
            <w:shd w:val="clear" w:color="auto" w:fill="auto"/>
            <w:vAlign w:val="center"/>
          </w:tcPr>
          <w:p w14:paraId="2AF26F85">
            <w:pPr>
              <w:snapToGrid w:val="0"/>
              <w:jc w:val="center"/>
              <w:rPr>
                <w:rFonts w:hint="eastAsia" w:hAnsi="宋体" w:cs="宋体"/>
                <w:sz w:val="21"/>
                <w:szCs w:val="21"/>
              </w:rPr>
            </w:pPr>
            <w:r>
              <w:rPr>
                <w:rFonts w:hint="eastAsia" w:hAnsi="宋体" w:cs="宋体"/>
                <w:sz w:val="21"/>
                <w:szCs w:val="21"/>
              </w:rPr>
              <w:t>《安全生产法》</w:t>
            </w:r>
          </w:p>
          <w:p w14:paraId="27FC21B1">
            <w:pPr>
              <w:snapToGrid w:val="0"/>
              <w:jc w:val="center"/>
              <w:rPr>
                <w:rFonts w:hint="eastAsia" w:hAnsi="宋体" w:cs="宋体"/>
                <w:sz w:val="21"/>
                <w:szCs w:val="21"/>
              </w:rPr>
            </w:pPr>
            <w:r>
              <w:rPr>
                <w:rFonts w:hint="eastAsia" w:hAnsi="宋体" w:cs="宋体"/>
                <w:sz w:val="21"/>
                <w:szCs w:val="21"/>
              </w:rPr>
              <w:t>第四十八条</w:t>
            </w:r>
          </w:p>
        </w:tc>
        <w:tc>
          <w:tcPr>
            <w:tcW w:w="2406" w:type="dxa"/>
            <w:shd w:val="clear" w:color="auto" w:fill="auto"/>
            <w:vAlign w:val="center"/>
          </w:tcPr>
          <w:p w14:paraId="13410C5F">
            <w:pPr>
              <w:adjustRightInd w:val="0"/>
              <w:snapToGrid w:val="0"/>
              <w:rPr>
                <w:rFonts w:hint="eastAsia" w:hAnsi="宋体" w:cs="宋体"/>
                <w:sz w:val="21"/>
                <w:szCs w:val="21"/>
              </w:rPr>
            </w:pPr>
            <w:r>
              <w:rPr>
                <w:rFonts w:hint="eastAsia" w:hAnsi="宋体" w:cs="宋体"/>
                <w:sz w:val="21"/>
                <w:szCs w:val="21"/>
              </w:rPr>
              <w:t>缴纳了工伤保险。</w:t>
            </w:r>
          </w:p>
        </w:tc>
        <w:tc>
          <w:tcPr>
            <w:tcW w:w="907" w:type="dxa"/>
            <w:shd w:val="clear" w:color="auto" w:fill="auto"/>
            <w:vAlign w:val="center"/>
          </w:tcPr>
          <w:p w14:paraId="7E2255E7">
            <w:pPr>
              <w:autoSpaceDE w:val="0"/>
              <w:autoSpaceDN w:val="0"/>
              <w:adjustRightInd w:val="0"/>
              <w:snapToGrid w:val="0"/>
              <w:jc w:val="center"/>
              <w:rPr>
                <w:rFonts w:hint="eastAsia" w:hAnsi="宋体" w:cs="宋体"/>
                <w:sz w:val="21"/>
                <w:szCs w:val="21"/>
              </w:rPr>
            </w:pPr>
            <w:r>
              <w:rPr>
                <w:rFonts w:hint="eastAsia" w:hAnsi="宋体" w:cs="宋体"/>
                <w:sz w:val="21"/>
                <w:szCs w:val="21"/>
              </w:rPr>
              <w:t>符合</w:t>
            </w:r>
          </w:p>
        </w:tc>
      </w:tr>
      <w:tr w14:paraId="13ACA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1" w:type="dxa"/>
            <w:gridSpan w:val="5"/>
            <w:vAlign w:val="center"/>
          </w:tcPr>
          <w:p w14:paraId="53C2C11F">
            <w:pPr>
              <w:widowControl/>
              <w:jc w:val="center"/>
              <w:rPr>
                <w:rFonts w:hint="eastAsia" w:hAnsi="宋体" w:cs="宋体"/>
                <w:sz w:val="21"/>
                <w:szCs w:val="21"/>
              </w:rPr>
            </w:pPr>
            <w:r>
              <w:rPr>
                <w:rFonts w:hint="eastAsia" w:hAnsi="宋体" w:cs="宋体"/>
                <w:b/>
                <w:bCs/>
                <w:color w:val="000000"/>
                <w:sz w:val="21"/>
                <w:szCs w:val="21"/>
                <w:lang w:bidi="ar"/>
              </w:rPr>
              <w:t>特种设备安全管理</w:t>
            </w:r>
          </w:p>
        </w:tc>
      </w:tr>
      <w:tr w14:paraId="455C4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3072C3AE">
            <w:pPr>
              <w:widowControl/>
              <w:jc w:val="center"/>
              <w:rPr>
                <w:rFonts w:hint="eastAsia" w:hAnsi="宋体" w:cs="宋体"/>
                <w:color w:val="000000"/>
                <w:sz w:val="21"/>
                <w:szCs w:val="21"/>
                <w:lang w:bidi="ar"/>
              </w:rPr>
            </w:pPr>
            <w:r>
              <w:rPr>
                <w:rFonts w:hint="eastAsia" w:hAnsi="宋体" w:cs="宋体"/>
                <w:color w:val="000000"/>
                <w:sz w:val="21"/>
                <w:szCs w:val="21"/>
                <w:lang w:bidi="ar"/>
              </w:rPr>
              <w:t>14</w:t>
            </w:r>
          </w:p>
        </w:tc>
        <w:tc>
          <w:tcPr>
            <w:tcW w:w="3522" w:type="dxa"/>
            <w:shd w:val="clear" w:color="auto" w:fill="auto"/>
            <w:vAlign w:val="center"/>
          </w:tcPr>
          <w:p w14:paraId="61402172">
            <w:pPr>
              <w:widowControl/>
              <w:jc w:val="left"/>
              <w:rPr>
                <w:rFonts w:hint="eastAsia" w:hAnsi="宋体" w:cs="宋体"/>
                <w:sz w:val="21"/>
                <w:szCs w:val="21"/>
              </w:rPr>
            </w:pPr>
            <w:r>
              <w:rPr>
                <w:rFonts w:hint="eastAsia" w:hAnsi="宋体" w:cs="宋体"/>
                <w:color w:val="000000"/>
                <w:sz w:val="21"/>
                <w:szCs w:val="21"/>
                <w:lang w:bidi="ar"/>
              </w:rPr>
              <w:t>生产经营单位使用的危险物品的容器、运输工具，以及涉及人身安全、</w:t>
            </w:r>
          </w:p>
          <w:p w14:paraId="725D4117">
            <w:pPr>
              <w:widowControl/>
              <w:jc w:val="left"/>
              <w:rPr>
                <w:rFonts w:hint="eastAsia" w:hAnsi="宋体" w:cs="宋体"/>
                <w:sz w:val="21"/>
                <w:szCs w:val="21"/>
              </w:rPr>
            </w:pPr>
            <w:r>
              <w:rPr>
                <w:rFonts w:hint="eastAsia" w:hAnsi="宋体" w:cs="宋体"/>
                <w:color w:val="000000"/>
                <w:sz w:val="21"/>
                <w:szCs w:val="21"/>
                <w:lang w:bidi="ar"/>
              </w:rPr>
              <w:t>危险性较大的海洋石油开采特种设备和矿山井下特种设备，必须按照国家有关规定，由专业生产单位生产，并经具有专业资质的检测、检验机构检测、检验合格，取得安全使用证或者安全标志，方可投入使用。检测、检验机构对检测、检验结果负责。</w:t>
            </w:r>
          </w:p>
        </w:tc>
        <w:tc>
          <w:tcPr>
            <w:tcW w:w="1812" w:type="dxa"/>
            <w:shd w:val="clear" w:color="auto" w:fill="auto"/>
            <w:vAlign w:val="center"/>
          </w:tcPr>
          <w:p w14:paraId="0510DA61">
            <w:pPr>
              <w:widowControl/>
              <w:jc w:val="left"/>
              <w:rPr>
                <w:rFonts w:hint="eastAsia" w:hAnsi="宋体" w:cs="宋体"/>
                <w:sz w:val="21"/>
                <w:szCs w:val="21"/>
              </w:rPr>
            </w:pPr>
            <w:r>
              <w:rPr>
                <w:rFonts w:hint="eastAsia" w:hAnsi="宋体" w:cs="宋体"/>
                <w:color w:val="000000"/>
                <w:sz w:val="21"/>
                <w:szCs w:val="21"/>
                <w:lang w:bidi="ar"/>
              </w:rPr>
              <w:t>《中华人民共和国安全生产法》</w:t>
            </w:r>
          </w:p>
          <w:p w14:paraId="7C45AF0B">
            <w:pPr>
              <w:widowControl/>
              <w:jc w:val="left"/>
              <w:rPr>
                <w:rFonts w:hint="eastAsia" w:hAnsi="宋体" w:cs="宋体"/>
                <w:sz w:val="21"/>
                <w:szCs w:val="21"/>
              </w:rPr>
            </w:pPr>
            <w:r>
              <w:rPr>
                <w:rFonts w:hint="eastAsia" w:hAnsi="宋体" w:cs="宋体"/>
                <w:color w:val="000000"/>
                <w:sz w:val="21"/>
                <w:szCs w:val="21"/>
                <w:lang w:bidi="ar"/>
              </w:rPr>
              <w:t>第37条</w:t>
            </w:r>
          </w:p>
          <w:p w14:paraId="1D524A7E">
            <w:pPr>
              <w:snapToGrid w:val="0"/>
              <w:jc w:val="center"/>
              <w:rPr>
                <w:rFonts w:hint="eastAsia" w:hAnsi="宋体" w:cs="宋体"/>
                <w:sz w:val="21"/>
                <w:szCs w:val="21"/>
              </w:rPr>
            </w:pPr>
          </w:p>
        </w:tc>
        <w:tc>
          <w:tcPr>
            <w:tcW w:w="2406" w:type="dxa"/>
            <w:shd w:val="clear" w:color="auto" w:fill="auto"/>
            <w:vAlign w:val="center"/>
          </w:tcPr>
          <w:p w14:paraId="1BB9F274">
            <w:pPr>
              <w:widowControl/>
              <w:jc w:val="left"/>
              <w:rPr>
                <w:rFonts w:hint="eastAsia" w:hAnsi="宋体" w:cs="宋体"/>
                <w:sz w:val="21"/>
                <w:szCs w:val="21"/>
              </w:rPr>
            </w:pPr>
            <w:r>
              <w:rPr>
                <w:rFonts w:hint="eastAsia" w:hAnsi="宋体" w:cs="宋体"/>
                <w:color w:val="000000"/>
                <w:sz w:val="21"/>
                <w:szCs w:val="21"/>
                <w:lang w:bidi="ar"/>
              </w:rPr>
              <w:t>本项目投入使用的特种该设备（起重设备）经过玉溪市质量技术监督综合检测中心检测、检验合格后投入使用。</w:t>
            </w:r>
          </w:p>
        </w:tc>
        <w:tc>
          <w:tcPr>
            <w:tcW w:w="907" w:type="dxa"/>
            <w:shd w:val="clear" w:color="auto" w:fill="auto"/>
            <w:vAlign w:val="center"/>
          </w:tcPr>
          <w:p w14:paraId="356EACD0">
            <w:pPr>
              <w:autoSpaceDE w:val="0"/>
              <w:autoSpaceDN w:val="0"/>
              <w:adjustRightInd w:val="0"/>
              <w:snapToGrid w:val="0"/>
              <w:jc w:val="center"/>
              <w:rPr>
                <w:rFonts w:hint="eastAsia" w:hAnsi="宋体" w:cs="宋体"/>
                <w:sz w:val="21"/>
                <w:szCs w:val="21"/>
              </w:rPr>
            </w:pPr>
            <w:r>
              <w:rPr>
                <w:rFonts w:hint="eastAsia" w:hAnsi="宋体" w:cs="宋体"/>
                <w:sz w:val="21"/>
                <w:szCs w:val="21"/>
              </w:rPr>
              <w:t>符合</w:t>
            </w:r>
          </w:p>
        </w:tc>
      </w:tr>
      <w:tr w14:paraId="19FC5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763D24DB">
            <w:pPr>
              <w:widowControl/>
              <w:jc w:val="center"/>
              <w:rPr>
                <w:rFonts w:hint="eastAsia" w:hAnsi="宋体" w:cs="宋体"/>
                <w:color w:val="000000"/>
                <w:sz w:val="21"/>
                <w:szCs w:val="21"/>
                <w:lang w:bidi="ar"/>
              </w:rPr>
            </w:pPr>
            <w:r>
              <w:rPr>
                <w:rFonts w:hint="eastAsia" w:hAnsi="宋体" w:cs="宋体"/>
                <w:color w:val="000000"/>
                <w:sz w:val="21"/>
                <w:szCs w:val="21"/>
                <w:lang w:bidi="ar"/>
              </w:rPr>
              <w:t>15</w:t>
            </w:r>
          </w:p>
        </w:tc>
        <w:tc>
          <w:tcPr>
            <w:tcW w:w="3522" w:type="dxa"/>
            <w:shd w:val="clear" w:color="auto" w:fill="auto"/>
            <w:vAlign w:val="center"/>
          </w:tcPr>
          <w:p w14:paraId="7A914E88">
            <w:pPr>
              <w:widowControl/>
              <w:jc w:val="left"/>
              <w:rPr>
                <w:rFonts w:hint="eastAsia" w:hAnsi="宋体" w:cs="宋体"/>
                <w:color w:val="000000"/>
                <w:sz w:val="21"/>
                <w:szCs w:val="21"/>
                <w:lang w:bidi="ar"/>
              </w:rPr>
            </w:pPr>
            <w:r>
              <w:rPr>
                <w:rFonts w:hint="eastAsia" w:hAnsi="宋体" w:cs="宋体"/>
                <w:color w:val="000000"/>
                <w:sz w:val="21"/>
                <w:szCs w:val="21"/>
                <w:lang w:bidi="ar"/>
              </w:rPr>
              <w:t>特种设备使用单位应当使用取得许可生产并经检验合格的特种设备。禁止使用国家明令淘汰和已经报废的特种设备。</w:t>
            </w:r>
          </w:p>
        </w:tc>
        <w:tc>
          <w:tcPr>
            <w:tcW w:w="1812" w:type="dxa"/>
            <w:shd w:val="clear" w:color="auto" w:fill="auto"/>
            <w:vAlign w:val="center"/>
          </w:tcPr>
          <w:p w14:paraId="34C51584">
            <w:pPr>
              <w:widowControl/>
              <w:jc w:val="left"/>
              <w:rPr>
                <w:rFonts w:hint="eastAsia" w:hAnsi="宋体" w:cs="宋体"/>
                <w:sz w:val="21"/>
                <w:szCs w:val="21"/>
              </w:rPr>
            </w:pPr>
            <w:r>
              <w:rPr>
                <w:rFonts w:hint="eastAsia" w:hAnsi="宋体" w:cs="宋体"/>
                <w:color w:val="000000"/>
                <w:sz w:val="21"/>
                <w:szCs w:val="21"/>
                <w:lang w:bidi="ar"/>
              </w:rPr>
              <w:t>《中华人民共和国特种设备安全法》</w:t>
            </w:r>
          </w:p>
          <w:p w14:paraId="7B51906C">
            <w:pPr>
              <w:widowControl/>
              <w:jc w:val="left"/>
              <w:rPr>
                <w:rFonts w:hint="eastAsia" w:hAnsi="宋体" w:cs="宋体"/>
                <w:sz w:val="21"/>
                <w:szCs w:val="21"/>
              </w:rPr>
            </w:pPr>
            <w:r>
              <w:rPr>
                <w:rFonts w:hint="eastAsia" w:hAnsi="宋体" w:cs="宋体"/>
                <w:color w:val="000000"/>
                <w:sz w:val="21"/>
                <w:szCs w:val="21"/>
                <w:lang w:bidi="ar"/>
              </w:rPr>
              <w:t>第32条</w:t>
            </w:r>
          </w:p>
        </w:tc>
        <w:tc>
          <w:tcPr>
            <w:tcW w:w="2406" w:type="dxa"/>
            <w:shd w:val="clear" w:color="auto" w:fill="auto"/>
            <w:vAlign w:val="center"/>
          </w:tcPr>
          <w:p w14:paraId="2DC8FE07">
            <w:pPr>
              <w:widowControl/>
              <w:jc w:val="left"/>
              <w:rPr>
                <w:rFonts w:hint="eastAsia" w:hAnsi="宋体" w:cs="宋体"/>
                <w:color w:val="000000"/>
                <w:sz w:val="21"/>
                <w:szCs w:val="21"/>
                <w:lang w:bidi="ar"/>
              </w:rPr>
            </w:pPr>
            <w:r>
              <w:rPr>
                <w:rFonts w:hint="eastAsia" w:hAnsi="宋体" w:cs="宋体"/>
                <w:color w:val="000000"/>
                <w:sz w:val="21"/>
                <w:szCs w:val="21"/>
                <w:lang w:bidi="ar"/>
              </w:rPr>
              <w:t>未使用国家明令淘汰和已经报废的特种设备。</w:t>
            </w:r>
          </w:p>
        </w:tc>
        <w:tc>
          <w:tcPr>
            <w:tcW w:w="907" w:type="dxa"/>
            <w:shd w:val="clear" w:color="auto" w:fill="auto"/>
            <w:vAlign w:val="center"/>
          </w:tcPr>
          <w:p w14:paraId="7AF4F575">
            <w:pPr>
              <w:autoSpaceDE w:val="0"/>
              <w:autoSpaceDN w:val="0"/>
              <w:adjustRightInd w:val="0"/>
              <w:snapToGrid w:val="0"/>
              <w:jc w:val="center"/>
              <w:rPr>
                <w:rFonts w:hint="eastAsia" w:hAnsi="宋体" w:cs="宋体"/>
                <w:sz w:val="21"/>
                <w:szCs w:val="21"/>
              </w:rPr>
            </w:pPr>
            <w:r>
              <w:rPr>
                <w:rFonts w:hint="eastAsia" w:hAnsi="宋体" w:cs="宋体"/>
                <w:sz w:val="21"/>
                <w:szCs w:val="21"/>
              </w:rPr>
              <w:t>符合</w:t>
            </w:r>
          </w:p>
        </w:tc>
      </w:tr>
      <w:tr w14:paraId="0AF40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103C73FC">
            <w:pPr>
              <w:widowControl/>
              <w:jc w:val="center"/>
              <w:rPr>
                <w:rFonts w:hint="eastAsia" w:hAnsi="宋体" w:cs="宋体"/>
                <w:color w:val="000000"/>
                <w:sz w:val="21"/>
                <w:szCs w:val="21"/>
                <w:lang w:bidi="ar"/>
              </w:rPr>
            </w:pPr>
            <w:r>
              <w:rPr>
                <w:rFonts w:hint="eastAsia" w:hAnsi="宋体" w:cs="宋体"/>
                <w:color w:val="000000"/>
                <w:sz w:val="21"/>
                <w:szCs w:val="21"/>
                <w:lang w:bidi="ar"/>
              </w:rPr>
              <w:t>16</w:t>
            </w:r>
          </w:p>
        </w:tc>
        <w:tc>
          <w:tcPr>
            <w:tcW w:w="3522" w:type="dxa"/>
            <w:shd w:val="clear" w:color="auto" w:fill="auto"/>
            <w:vAlign w:val="center"/>
          </w:tcPr>
          <w:p w14:paraId="5F799A11">
            <w:pPr>
              <w:widowControl/>
              <w:jc w:val="left"/>
              <w:rPr>
                <w:rFonts w:hint="eastAsia" w:hAnsi="宋体" w:cs="宋体"/>
                <w:color w:val="000000"/>
                <w:sz w:val="21"/>
                <w:szCs w:val="21"/>
                <w:lang w:bidi="ar"/>
              </w:rPr>
            </w:pPr>
            <w:r>
              <w:rPr>
                <w:rFonts w:hint="eastAsia" w:hAnsi="宋体" w:cs="宋体"/>
                <w:color w:val="000000"/>
                <w:sz w:val="21"/>
                <w:szCs w:val="21"/>
                <w:lang w:bidi="ar"/>
              </w:rPr>
              <w:t>特种设备使用单位应当在特种设备投入使用前或者投入使用后三十日内，向负责特种设备安全监督管理的部门办理使用登记，取得使用登记证书。登记标志应当置于该特种设备的显着位置。</w:t>
            </w:r>
          </w:p>
        </w:tc>
        <w:tc>
          <w:tcPr>
            <w:tcW w:w="1812" w:type="dxa"/>
            <w:shd w:val="clear" w:color="auto" w:fill="auto"/>
            <w:vAlign w:val="center"/>
          </w:tcPr>
          <w:p w14:paraId="4D80EFE1">
            <w:pPr>
              <w:widowControl/>
              <w:jc w:val="left"/>
              <w:rPr>
                <w:rFonts w:hint="eastAsia" w:hAnsi="宋体" w:cs="宋体"/>
                <w:sz w:val="21"/>
                <w:szCs w:val="21"/>
              </w:rPr>
            </w:pPr>
            <w:r>
              <w:rPr>
                <w:rFonts w:hint="eastAsia" w:hAnsi="宋体" w:cs="宋体"/>
                <w:color w:val="000000"/>
                <w:sz w:val="21"/>
                <w:szCs w:val="21"/>
                <w:lang w:bidi="ar"/>
              </w:rPr>
              <w:t>《中华人民共和国特种设备安全法》</w:t>
            </w:r>
          </w:p>
          <w:p w14:paraId="674C8DCD">
            <w:pPr>
              <w:widowControl/>
              <w:jc w:val="left"/>
              <w:rPr>
                <w:rFonts w:hint="eastAsia" w:hAnsi="宋体" w:cs="宋体"/>
                <w:color w:val="000000"/>
                <w:sz w:val="21"/>
                <w:szCs w:val="21"/>
                <w:lang w:bidi="ar"/>
              </w:rPr>
            </w:pPr>
            <w:r>
              <w:rPr>
                <w:rFonts w:hint="eastAsia" w:hAnsi="宋体" w:cs="宋体"/>
                <w:color w:val="000000"/>
                <w:sz w:val="21"/>
                <w:szCs w:val="21"/>
                <w:lang w:bidi="ar"/>
              </w:rPr>
              <w:t>第33条</w:t>
            </w:r>
          </w:p>
        </w:tc>
        <w:tc>
          <w:tcPr>
            <w:tcW w:w="2406" w:type="dxa"/>
            <w:shd w:val="clear" w:color="auto" w:fill="auto"/>
            <w:vAlign w:val="center"/>
          </w:tcPr>
          <w:p w14:paraId="57286A80">
            <w:pPr>
              <w:widowControl/>
              <w:jc w:val="left"/>
              <w:rPr>
                <w:rFonts w:hint="eastAsia" w:hAnsi="宋体" w:cs="宋体"/>
                <w:color w:val="000000"/>
                <w:sz w:val="21"/>
                <w:szCs w:val="21"/>
                <w:lang w:bidi="ar"/>
              </w:rPr>
            </w:pPr>
            <w:r>
              <w:rPr>
                <w:rFonts w:hint="eastAsia" w:hAnsi="宋体" w:cs="宋体"/>
                <w:color w:val="000000"/>
                <w:sz w:val="21"/>
                <w:szCs w:val="21"/>
                <w:lang w:bidi="ar"/>
              </w:rPr>
              <w:t>企业使用的特种设备已向当地主管部门办理了使用登记手续，取得了使用登记证。</w:t>
            </w:r>
          </w:p>
        </w:tc>
        <w:tc>
          <w:tcPr>
            <w:tcW w:w="907" w:type="dxa"/>
            <w:shd w:val="clear" w:color="auto" w:fill="auto"/>
            <w:vAlign w:val="center"/>
          </w:tcPr>
          <w:p w14:paraId="69F548B2">
            <w:pPr>
              <w:autoSpaceDE w:val="0"/>
              <w:autoSpaceDN w:val="0"/>
              <w:adjustRightInd w:val="0"/>
              <w:snapToGrid w:val="0"/>
              <w:jc w:val="center"/>
              <w:rPr>
                <w:rFonts w:hint="eastAsia" w:hAnsi="宋体" w:cs="宋体"/>
                <w:sz w:val="21"/>
                <w:szCs w:val="21"/>
              </w:rPr>
            </w:pPr>
            <w:r>
              <w:rPr>
                <w:rFonts w:hint="eastAsia" w:hAnsi="宋体" w:cs="宋体"/>
                <w:sz w:val="21"/>
                <w:szCs w:val="21"/>
              </w:rPr>
              <w:t>符合</w:t>
            </w:r>
          </w:p>
        </w:tc>
      </w:tr>
      <w:tr w14:paraId="0EE4A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09AAA555">
            <w:pPr>
              <w:widowControl/>
              <w:jc w:val="center"/>
              <w:rPr>
                <w:rFonts w:hint="eastAsia" w:hAnsi="宋体" w:cs="宋体"/>
                <w:color w:val="000000"/>
                <w:sz w:val="21"/>
                <w:szCs w:val="21"/>
                <w:lang w:bidi="ar"/>
              </w:rPr>
            </w:pPr>
            <w:r>
              <w:rPr>
                <w:rFonts w:hint="eastAsia" w:hAnsi="宋体" w:cs="宋体"/>
                <w:color w:val="000000"/>
                <w:sz w:val="21"/>
                <w:szCs w:val="21"/>
                <w:lang w:bidi="ar"/>
              </w:rPr>
              <w:t>17</w:t>
            </w:r>
          </w:p>
        </w:tc>
        <w:tc>
          <w:tcPr>
            <w:tcW w:w="3522" w:type="dxa"/>
            <w:shd w:val="clear" w:color="auto" w:fill="auto"/>
            <w:vAlign w:val="center"/>
          </w:tcPr>
          <w:p w14:paraId="6F3455FE">
            <w:pPr>
              <w:widowControl/>
              <w:jc w:val="left"/>
              <w:rPr>
                <w:rFonts w:hint="eastAsia" w:hAnsi="宋体" w:cs="宋体"/>
                <w:color w:val="000000"/>
                <w:sz w:val="21"/>
                <w:szCs w:val="21"/>
                <w:lang w:bidi="ar"/>
              </w:rPr>
            </w:pPr>
            <w:r>
              <w:rPr>
                <w:rFonts w:hint="eastAsia" w:hAnsi="宋体" w:cs="宋体"/>
                <w:color w:val="000000"/>
                <w:sz w:val="21"/>
                <w:szCs w:val="21"/>
                <w:lang w:bidi="ar"/>
              </w:rPr>
              <w:t>特种设备使用单位应当对其使用的特种设备进行经常性维护保养和定期自行检查，并作出记录。特种设备使用单位应当对其使用的特种设备的安全附件、安全保护装置进行定期校验、检修，并作出记录。</w:t>
            </w:r>
          </w:p>
        </w:tc>
        <w:tc>
          <w:tcPr>
            <w:tcW w:w="1812" w:type="dxa"/>
            <w:shd w:val="clear" w:color="auto" w:fill="auto"/>
            <w:vAlign w:val="center"/>
          </w:tcPr>
          <w:p w14:paraId="6F799142">
            <w:pPr>
              <w:widowControl/>
              <w:jc w:val="left"/>
              <w:rPr>
                <w:rFonts w:hint="eastAsia" w:hAnsi="宋体" w:cs="宋体"/>
                <w:sz w:val="21"/>
                <w:szCs w:val="21"/>
              </w:rPr>
            </w:pPr>
            <w:r>
              <w:rPr>
                <w:rFonts w:hint="eastAsia" w:hAnsi="宋体" w:cs="宋体"/>
                <w:color w:val="000000"/>
                <w:sz w:val="21"/>
                <w:szCs w:val="21"/>
                <w:lang w:bidi="ar"/>
              </w:rPr>
              <w:t>《中华人民共和国特种设备安全法》</w:t>
            </w:r>
          </w:p>
          <w:p w14:paraId="4E294531">
            <w:pPr>
              <w:widowControl/>
              <w:jc w:val="left"/>
              <w:rPr>
                <w:rFonts w:hint="eastAsia" w:hAnsi="宋体" w:cs="宋体"/>
                <w:color w:val="000000"/>
                <w:sz w:val="21"/>
                <w:szCs w:val="21"/>
                <w:lang w:bidi="ar"/>
              </w:rPr>
            </w:pPr>
            <w:r>
              <w:rPr>
                <w:rFonts w:hint="eastAsia" w:hAnsi="宋体" w:cs="宋体"/>
                <w:color w:val="000000"/>
                <w:sz w:val="21"/>
                <w:szCs w:val="21"/>
                <w:lang w:bidi="ar"/>
              </w:rPr>
              <w:t>第39条</w:t>
            </w:r>
          </w:p>
        </w:tc>
        <w:tc>
          <w:tcPr>
            <w:tcW w:w="2406" w:type="dxa"/>
            <w:shd w:val="clear" w:color="auto" w:fill="auto"/>
            <w:vAlign w:val="center"/>
          </w:tcPr>
          <w:p w14:paraId="4BAB4D65">
            <w:pPr>
              <w:widowControl/>
              <w:jc w:val="left"/>
              <w:rPr>
                <w:rFonts w:hint="eastAsia" w:hAnsi="宋体" w:cs="宋体"/>
                <w:color w:val="000000"/>
                <w:sz w:val="21"/>
                <w:szCs w:val="21"/>
                <w:lang w:bidi="ar"/>
              </w:rPr>
            </w:pPr>
            <w:r>
              <w:rPr>
                <w:rFonts w:hint="eastAsia" w:hAnsi="宋体" w:cs="宋体"/>
                <w:color w:val="000000"/>
                <w:sz w:val="21"/>
                <w:szCs w:val="21"/>
                <w:lang w:bidi="ar"/>
              </w:rPr>
              <w:t>该项目使用的特种设备进行经常性维护保养和定期自行检查，并作出记录。</w:t>
            </w:r>
          </w:p>
        </w:tc>
        <w:tc>
          <w:tcPr>
            <w:tcW w:w="907" w:type="dxa"/>
            <w:shd w:val="clear" w:color="auto" w:fill="auto"/>
            <w:vAlign w:val="center"/>
          </w:tcPr>
          <w:p w14:paraId="2508F103">
            <w:pPr>
              <w:autoSpaceDE w:val="0"/>
              <w:autoSpaceDN w:val="0"/>
              <w:adjustRightInd w:val="0"/>
              <w:snapToGrid w:val="0"/>
              <w:jc w:val="center"/>
              <w:rPr>
                <w:rFonts w:hint="eastAsia" w:hAnsi="宋体" w:cs="宋体"/>
                <w:sz w:val="21"/>
                <w:szCs w:val="21"/>
              </w:rPr>
            </w:pPr>
            <w:r>
              <w:rPr>
                <w:rFonts w:hint="eastAsia" w:hAnsi="宋体" w:cs="宋体"/>
                <w:sz w:val="21"/>
                <w:szCs w:val="21"/>
              </w:rPr>
              <w:t>符合</w:t>
            </w:r>
          </w:p>
        </w:tc>
      </w:tr>
      <w:tr w14:paraId="3FB46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57D62A47">
            <w:pPr>
              <w:widowControl/>
              <w:jc w:val="center"/>
              <w:rPr>
                <w:rFonts w:hint="eastAsia" w:hAnsi="宋体" w:cs="宋体"/>
                <w:color w:val="000000"/>
                <w:sz w:val="21"/>
                <w:szCs w:val="21"/>
                <w:lang w:bidi="ar"/>
              </w:rPr>
            </w:pPr>
            <w:r>
              <w:rPr>
                <w:rFonts w:hint="eastAsia" w:hAnsi="宋体" w:cs="宋体"/>
                <w:color w:val="000000"/>
                <w:sz w:val="21"/>
                <w:szCs w:val="21"/>
                <w:lang w:bidi="ar"/>
              </w:rPr>
              <w:t>18</w:t>
            </w:r>
          </w:p>
        </w:tc>
        <w:tc>
          <w:tcPr>
            <w:tcW w:w="3522" w:type="dxa"/>
            <w:shd w:val="clear" w:color="auto" w:fill="auto"/>
            <w:vAlign w:val="center"/>
          </w:tcPr>
          <w:p w14:paraId="06161243">
            <w:pPr>
              <w:widowControl/>
              <w:jc w:val="left"/>
              <w:rPr>
                <w:rFonts w:hint="eastAsia" w:hAnsi="宋体" w:cs="宋体"/>
                <w:sz w:val="21"/>
                <w:szCs w:val="21"/>
              </w:rPr>
            </w:pPr>
            <w:r>
              <w:rPr>
                <w:rFonts w:hint="eastAsia" w:hAnsi="宋体" w:cs="宋体"/>
                <w:color w:val="000000"/>
                <w:sz w:val="21"/>
                <w:szCs w:val="21"/>
                <w:lang w:bidi="ar"/>
              </w:rPr>
              <w:t>特种设备使用单位应当建立特种设备安全技术档案。安全技术档案应当包括以下内容：</w:t>
            </w:r>
          </w:p>
          <w:p w14:paraId="127908D7">
            <w:pPr>
              <w:widowControl/>
              <w:jc w:val="left"/>
              <w:rPr>
                <w:rFonts w:hint="eastAsia" w:hAnsi="宋体" w:cs="宋体"/>
                <w:sz w:val="21"/>
                <w:szCs w:val="21"/>
              </w:rPr>
            </w:pPr>
            <w:r>
              <w:rPr>
                <w:rFonts w:hint="eastAsia" w:hAnsi="宋体" w:cs="宋体"/>
                <w:color w:val="000000"/>
                <w:sz w:val="21"/>
                <w:szCs w:val="21"/>
                <w:lang w:bidi="ar"/>
              </w:rPr>
              <w:t>（一）特种设备的设计文件、制造单位、产品质量合格证明、使用维护说</w:t>
            </w:r>
          </w:p>
          <w:p w14:paraId="263AFDE2">
            <w:pPr>
              <w:widowControl/>
              <w:jc w:val="left"/>
              <w:rPr>
                <w:rFonts w:hint="eastAsia" w:hAnsi="宋体" w:cs="宋体"/>
                <w:sz w:val="21"/>
                <w:szCs w:val="21"/>
              </w:rPr>
            </w:pPr>
            <w:r>
              <w:rPr>
                <w:rFonts w:hint="eastAsia" w:hAnsi="宋体" w:cs="宋体"/>
                <w:color w:val="000000"/>
                <w:sz w:val="21"/>
                <w:szCs w:val="21"/>
                <w:lang w:bidi="ar"/>
              </w:rPr>
              <w:t>明等文件以及安装技术文件和资料；</w:t>
            </w:r>
          </w:p>
          <w:p w14:paraId="7A3DCDE0">
            <w:pPr>
              <w:widowControl/>
              <w:jc w:val="left"/>
              <w:rPr>
                <w:rFonts w:hint="eastAsia" w:hAnsi="宋体" w:cs="宋体"/>
                <w:sz w:val="21"/>
                <w:szCs w:val="21"/>
              </w:rPr>
            </w:pPr>
            <w:r>
              <w:rPr>
                <w:rFonts w:hint="eastAsia" w:hAnsi="宋体" w:cs="宋体"/>
                <w:color w:val="000000"/>
                <w:sz w:val="21"/>
                <w:szCs w:val="21"/>
                <w:lang w:bidi="ar"/>
              </w:rPr>
              <w:t>（二）特种设备的定期检验和定期自行检查的记录；</w:t>
            </w:r>
          </w:p>
          <w:p w14:paraId="3979DE9B">
            <w:pPr>
              <w:widowControl/>
              <w:jc w:val="left"/>
              <w:rPr>
                <w:rFonts w:hint="eastAsia" w:hAnsi="宋体" w:cs="宋体"/>
                <w:sz w:val="21"/>
                <w:szCs w:val="21"/>
              </w:rPr>
            </w:pPr>
            <w:r>
              <w:rPr>
                <w:rFonts w:hint="eastAsia" w:hAnsi="宋体" w:cs="宋体"/>
                <w:color w:val="000000"/>
                <w:sz w:val="21"/>
                <w:szCs w:val="21"/>
                <w:lang w:bidi="ar"/>
              </w:rPr>
              <w:t>（三）特种设备的日常使用状况记录；</w:t>
            </w:r>
          </w:p>
          <w:p w14:paraId="7FF659DE">
            <w:pPr>
              <w:widowControl/>
              <w:jc w:val="left"/>
              <w:rPr>
                <w:rFonts w:hint="eastAsia" w:hAnsi="宋体" w:cs="宋体"/>
                <w:sz w:val="21"/>
                <w:szCs w:val="21"/>
              </w:rPr>
            </w:pPr>
            <w:r>
              <w:rPr>
                <w:rFonts w:hint="eastAsia" w:hAnsi="宋体" w:cs="宋体"/>
                <w:color w:val="000000"/>
                <w:sz w:val="21"/>
                <w:szCs w:val="21"/>
                <w:lang w:bidi="ar"/>
              </w:rPr>
              <w:t>（四）特种设备及其安全附件、安全保护装置、测量调控装置及有关附属</w:t>
            </w:r>
          </w:p>
          <w:p w14:paraId="6C8FCA01">
            <w:pPr>
              <w:widowControl/>
              <w:jc w:val="left"/>
              <w:rPr>
                <w:rFonts w:hint="eastAsia" w:hAnsi="宋体" w:cs="宋体"/>
                <w:sz w:val="21"/>
                <w:szCs w:val="21"/>
              </w:rPr>
            </w:pPr>
            <w:r>
              <w:rPr>
                <w:rFonts w:hint="eastAsia" w:hAnsi="宋体" w:cs="宋体"/>
                <w:color w:val="000000"/>
                <w:sz w:val="21"/>
                <w:szCs w:val="21"/>
                <w:lang w:bidi="ar"/>
              </w:rPr>
              <w:t>仪器仪表的日常维护保养记录；</w:t>
            </w:r>
          </w:p>
          <w:p w14:paraId="2D93568A">
            <w:pPr>
              <w:widowControl/>
              <w:jc w:val="left"/>
              <w:rPr>
                <w:rFonts w:hint="eastAsia" w:hAnsi="宋体" w:cs="宋体"/>
                <w:sz w:val="21"/>
                <w:szCs w:val="21"/>
              </w:rPr>
            </w:pPr>
            <w:r>
              <w:rPr>
                <w:rFonts w:hint="eastAsia" w:hAnsi="宋体" w:cs="宋体"/>
                <w:color w:val="000000"/>
                <w:sz w:val="21"/>
                <w:szCs w:val="21"/>
                <w:lang w:bidi="ar"/>
              </w:rPr>
              <w:t>（五）特种设备运行故障和事故记录；</w:t>
            </w:r>
          </w:p>
          <w:p w14:paraId="1C2F6606">
            <w:pPr>
              <w:widowControl/>
              <w:jc w:val="left"/>
              <w:rPr>
                <w:rFonts w:hint="eastAsia" w:hAnsi="宋体" w:cs="宋体"/>
                <w:sz w:val="21"/>
                <w:szCs w:val="21"/>
              </w:rPr>
            </w:pPr>
            <w:r>
              <w:rPr>
                <w:rFonts w:hint="eastAsia" w:hAnsi="宋体" w:cs="宋体"/>
                <w:color w:val="000000"/>
                <w:sz w:val="21"/>
                <w:szCs w:val="21"/>
                <w:lang w:bidi="ar"/>
              </w:rPr>
              <w:t>（六）高耗能特种设备的能效测试报告、能耗状况记录以及节能改造技术</w:t>
            </w:r>
          </w:p>
          <w:p w14:paraId="07199F50">
            <w:pPr>
              <w:widowControl/>
              <w:jc w:val="left"/>
              <w:rPr>
                <w:rFonts w:hint="eastAsia" w:hAnsi="宋体" w:cs="宋体"/>
                <w:color w:val="000000"/>
                <w:sz w:val="21"/>
                <w:szCs w:val="21"/>
                <w:lang w:bidi="ar"/>
              </w:rPr>
            </w:pPr>
            <w:r>
              <w:rPr>
                <w:rFonts w:hint="eastAsia" w:hAnsi="宋体" w:cs="宋体"/>
                <w:color w:val="000000"/>
                <w:sz w:val="21"/>
                <w:szCs w:val="21"/>
                <w:lang w:bidi="ar"/>
              </w:rPr>
              <w:t>资料。</w:t>
            </w:r>
          </w:p>
        </w:tc>
        <w:tc>
          <w:tcPr>
            <w:tcW w:w="1812" w:type="dxa"/>
            <w:shd w:val="clear" w:color="auto" w:fill="auto"/>
            <w:vAlign w:val="center"/>
          </w:tcPr>
          <w:p w14:paraId="311F6562">
            <w:pPr>
              <w:widowControl/>
              <w:jc w:val="left"/>
              <w:rPr>
                <w:rFonts w:hint="eastAsia" w:hAnsi="宋体" w:cs="宋体"/>
                <w:sz w:val="21"/>
                <w:szCs w:val="21"/>
              </w:rPr>
            </w:pPr>
            <w:r>
              <w:rPr>
                <w:rFonts w:hint="eastAsia" w:hAnsi="宋体" w:cs="宋体"/>
                <w:color w:val="000000"/>
                <w:sz w:val="21"/>
                <w:szCs w:val="21"/>
                <w:lang w:bidi="ar"/>
              </w:rPr>
              <w:t>《特种设备安全监察条例》</w:t>
            </w:r>
          </w:p>
          <w:p w14:paraId="5EFBCE63">
            <w:pPr>
              <w:widowControl/>
              <w:jc w:val="left"/>
              <w:rPr>
                <w:rFonts w:hint="eastAsia" w:hAnsi="宋体" w:cs="宋体"/>
                <w:sz w:val="21"/>
                <w:szCs w:val="21"/>
              </w:rPr>
            </w:pPr>
            <w:r>
              <w:rPr>
                <w:rFonts w:hint="eastAsia" w:hAnsi="宋体" w:cs="宋体"/>
                <w:color w:val="000000"/>
                <w:sz w:val="21"/>
                <w:szCs w:val="21"/>
                <w:lang w:bidi="ar"/>
              </w:rPr>
              <w:t>第26条</w:t>
            </w:r>
          </w:p>
          <w:p w14:paraId="01784E64">
            <w:pPr>
              <w:widowControl/>
              <w:jc w:val="left"/>
              <w:rPr>
                <w:rFonts w:hint="eastAsia" w:hAnsi="宋体" w:cs="宋体"/>
                <w:color w:val="000000"/>
                <w:sz w:val="21"/>
                <w:szCs w:val="21"/>
                <w:lang w:bidi="ar"/>
              </w:rPr>
            </w:pPr>
          </w:p>
        </w:tc>
        <w:tc>
          <w:tcPr>
            <w:tcW w:w="2406" w:type="dxa"/>
            <w:shd w:val="clear" w:color="auto" w:fill="auto"/>
            <w:vAlign w:val="center"/>
          </w:tcPr>
          <w:p w14:paraId="5E5B6FA8">
            <w:pPr>
              <w:widowControl/>
              <w:jc w:val="left"/>
              <w:rPr>
                <w:rFonts w:hint="eastAsia" w:hAnsi="宋体" w:cs="宋体"/>
                <w:color w:val="000000"/>
                <w:sz w:val="21"/>
                <w:szCs w:val="21"/>
                <w:lang w:bidi="ar"/>
              </w:rPr>
            </w:pPr>
            <w:r>
              <w:rPr>
                <w:rFonts w:hint="eastAsia" w:hAnsi="宋体" w:cs="宋体"/>
                <w:color w:val="000000"/>
                <w:sz w:val="21"/>
                <w:szCs w:val="21"/>
                <w:lang w:bidi="ar"/>
              </w:rPr>
              <w:t>建立了特种设备安全技术相关档案。</w:t>
            </w:r>
          </w:p>
        </w:tc>
        <w:tc>
          <w:tcPr>
            <w:tcW w:w="907" w:type="dxa"/>
            <w:shd w:val="clear" w:color="auto" w:fill="auto"/>
            <w:vAlign w:val="center"/>
          </w:tcPr>
          <w:p w14:paraId="448F7D53">
            <w:pPr>
              <w:autoSpaceDE w:val="0"/>
              <w:autoSpaceDN w:val="0"/>
              <w:adjustRightInd w:val="0"/>
              <w:snapToGrid w:val="0"/>
              <w:jc w:val="center"/>
              <w:rPr>
                <w:rFonts w:hint="eastAsia" w:hAnsi="宋体" w:cs="宋体"/>
                <w:sz w:val="21"/>
                <w:szCs w:val="21"/>
              </w:rPr>
            </w:pPr>
            <w:r>
              <w:rPr>
                <w:rFonts w:hint="eastAsia" w:hAnsi="宋体" w:cs="宋体"/>
                <w:sz w:val="21"/>
                <w:szCs w:val="21"/>
              </w:rPr>
              <w:t>符合</w:t>
            </w:r>
          </w:p>
        </w:tc>
      </w:tr>
      <w:tr w14:paraId="54421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5B621D30">
            <w:pPr>
              <w:widowControl/>
              <w:jc w:val="center"/>
              <w:rPr>
                <w:rFonts w:hint="eastAsia" w:hAnsi="宋体" w:cs="宋体"/>
                <w:color w:val="000000"/>
                <w:sz w:val="21"/>
                <w:szCs w:val="21"/>
                <w:lang w:bidi="ar"/>
              </w:rPr>
            </w:pPr>
            <w:r>
              <w:rPr>
                <w:rFonts w:hint="eastAsia" w:hAnsi="宋体" w:cs="宋体"/>
                <w:color w:val="000000"/>
                <w:sz w:val="21"/>
                <w:szCs w:val="21"/>
                <w:lang w:bidi="ar"/>
              </w:rPr>
              <w:t>19</w:t>
            </w:r>
          </w:p>
        </w:tc>
        <w:tc>
          <w:tcPr>
            <w:tcW w:w="3522" w:type="dxa"/>
            <w:shd w:val="clear" w:color="auto" w:fill="auto"/>
            <w:vAlign w:val="center"/>
          </w:tcPr>
          <w:p w14:paraId="52845803">
            <w:pPr>
              <w:widowControl/>
              <w:jc w:val="left"/>
              <w:rPr>
                <w:rFonts w:hint="eastAsia" w:hAnsi="宋体" w:cs="宋体"/>
                <w:sz w:val="21"/>
                <w:szCs w:val="21"/>
              </w:rPr>
            </w:pPr>
            <w:r>
              <w:rPr>
                <w:rFonts w:hint="eastAsia" w:hAnsi="宋体" w:cs="宋体"/>
                <w:color w:val="000000"/>
                <w:sz w:val="21"/>
                <w:szCs w:val="21"/>
                <w:lang w:bidi="ar"/>
              </w:rPr>
              <w:t>特种设备使用单位应当按照安全技术规范的定期检验要求，在安全检验合格有效期届满前1个月向特种设备检验检测机构提出定期检验要求。</w:t>
            </w:r>
          </w:p>
          <w:p w14:paraId="5032FE2E">
            <w:pPr>
              <w:widowControl/>
              <w:jc w:val="left"/>
              <w:rPr>
                <w:rFonts w:hint="eastAsia" w:hAnsi="宋体" w:cs="宋体"/>
                <w:color w:val="000000"/>
                <w:sz w:val="21"/>
                <w:szCs w:val="21"/>
                <w:lang w:bidi="ar"/>
              </w:rPr>
            </w:pPr>
            <w:r>
              <w:rPr>
                <w:rFonts w:hint="eastAsia" w:hAnsi="宋体" w:cs="宋体"/>
                <w:color w:val="000000"/>
                <w:sz w:val="21"/>
                <w:szCs w:val="21"/>
                <w:lang w:bidi="ar"/>
              </w:rPr>
              <w:t>检验检测机构接到定期检验要求后，应当按照安全技术规范的要求及时进行检验。未经定期检验或者检验不合格的特种设备，不得继续使用。</w:t>
            </w:r>
          </w:p>
        </w:tc>
        <w:tc>
          <w:tcPr>
            <w:tcW w:w="1812" w:type="dxa"/>
            <w:shd w:val="clear" w:color="auto" w:fill="auto"/>
            <w:vAlign w:val="center"/>
          </w:tcPr>
          <w:p w14:paraId="732BFB59">
            <w:pPr>
              <w:widowControl/>
              <w:jc w:val="left"/>
              <w:rPr>
                <w:rFonts w:hint="eastAsia" w:hAnsi="宋体" w:cs="宋体"/>
                <w:sz w:val="21"/>
                <w:szCs w:val="21"/>
              </w:rPr>
            </w:pPr>
            <w:r>
              <w:rPr>
                <w:rFonts w:hint="eastAsia" w:hAnsi="宋体" w:cs="宋体"/>
                <w:color w:val="000000"/>
                <w:sz w:val="21"/>
                <w:szCs w:val="21"/>
                <w:lang w:bidi="ar"/>
              </w:rPr>
              <w:t>《特种设备安全监察条例》</w:t>
            </w:r>
          </w:p>
          <w:p w14:paraId="6FA0A966">
            <w:pPr>
              <w:widowControl/>
              <w:jc w:val="left"/>
              <w:rPr>
                <w:rFonts w:hint="eastAsia" w:hAnsi="宋体" w:cs="宋体"/>
                <w:color w:val="000000"/>
                <w:sz w:val="21"/>
                <w:szCs w:val="21"/>
                <w:lang w:bidi="ar"/>
              </w:rPr>
            </w:pPr>
            <w:r>
              <w:rPr>
                <w:rFonts w:hint="eastAsia" w:hAnsi="宋体" w:cs="宋体"/>
                <w:color w:val="000000"/>
                <w:sz w:val="21"/>
                <w:szCs w:val="21"/>
                <w:lang w:bidi="ar"/>
              </w:rPr>
              <w:t>第28条</w:t>
            </w:r>
          </w:p>
        </w:tc>
        <w:tc>
          <w:tcPr>
            <w:tcW w:w="2406" w:type="dxa"/>
            <w:shd w:val="clear" w:color="auto" w:fill="auto"/>
            <w:vAlign w:val="center"/>
          </w:tcPr>
          <w:p w14:paraId="669DA3C5">
            <w:pPr>
              <w:widowControl/>
              <w:jc w:val="left"/>
              <w:rPr>
                <w:rFonts w:hint="eastAsia" w:hAnsi="宋体" w:cs="宋体"/>
                <w:sz w:val="21"/>
                <w:szCs w:val="21"/>
              </w:rPr>
            </w:pPr>
            <w:r>
              <w:rPr>
                <w:rFonts w:hint="eastAsia" w:hAnsi="宋体" w:cs="宋体"/>
                <w:color w:val="000000"/>
                <w:sz w:val="21"/>
                <w:szCs w:val="21"/>
                <w:lang w:bidi="ar"/>
              </w:rPr>
              <w:t>该项目所用特种设备均在检测合格有效期限内，对即将到期的特种设备及时向特种设备检验检测机构提出定期检验要求，现场未使用未经定期检验或者检验不合格的特种</w:t>
            </w:r>
          </w:p>
          <w:p w14:paraId="5EB8208E">
            <w:pPr>
              <w:widowControl/>
              <w:jc w:val="left"/>
              <w:rPr>
                <w:rFonts w:hint="eastAsia" w:hAnsi="宋体" w:cs="宋体"/>
                <w:color w:val="000000"/>
                <w:sz w:val="21"/>
                <w:szCs w:val="21"/>
                <w:lang w:bidi="ar"/>
              </w:rPr>
            </w:pPr>
            <w:r>
              <w:rPr>
                <w:rFonts w:hint="eastAsia" w:hAnsi="宋体" w:cs="宋体"/>
                <w:color w:val="000000"/>
                <w:sz w:val="21"/>
                <w:szCs w:val="21"/>
                <w:lang w:bidi="ar"/>
              </w:rPr>
              <w:t>设备。</w:t>
            </w:r>
          </w:p>
        </w:tc>
        <w:tc>
          <w:tcPr>
            <w:tcW w:w="907" w:type="dxa"/>
            <w:shd w:val="clear" w:color="auto" w:fill="auto"/>
            <w:vAlign w:val="center"/>
          </w:tcPr>
          <w:p w14:paraId="1D9C9477">
            <w:pPr>
              <w:autoSpaceDE w:val="0"/>
              <w:autoSpaceDN w:val="0"/>
              <w:adjustRightInd w:val="0"/>
              <w:snapToGrid w:val="0"/>
              <w:jc w:val="center"/>
              <w:rPr>
                <w:rFonts w:hint="eastAsia" w:hAnsi="宋体" w:cs="宋体"/>
                <w:sz w:val="21"/>
                <w:szCs w:val="21"/>
              </w:rPr>
            </w:pPr>
            <w:r>
              <w:rPr>
                <w:rFonts w:hint="eastAsia" w:hAnsi="宋体" w:cs="宋体"/>
                <w:sz w:val="21"/>
                <w:szCs w:val="21"/>
              </w:rPr>
              <w:t>符合</w:t>
            </w:r>
          </w:p>
        </w:tc>
      </w:tr>
      <w:tr w14:paraId="7C378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6857B66B">
            <w:pPr>
              <w:widowControl/>
              <w:jc w:val="center"/>
              <w:rPr>
                <w:rFonts w:hint="eastAsia" w:hAnsi="宋体" w:cs="宋体"/>
                <w:color w:val="000000"/>
                <w:sz w:val="21"/>
                <w:szCs w:val="21"/>
                <w:lang w:bidi="ar"/>
              </w:rPr>
            </w:pPr>
            <w:r>
              <w:rPr>
                <w:rFonts w:hint="eastAsia" w:hAnsi="宋体" w:cs="宋体"/>
                <w:color w:val="000000"/>
                <w:sz w:val="21"/>
                <w:szCs w:val="21"/>
                <w:lang w:bidi="ar"/>
              </w:rPr>
              <w:t>20</w:t>
            </w:r>
          </w:p>
        </w:tc>
        <w:tc>
          <w:tcPr>
            <w:tcW w:w="3522" w:type="dxa"/>
            <w:shd w:val="clear" w:color="auto" w:fill="auto"/>
            <w:vAlign w:val="center"/>
          </w:tcPr>
          <w:p w14:paraId="35773AE2">
            <w:pPr>
              <w:widowControl/>
              <w:jc w:val="left"/>
              <w:rPr>
                <w:rFonts w:hint="eastAsia" w:hAnsi="宋体" w:cs="宋体"/>
                <w:color w:val="000000"/>
                <w:sz w:val="21"/>
                <w:szCs w:val="21"/>
                <w:lang w:bidi="ar"/>
              </w:rPr>
            </w:pPr>
            <w:r>
              <w:rPr>
                <w:rFonts w:hint="eastAsia" w:hAnsi="宋体" w:cs="宋体"/>
                <w:color w:val="000000"/>
                <w:sz w:val="21"/>
                <w:szCs w:val="21"/>
                <w:lang w:bidi="ar"/>
              </w:rPr>
              <w:t>锅炉、压力容器、电梯、起重机械、客运索道、大型游乐设施、场（厂）内专用机动车辆的作业人员及其相关管理人员（以下统称特种设备作业人员），应当按照国家有关规定经特种设备安全监督管理部门考核合格，取得国家统一格式的特种作业人员证书，方可从事相应的作业或者管理工作。</w:t>
            </w:r>
          </w:p>
        </w:tc>
        <w:tc>
          <w:tcPr>
            <w:tcW w:w="1812" w:type="dxa"/>
            <w:shd w:val="clear" w:color="auto" w:fill="auto"/>
            <w:vAlign w:val="center"/>
          </w:tcPr>
          <w:p w14:paraId="0CB451C4">
            <w:pPr>
              <w:widowControl/>
              <w:jc w:val="left"/>
              <w:rPr>
                <w:rFonts w:hint="eastAsia" w:hAnsi="宋体" w:cs="宋体"/>
                <w:sz w:val="21"/>
                <w:szCs w:val="21"/>
              </w:rPr>
            </w:pPr>
            <w:r>
              <w:rPr>
                <w:rFonts w:hint="eastAsia" w:hAnsi="宋体" w:cs="宋体"/>
                <w:color w:val="000000"/>
                <w:sz w:val="21"/>
                <w:szCs w:val="21"/>
                <w:lang w:bidi="ar"/>
              </w:rPr>
              <w:t>《特种设备安全监察条例》</w:t>
            </w:r>
          </w:p>
          <w:p w14:paraId="45B0FA75">
            <w:pPr>
              <w:widowControl/>
              <w:jc w:val="left"/>
              <w:rPr>
                <w:rFonts w:hint="eastAsia" w:hAnsi="宋体" w:cs="宋体"/>
                <w:color w:val="000000"/>
                <w:sz w:val="21"/>
                <w:szCs w:val="21"/>
                <w:lang w:bidi="ar"/>
              </w:rPr>
            </w:pPr>
            <w:r>
              <w:rPr>
                <w:rFonts w:hint="eastAsia" w:hAnsi="宋体" w:cs="宋体"/>
                <w:color w:val="000000"/>
                <w:sz w:val="21"/>
                <w:szCs w:val="21"/>
                <w:lang w:bidi="ar"/>
              </w:rPr>
              <w:t>第38条</w:t>
            </w:r>
          </w:p>
        </w:tc>
        <w:tc>
          <w:tcPr>
            <w:tcW w:w="2406" w:type="dxa"/>
            <w:shd w:val="clear" w:color="auto" w:fill="auto"/>
            <w:vAlign w:val="center"/>
          </w:tcPr>
          <w:p w14:paraId="4AF8B018">
            <w:pPr>
              <w:widowControl/>
              <w:jc w:val="left"/>
              <w:rPr>
                <w:rFonts w:hint="eastAsia" w:hAnsi="宋体" w:cs="宋体"/>
                <w:color w:val="000000"/>
                <w:sz w:val="21"/>
                <w:szCs w:val="21"/>
                <w:lang w:bidi="ar"/>
              </w:rPr>
            </w:pPr>
            <w:r>
              <w:rPr>
                <w:rFonts w:hint="eastAsia" w:hAnsi="宋体" w:cs="宋体"/>
                <w:color w:val="000000"/>
                <w:sz w:val="21"/>
                <w:szCs w:val="21"/>
                <w:lang w:bidi="ar"/>
              </w:rPr>
              <w:t>该企业特种设备作业人员均持证上岗，证书在有效期内。</w:t>
            </w:r>
          </w:p>
        </w:tc>
        <w:tc>
          <w:tcPr>
            <w:tcW w:w="907" w:type="dxa"/>
            <w:shd w:val="clear" w:color="auto" w:fill="auto"/>
            <w:vAlign w:val="center"/>
          </w:tcPr>
          <w:p w14:paraId="0B441193">
            <w:pPr>
              <w:autoSpaceDE w:val="0"/>
              <w:autoSpaceDN w:val="0"/>
              <w:adjustRightInd w:val="0"/>
              <w:snapToGrid w:val="0"/>
              <w:jc w:val="center"/>
              <w:rPr>
                <w:rFonts w:hint="eastAsia" w:hAnsi="宋体" w:cs="宋体"/>
                <w:sz w:val="21"/>
                <w:szCs w:val="21"/>
              </w:rPr>
            </w:pPr>
            <w:r>
              <w:rPr>
                <w:rFonts w:hint="eastAsia" w:hAnsi="宋体" w:cs="宋体"/>
                <w:sz w:val="21"/>
                <w:szCs w:val="21"/>
              </w:rPr>
              <w:t>符合</w:t>
            </w:r>
          </w:p>
        </w:tc>
      </w:tr>
      <w:tr w14:paraId="6DAA9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1" w:type="dxa"/>
            <w:gridSpan w:val="5"/>
            <w:vAlign w:val="center"/>
          </w:tcPr>
          <w:p w14:paraId="4102CE49">
            <w:pPr>
              <w:widowControl/>
              <w:jc w:val="center"/>
              <w:rPr>
                <w:rFonts w:hint="eastAsia" w:hAnsi="宋体" w:cs="宋体"/>
                <w:b/>
                <w:bCs/>
                <w:sz w:val="21"/>
                <w:szCs w:val="21"/>
              </w:rPr>
            </w:pPr>
            <w:r>
              <w:rPr>
                <w:rFonts w:hint="eastAsia" w:hAnsi="宋体" w:cs="宋体"/>
                <w:b/>
                <w:bCs/>
                <w:color w:val="000000"/>
                <w:sz w:val="21"/>
                <w:szCs w:val="21"/>
                <w:lang w:bidi="ar"/>
              </w:rPr>
              <w:t>其他方面安全管理</w:t>
            </w:r>
          </w:p>
        </w:tc>
      </w:tr>
      <w:tr w14:paraId="3A41E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28D0F9FA">
            <w:pPr>
              <w:widowControl/>
              <w:jc w:val="center"/>
              <w:rPr>
                <w:rFonts w:hint="eastAsia" w:hAnsi="宋体" w:cs="宋体"/>
                <w:color w:val="000000"/>
                <w:sz w:val="21"/>
                <w:szCs w:val="21"/>
                <w:lang w:bidi="ar"/>
              </w:rPr>
            </w:pPr>
            <w:r>
              <w:rPr>
                <w:rFonts w:hint="eastAsia" w:hAnsi="宋体" w:cs="宋体"/>
                <w:color w:val="000000"/>
                <w:sz w:val="21"/>
                <w:szCs w:val="21"/>
                <w:lang w:bidi="ar"/>
              </w:rPr>
              <w:t>21</w:t>
            </w:r>
          </w:p>
        </w:tc>
        <w:tc>
          <w:tcPr>
            <w:tcW w:w="3522" w:type="dxa"/>
            <w:shd w:val="clear" w:color="auto" w:fill="auto"/>
            <w:vAlign w:val="center"/>
          </w:tcPr>
          <w:p w14:paraId="0B5CFA2C">
            <w:pPr>
              <w:widowControl/>
              <w:jc w:val="left"/>
              <w:rPr>
                <w:rFonts w:hint="eastAsia" w:hAnsi="宋体" w:cs="宋体"/>
                <w:color w:val="000000"/>
                <w:sz w:val="21"/>
                <w:szCs w:val="21"/>
                <w:lang w:bidi="ar"/>
              </w:rPr>
            </w:pPr>
            <w:r>
              <w:rPr>
                <w:rFonts w:hint="eastAsia" w:hAnsi="宋体" w:cs="宋体"/>
                <w:color w:val="000000"/>
                <w:sz w:val="21"/>
                <w:szCs w:val="21"/>
                <w:lang w:bidi="ar"/>
              </w:rPr>
              <w:t>生产经营单位应当安排用于配备劳动防护用品、进行安全生产培训的经费。</w:t>
            </w:r>
          </w:p>
        </w:tc>
        <w:tc>
          <w:tcPr>
            <w:tcW w:w="1812" w:type="dxa"/>
            <w:shd w:val="clear" w:color="auto" w:fill="auto"/>
            <w:vAlign w:val="center"/>
          </w:tcPr>
          <w:p w14:paraId="34E92A5A">
            <w:pPr>
              <w:widowControl/>
              <w:jc w:val="left"/>
              <w:rPr>
                <w:rFonts w:hint="eastAsia" w:hAnsi="宋体" w:cs="宋体"/>
                <w:color w:val="000000"/>
                <w:sz w:val="21"/>
                <w:szCs w:val="21"/>
                <w:lang w:bidi="ar"/>
              </w:rPr>
            </w:pPr>
            <w:r>
              <w:rPr>
                <w:rFonts w:hint="eastAsia" w:hAnsi="宋体" w:cs="宋体"/>
                <w:color w:val="000000"/>
                <w:sz w:val="21"/>
                <w:szCs w:val="21"/>
                <w:lang w:bidi="ar"/>
              </w:rPr>
              <w:t>《中华人民共和国安全生产法》（主席令第88号）第47条</w:t>
            </w:r>
          </w:p>
        </w:tc>
        <w:tc>
          <w:tcPr>
            <w:tcW w:w="2406" w:type="dxa"/>
            <w:shd w:val="clear" w:color="auto" w:fill="auto"/>
            <w:vAlign w:val="center"/>
          </w:tcPr>
          <w:p w14:paraId="2AAD2DA5">
            <w:pPr>
              <w:widowControl/>
              <w:jc w:val="left"/>
              <w:rPr>
                <w:rFonts w:hint="eastAsia" w:hAnsi="宋体" w:cs="宋体"/>
                <w:color w:val="000000"/>
                <w:sz w:val="21"/>
                <w:szCs w:val="21"/>
                <w:lang w:bidi="ar"/>
              </w:rPr>
            </w:pPr>
            <w:r>
              <w:rPr>
                <w:rFonts w:hint="eastAsia" w:hAnsi="宋体" w:cs="宋体"/>
                <w:color w:val="000000"/>
                <w:sz w:val="21"/>
                <w:szCs w:val="21"/>
                <w:lang w:bidi="ar"/>
              </w:rPr>
              <w:t>有相应的经费投入。</w:t>
            </w:r>
          </w:p>
        </w:tc>
        <w:tc>
          <w:tcPr>
            <w:tcW w:w="907" w:type="dxa"/>
            <w:shd w:val="clear" w:color="auto" w:fill="auto"/>
            <w:vAlign w:val="center"/>
          </w:tcPr>
          <w:p w14:paraId="7DCE056A">
            <w:pPr>
              <w:autoSpaceDE w:val="0"/>
              <w:autoSpaceDN w:val="0"/>
              <w:adjustRightInd w:val="0"/>
              <w:snapToGrid w:val="0"/>
              <w:jc w:val="center"/>
              <w:rPr>
                <w:rFonts w:hint="eastAsia" w:hAnsi="宋体" w:cs="宋体"/>
                <w:sz w:val="21"/>
                <w:szCs w:val="21"/>
              </w:rPr>
            </w:pPr>
            <w:r>
              <w:rPr>
                <w:rFonts w:hint="eastAsia" w:hAnsi="宋体" w:cs="宋体"/>
                <w:sz w:val="21"/>
                <w:szCs w:val="21"/>
              </w:rPr>
              <w:t>符合</w:t>
            </w:r>
          </w:p>
        </w:tc>
      </w:tr>
      <w:tr w14:paraId="24907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47168DEB">
            <w:pPr>
              <w:widowControl/>
              <w:jc w:val="center"/>
              <w:rPr>
                <w:rFonts w:hint="eastAsia" w:hAnsi="宋体" w:cs="宋体"/>
                <w:color w:val="000000"/>
                <w:sz w:val="21"/>
                <w:szCs w:val="21"/>
                <w:lang w:bidi="ar"/>
              </w:rPr>
            </w:pPr>
            <w:r>
              <w:rPr>
                <w:rFonts w:hint="eastAsia" w:hAnsi="宋体" w:cs="宋体"/>
                <w:color w:val="000000"/>
                <w:sz w:val="21"/>
                <w:szCs w:val="21"/>
                <w:lang w:bidi="ar"/>
              </w:rPr>
              <w:t>22</w:t>
            </w:r>
          </w:p>
        </w:tc>
        <w:tc>
          <w:tcPr>
            <w:tcW w:w="3522" w:type="dxa"/>
            <w:shd w:val="clear" w:color="auto" w:fill="auto"/>
            <w:vAlign w:val="center"/>
          </w:tcPr>
          <w:p w14:paraId="429C874B">
            <w:pPr>
              <w:widowControl/>
              <w:jc w:val="left"/>
              <w:rPr>
                <w:rFonts w:hint="eastAsia" w:hAnsi="宋体" w:cs="宋体"/>
                <w:color w:val="000000"/>
                <w:sz w:val="21"/>
                <w:szCs w:val="21"/>
                <w:lang w:bidi="ar"/>
              </w:rPr>
            </w:pPr>
            <w:r>
              <w:rPr>
                <w:rFonts w:hint="eastAsia" w:hAnsi="宋体" w:cs="宋体"/>
                <w:color w:val="000000"/>
                <w:sz w:val="21"/>
                <w:szCs w:val="21"/>
                <w:lang w:bidi="ar"/>
              </w:rPr>
              <w:t>生产经营单位必须为从业人员提供符合国家标准或者行业标准的劳动防护用品，并监督、教育从业人员按照使用规则佩戴、使用。</w:t>
            </w:r>
          </w:p>
        </w:tc>
        <w:tc>
          <w:tcPr>
            <w:tcW w:w="1812" w:type="dxa"/>
            <w:shd w:val="clear" w:color="auto" w:fill="auto"/>
            <w:vAlign w:val="center"/>
          </w:tcPr>
          <w:p w14:paraId="1EF0DBE9">
            <w:pPr>
              <w:widowControl/>
              <w:jc w:val="left"/>
              <w:rPr>
                <w:rFonts w:hint="eastAsia" w:hAnsi="宋体" w:cs="宋体"/>
                <w:color w:val="000000"/>
                <w:sz w:val="21"/>
                <w:szCs w:val="21"/>
                <w:lang w:bidi="ar"/>
              </w:rPr>
            </w:pPr>
            <w:r>
              <w:rPr>
                <w:rFonts w:hint="eastAsia" w:hAnsi="宋体" w:cs="宋体"/>
                <w:color w:val="000000"/>
                <w:sz w:val="21"/>
                <w:szCs w:val="21"/>
                <w:lang w:bidi="ar"/>
              </w:rPr>
              <w:t>《中华人民共和国安全生产法》（主席令第88号）第45条</w:t>
            </w:r>
          </w:p>
        </w:tc>
        <w:tc>
          <w:tcPr>
            <w:tcW w:w="2406" w:type="dxa"/>
            <w:shd w:val="clear" w:color="auto" w:fill="auto"/>
            <w:vAlign w:val="center"/>
          </w:tcPr>
          <w:p w14:paraId="2BE66D8B">
            <w:pPr>
              <w:widowControl/>
              <w:jc w:val="left"/>
              <w:rPr>
                <w:rFonts w:hint="eastAsia" w:hAnsi="宋体" w:cs="宋体"/>
                <w:color w:val="000000"/>
                <w:sz w:val="21"/>
                <w:szCs w:val="21"/>
                <w:lang w:bidi="ar"/>
              </w:rPr>
            </w:pPr>
            <w:r>
              <w:rPr>
                <w:rFonts w:hint="eastAsia" w:hAnsi="宋体" w:cs="宋体"/>
                <w:color w:val="000000"/>
                <w:sz w:val="21"/>
                <w:szCs w:val="21"/>
                <w:lang w:bidi="ar"/>
              </w:rPr>
              <w:t>建立了劳动防护用品发放管理制度，并为从业人员配备了符合要求的个体防护用品。</w:t>
            </w:r>
          </w:p>
        </w:tc>
        <w:tc>
          <w:tcPr>
            <w:tcW w:w="907" w:type="dxa"/>
            <w:shd w:val="clear" w:color="auto" w:fill="auto"/>
            <w:vAlign w:val="center"/>
          </w:tcPr>
          <w:p w14:paraId="2C363B60">
            <w:pPr>
              <w:autoSpaceDE w:val="0"/>
              <w:autoSpaceDN w:val="0"/>
              <w:adjustRightInd w:val="0"/>
              <w:snapToGrid w:val="0"/>
              <w:jc w:val="center"/>
              <w:rPr>
                <w:rFonts w:hint="eastAsia" w:hAnsi="宋体" w:cs="宋体"/>
                <w:sz w:val="21"/>
                <w:szCs w:val="21"/>
              </w:rPr>
            </w:pPr>
            <w:r>
              <w:rPr>
                <w:rFonts w:hint="eastAsia" w:hAnsi="宋体" w:cs="宋体"/>
                <w:sz w:val="21"/>
                <w:szCs w:val="21"/>
              </w:rPr>
              <w:t>符合</w:t>
            </w:r>
          </w:p>
        </w:tc>
      </w:tr>
      <w:tr w14:paraId="7B777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52AFD476">
            <w:pPr>
              <w:widowControl/>
              <w:jc w:val="center"/>
              <w:rPr>
                <w:rFonts w:hint="eastAsia" w:hAnsi="宋体" w:cs="宋体"/>
                <w:color w:val="000000"/>
                <w:sz w:val="21"/>
                <w:szCs w:val="21"/>
                <w:lang w:bidi="ar"/>
              </w:rPr>
            </w:pPr>
            <w:r>
              <w:rPr>
                <w:rFonts w:hint="eastAsia" w:hAnsi="宋体" w:cs="宋体"/>
                <w:color w:val="000000"/>
                <w:sz w:val="21"/>
                <w:szCs w:val="21"/>
                <w:lang w:bidi="ar"/>
              </w:rPr>
              <w:t>23</w:t>
            </w:r>
          </w:p>
        </w:tc>
        <w:tc>
          <w:tcPr>
            <w:tcW w:w="3522" w:type="dxa"/>
            <w:shd w:val="clear" w:color="auto" w:fill="auto"/>
            <w:vAlign w:val="center"/>
          </w:tcPr>
          <w:p w14:paraId="20D12706">
            <w:pPr>
              <w:widowControl/>
              <w:jc w:val="left"/>
              <w:rPr>
                <w:rFonts w:hint="eastAsia" w:hAnsi="宋体" w:cs="宋体"/>
                <w:color w:val="000000"/>
                <w:sz w:val="21"/>
                <w:szCs w:val="21"/>
                <w:lang w:bidi="ar"/>
              </w:rPr>
            </w:pPr>
            <w:r>
              <w:rPr>
                <w:rFonts w:hint="eastAsia" w:hAnsi="宋体" w:cs="宋体"/>
                <w:color w:val="000000"/>
                <w:sz w:val="21"/>
                <w:szCs w:val="21"/>
                <w:lang w:bidi="ar"/>
              </w:rPr>
              <w:t>生产经营单位必须依法参加工伤保险，为从业人员缴纳保险费。</w:t>
            </w:r>
          </w:p>
        </w:tc>
        <w:tc>
          <w:tcPr>
            <w:tcW w:w="1812" w:type="dxa"/>
            <w:shd w:val="clear" w:color="auto" w:fill="auto"/>
            <w:vAlign w:val="center"/>
          </w:tcPr>
          <w:p w14:paraId="1D7C73B2">
            <w:pPr>
              <w:widowControl/>
              <w:jc w:val="left"/>
              <w:rPr>
                <w:rFonts w:hint="eastAsia" w:hAnsi="宋体" w:cs="宋体"/>
                <w:color w:val="000000"/>
                <w:sz w:val="21"/>
                <w:szCs w:val="21"/>
                <w:lang w:bidi="ar"/>
              </w:rPr>
            </w:pPr>
            <w:r>
              <w:rPr>
                <w:rFonts w:hint="eastAsia" w:hAnsi="宋体" w:cs="宋体"/>
                <w:color w:val="000000"/>
                <w:sz w:val="21"/>
                <w:szCs w:val="21"/>
                <w:lang w:bidi="ar"/>
              </w:rPr>
              <w:t>《中华人民共和国安全生产法》（主席令第88号）第51条</w:t>
            </w:r>
          </w:p>
        </w:tc>
        <w:tc>
          <w:tcPr>
            <w:tcW w:w="2406" w:type="dxa"/>
            <w:shd w:val="clear" w:color="auto" w:fill="auto"/>
            <w:vAlign w:val="center"/>
          </w:tcPr>
          <w:p w14:paraId="1AEA18D8">
            <w:pPr>
              <w:widowControl/>
              <w:jc w:val="left"/>
              <w:rPr>
                <w:rFonts w:hint="eastAsia" w:hAnsi="宋体" w:cs="宋体"/>
                <w:color w:val="000000"/>
                <w:sz w:val="21"/>
                <w:szCs w:val="21"/>
                <w:lang w:bidi="ar"/>
              </w:rPr>
            </w:pPr>
            <w:r>
              <w:rPr>
                <w:rFonts w:hint="eastAsia" w:hAnsi="宋体" w:cs="宋体"/>
                <w:color w:val="000000"/>
                <w:sz w:val="21"/>
                <w:szCs w:val="21"/>
                <w:lang w:bidi="ar"/>
              </w:rPr>
              <w:t>购买了工伤保险。</w:t>
            </w:r>
          </w:p>
        </w:tc>
        <w:tc>
          <w:tcPr>
            <w:tcW w:w="907" w:type="dxa"/>
            <w:shd w:val="clear" w:color="auto" w:fill="auto"/>
            <w:vAlign w:val="center"/>
          </w:tcPr>
          <w:p w14:paraId="270971C3">
            <w:pPr>
              <w:autoSpaceDE w:val="0"/>
              <w:autoSpaceDN w:val="0"/>
              <w:adjustRightInd w:val="0"/>
              <w:snapToGrid w:val="0"/>
              <w:jc w:val="center"/>
              <w:rPr>
                <w:rFonts w:hint="eastAsia" w:hAnsi="宋体" w:cs="宋体"/>
                <w:sz w:val="21"/>
                <w:szCs w:val="21"/>
              </w:rPr>
            </w:pPr>
            <w:r>
              <w:rPr>
                <w:rFonts w:hint="eastAsia" w:hAnsi="宋体" w:cs="宋体"/>
                <w:sz w:val="21"/>
                <w:szCs w:val="21"/>
              </w:rPr>
              <w:t>符合</w:t>
            </w:r>
          </w:p>
        </w:tc>
      </w:tr>
      <w:tr w14:paraId="7BB78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005136B7">
            <w:pPr>
              <w:widowControl/>
              <w:jc w:val="center"/>
              <w:rPr>
                <w:rFonts w:hint="eastAsia" w:hAnsi="宋体" w:cs="宋体"/>
                <w:color w:val="000000"/>
                <w:sz w:val="21"/>
                <w:szCs w:val="21"/>
                <w:lang w:bidi="ar"/>
              </w:rPr>
            </w:pPr>
            <w:r>
              <w:rPr>
                <w:rFonts w:hint="eastAsia" w:hAnsi="宋体" w:cs="宋体"/>
                <w:color w:val="000000"/>
                <w:sz w:val="21"/>
                <w:szCs w:val="21"/>
                <w:lang w:bidi="ar"/>
              </w:rPr>
              <w:t>24</w:t>
            </w:r>
          </w:p>
        </w:tc>
        <w:tc>
          <w:tcPr>
            <w:tcW w:w="3522" w:type="dxa"/>
            <w:shd w:val="clear" w:color="auto" w:fill="auto"/>
            <w:vAlign w:val="center"/>
          </w:tcPr>
          <w:p w14:paraId="7CFFB61A">
            <w:pPr>
              <w:widowControl/>
              <w:jc w:val="left"/>
              <w:rPr>
                <w:rFonts w:hint="eastAsia" w:hAnsi="宋体" w:cs="宋体"/>
                <w:sz w:val="21"/>
                <w:szCs w:val="21"/>
              </w:rPr>
            </w:pPr>
            <w:r>
              <w:rPr>
                <w:rFonts w:hint="eastAsia" w:hAnsi="宋体" w:cs="宋体"/>
                <w:color w:val="000000"/>
                <w:sz w:val="21"/>
                <w:szCs w:val="21"/>
                <w:lang w:bidi="ar"/>
              </w:rPr>
              <w:t>生产经营单位必须对安全设备进行经常性维护、保养，并定期检测，保证</w:t>
            </w:r>
          </w:p>
          <w:p w14:paraId="03BFE272">
            <w:pPr>
              <w:widowControl/>
              <w:jc w:val="left"/>
              <w:rPr>
                <w:rFonts w:hint="eastAsia" w:hAnsi="宋体" w:cs="宋体"/>
                <w:color w:val="000000"/>
                <w:sz w:val="21"/>
                <w:szCs w:val="21"/>
                <w:lang w:bidi="ar"/>
              </w:rPr>
            </w:pPr>
            <w:r>
              <w:rPr>
                <w:rFonts w:hint="eastAsia" w:hAnsi="宋体" w:cs="宋体"/>
                <w:color w:val="000000"/>
                <w:sz w:val="21"/>
                <w:szCs w:val="21"/>
                <w:lang w:bidi="ar"/>
              </w:rPr>
              <w:t>正常运转。维护、保养、检测应当作好记录，并由有关人员签字。</w:t>
            </w:r>
          </w:p>
        </w:tc>
        <w:tc>
          <w:tcPr>
            <w:tcW w:w="1812" w:type="dxa"/>
            <w:shd w:val="clear" w:color="auto" w:fill="auto"/>
            <w:vAlign w:val="center"/>
          </w:tcPr>
          <w:p w14:paraId="110DD48A">
            <w:pPr>
              <w:widowControl/>
              <w:jc w:val="left"/>
              <w:rPr>
                <w:rFonts w:hint="eastAsia" w:hAnsi="宋体" w:cs="宋体"/>
                <w:color w:val="000000"/>
                <w:sz w:val="21"/>
                <w:szCs w:val="21"/>
                <w:lang w:bidi="ar"/>
              </w:rPr>
            </w:pPr>
            <w:r>
              <w:rPr>
                <w:rFonts w:hint="eastAsia" w:hAnsi="宋体" w:cs="宋体"/>
                <w:color w:val="000000"/>
                <w:sz w:val="21"/>
                <w:szCs w:val="21"/>
                <w:lang w:bidi="ar"/>
              </w:rPr>
              <w:t>《中华人民共和国安全生产法》（主席令第88号）第36条</w:t>
            </w:r>
          </w:p>
        </w:tc>
        <w:tc>
          <w:tcPr>
            <w:tcW w:w="2406" w:type="dxa"/>
            <w:shd w:val="clear" w:color="auto" w:fill="auto"/>
            <w:vAlign w:val="center"/>
          </w:tcPr>
          <w:p w14:paraId="13003B00">
            <w:pPr>
              <w:widowControl/>
              <w:jc w:val="left"/>
              <w:rPr>
                <w:rFonts w:hint="eastAsia" w:hAnsi="宋体" w:cs="宋体"/>
                <w:color w:val="000000"/>
                <w:sz w:val="21"/>
                <w:szCs w:val="21"/>
                <w:lang w:bidi="ar"/>
              </w:rPr>
            </w:pPr>
            <w:r>
              <w:rPr>
                <w:rFonts w:hint="eastAsia" w:hAnsi="宋体" w:cs="宋体"/>
                <w:color w:val="000000"/>
                <w:sz w:val="21"/>
                <w:szCs w:val="21"/>
                <w:lang w:bidi="ar"/>
              </w:rPr>
              <w:t>能做到对安全设备进行经常性维护、保养。</w:t>
            </w:r>
          </w:p>
        </w:tc>
        <w:tc>
          <w:tcPr>
            <w:tcW w:w="907" w:type="dxa"/>
            <w:shd w:val="clear" w:color="auto" w:fill="auto"/>
            <w:vAlign w:val="center"/>
          </w:tcPr>
          <w:p w14:paraId="261DC2DD">
            <w:pPr>
              <w:autoSpaceDE w:val="0"/>
              <w:autoSpaceDN w:val="0"/>
              <w:adjustRightInd w:val="0"/>
              <w:snapToGrid w:val="0"/>
              <w:jc w:val="center"/>
              <w:rPr>
                <w:rFonts w:hint="eastAsia" w:hAnsi="宋体" w:cs="宋体"/>
                <w:sz w:val="21"/>
                <w:szCs w:val="21"/>
              </w:rPr>
            </w:pPr>
            <w:r>
              <w:rPr>
                <w:rFonts w:hint="eastAsia" w:hAnsi="宋体" w:cs="宋体"/>
                <w:sz w:val="21"/>
                <w:szCs w:val="21"/>
              </w:rPr>
              <w:t>符合</w:t>
            </w:r>
          </w:p>
        </w:tc>
      </w:tr>
      <w:tr w14:paraId="0C9C8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36BDC779">
            <w:pPr>
              <w:widowControl/>
              <w:jc w:val="center"/>
              <w:rPr>
                <w:rFonts w:hint="eastAsia" w:hAnsi="宋体" w:cs="宋体"/>
                <w:color w:val="000000"/>
                <w:sz w:val="21"/>
                <w:szCs w:val="21"/>
                <w:lang w:bidi="ar"/>
              </w:rPr>
            </w:pPr>
            <w:r>
              <w:rPr>
                <w:rFonts w:hint="eastAsia" w:hAnsi="宋体" w:cs="宋体"/>
                <w:color w:val="000000"/>
                <w:sz w:val="21"/>
                <w:szCs w:val="21"/>
                <w:lang w:bidi="ar"/>
              </w:rPr>
              <w:t>25</w:t>
            </w:r>
          </w:p>
        </w:tc>
        <w:tc>
          <w:tcPr>
            <w:tcW w:w="3522" w:type="dxa"/>
            <w:shd w:val="clear" w:color="auto" w:fill="auto"/>
            <w:vAlign w:val="center"/>
          </w:tcPr>
          <w:p w14:paraId="04A86B14">
            <w:pPr>
              <w:widowControl/>
              <w:jc w:val="left"/>
              <w:rPr>
                <w:rFonts w:hint="eastAsia" w:hAnsi="宋体" w:cs="宋体"/>
                <w:color w:val="000000"/>
                <w:sz w:val="21"/>
                <w:szCs w:val="21"/>
                <w:lang w:bidi="ar"/>
              </w:rPr>
            </w:pPr>
            <w:r>
              <w:rPr>
                <w:rFonts w:hint="eastAsia" w:hAnsi="宋体" w:cs="宋体"/>
                <w:color w:val="000000"/>
                <w:sz w:val="21"/>
                <w:szCs w:val="21"/>
                <w:lang w:bidi="ar"/>
              </w:rPr>
              <w:t>生产经营单位应建立健全从业人员安全培训档案，详细、准确记录培训考核情况。</w:t>
            </w:r>
          </w:p>
        </w:tc>
        <w:tc>
          <w:tcPr>
            <w:tcW w:w="1812" w:type="dxa"/>
            <w:shd w:val="clear" w:color="auto" w:fill="auto"/>
            <w:vAlign w:val="center"/>
          </w:tcPr>
          <w:p w14:paraId="71852EBB">
            <w:pPr>
              <w:widowControl/>
              <w:jc w:val="left"/>
              <w:rPr>
                <w:rFonts w:hint="eastAsia" w:hAnsi="宋体" w:cs="宋体"/>
                <w:color w:val="000000"/>
                <w:sz w:val="21"/>
                <w:szCs w:val="21"/>
                <w:lang w:bidi="ar"/>
              </w:rPr>
            </w:pPr>
            <w:r>
              <w:rPr>
                <w:rFonts w:hint="eastAsia" w:hAnsi="宋体" w:cs="宋体"/>
                <w:color w:val="000000"/>
                <w:sz w:val="21"/>
                <w:szCs w:val="21"/>
                <w:lang w:bidi="ar"/>
              </w:rPr>
              <w:t>《生产经营单位安全培训规定》（国家安监总局令第3号）第二十四条及《国家安全监管总局关于修改〈生产经营单位安全培训规定〉等11件规章的决定》（国家安全生产监督管理总局令第63号）</w:t>
            </w:r>
          </w:p>
        </w:tc>
        <w:tc>
          <w:tcPr>
            <w:tcW w:w="2406" w:type="dxa"/>
            <w:shd w:val="clear" w:color="auto" w:fill="auto"/>
            <w:vAlign w:val="center"/>
          </w:tcPr>
          <w:p w14:paraId="2937C942">
            <w:pPr>
              <w:widowControl/>
              <w:jc w:val="left"/>
              <w:rPr>
                <w:rFonts w:hint="eastAsia" w:hAnsi="宋体" w:cs="宋体"/>
                <w:color w:val="000000"/>
                <w:sz w:val="21"/>
                <w:szCs w:val="21"/>
                <w:lang w:bidi="ar"/>
              </w:rPr>
            </w:pPr>
            <w:r>
              <w:rPr>
                <w:rFonts w:hint="eastAsia" w:hAnsi="宋体" w:cs="宋体"/>
                <w:color w:val="000000"/>
                <w:sz w:val="21"/>
                <w:szCs w:val="21"/>
                <w:lang w:bidi="ar"/>
              </w:rPr>
              <w:t>已建立了从业人员安全培训档案。</w:t>
            </w:r>
          </w:p>
        </w:tc>
        <w:tc>
          <w:tcPr>
            <w:tcW w:w="907" w:type="dxa"/>
            <w:shd w:val="clear" w:color="auto" w:fill="auto"/>
            <w:vAlign w:val="center"/>
          </w:tcPr>
          <w:p w14:paraId="3E6C107F">
            <w:pPr>
              <w:autoSpaceDE w:val="0"/>
              <w:autoSpaceDN w:val="0"/>
              <w:adjustRightInd w:val="0"/>
              <w:snapToGrid w:val="0"/>
              <w:jc w:val="center"/>
              <w:rPr>
                <w:rFonts w:hint="eastAsia" w:hAnsi="宋体" w:cs="宋体"/>
                <w:sz w:val="21"/>
                <w:szCs w:val="21"/>
              </w:rPr>
            </w:pPr>
            <w:r>
              <w:rPr>
                <w:rFonts w:hint="eastAsia" w:hAnsi="宋体" w:cs="宋体"/>
                <w:sz w:val="21"/>
                <w:szCs w:val="21"/>
              </w:rPr>
              <w:t>符合</w:t>
            </w:r>
          </w:p>
        </w:tc>
      </w:tr>
    </w:tbl>
    <w:p w14:paraId="0D33F39F">
      <w:pPr>
        <w:pStyle w:val="42"/>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napToGrid w:val="0"/>
          <w:color w:val="000000" w:themeColor="text1"/>
          <w14:textFill>
            <w14:solidFill>
              <w14:schemeClr w14:val="tx1"/>
            </w14:solidFill>
          </w14:textFill>
        </w:rPr>
      </w:pPr>
      <w:r>
        <w:rPr>
          <w:rFonts w:hint="eastAsia" w:ascii="宋体" w:hAnsi="宋体" w:eastAsia="宋体" w:cs="宋体"/>
          <w:snapToGrid w:val="0"/>
          <w:color w:val="000000" w:themeColor="text1"/>
          <w14:textFill>
            <w14:solidFill>
              <w14:schemeClr w14:val="tx1"/>
            </w14:solidFill>
          </w14:textFill>
        </w:rPr>
        <w:t>检查评价结果：</w:t>
      </w:r>
    </w:p>
    <w:p w14:paraId="5EED464F">
      <w:pPr>
        <w:pStyle w:val="42"/>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snapToGrid w:val="0"/>
          <w:color w:val="000000" w:themeColor="text1"/>
          <w14:textFill>
            <w14:solidFill>
              <w14:schemeClr w14:val="tx1"/>
            </w14:solidFill>
          </w14:textFill>
        </w:rPr>
      </w:pPr>
      <w:r>
        <w:rPr>
          <w:rFonts w:hint="eastAsia" w:ascii="宋体" w:hAnsi="宋体" w:eastAsia="宋体" w:cs="宋体"/>
          <w:snapToGrid w:val="0"/>
          <w:color w:val="000000" w:themeColor="text1"/>
          <w14:textFill>
            <w14:solidFill>
              <w14:schemeClr w14:val="tx1"/>
            </w14:solidFill>
          </w14:textFill>
        </w:rPr>
        <w:t>公司成立了安全生产领导小组，</w:t>
      </w:r>
      <w:r>
        <w:rPr>
          <w:rFonts w:hint="eastAsia" w:ascii="宋体" w:hAnsi="宋体" w:eastAsia="宋体" w:cs="宋体"/>
          <w:snapToGrid w:val="0"/>
          <w:color w:val="000000" w:themeColor="text1"/>
          <w:lang w:val="en-US" w:eastAsia="zh-CN"/>
          <w14:textFill>
            <w14:solidFill>
              <w14:schemeClr w14:val="tx1"/>
            </w14:solidFill>
          </w14:textFill>
        </w:rPr>
        <w:t>配备</w:t>
      </w:r>
      <w:r>
        <w:rPr>
          <w:rFonts w:hint="eastAsia" w:ascii="宋体" w:hAnsi="宋体" w:eastAsia="宋体" w:cs="宋体"/>
          <w:snapToGrid w:val="0"/>
          <w:color w:val="000000" w:themeColor="text1"/>
          <w14:textFill>
            <w14:solidFill>
              <w14:schemeClr w14:val="tx1"/>
            </w14:solidFill>
          </w14:textFill>
        </w:rPr>
        <w:t>专职安全</w:t>
      </w:r>
      <w:r>
        <w:rPr>
          <w:rFonts w:hint="eastAsia" w:ascii="宋体" w:hAnsi="宋体" w:eastAsia="宋体" w:cs="宋体"/>
          <w:snapToGrid w:val="0"/>
          <w:color w:val="000000" w:themeColor="text1"/>
          <w:lang w:val="en-US" w:eastAsia="zh-CN"/>
          <w14:textFill>
            <w14:solidFill>
              <w14:schemeClr w14:val="tx1"/>
            </w14:solidFill>
          </w14:textFill>
        </w:rPr>
        <w:t>管理员</w:t>
      </w:r>
      <w:r>
        <w:rPr>
          <w:rFonts w:hint="eastAsia" w:ascii="宋体" w:hAnsi="宋体" w:eastAsia="宋体" w:cs="宋体"/>
          <w:snapToGrid w:val="0"/>
          <w:color w:val="000000" w:themeColor="text1"/>
          <w14:textFill>
            <w14:solidFill>
              <w14:schemeClr w14:val="tx1"/>
            </w14:solidFill>
          </w14:textFill>
        </w:rPr>
        <w:t>，制定了相应的安全生产责任制、安全生产管理规章制度和安全操作规程，各类安全检查、安全教育培训均能正常开展。主要负责人、</w:t>
      </w:r>
      <w:r>
        <w:rPr>
          <w:rFonts w:hint="eastAsia" w:ascii="宋体" w:hAnsi="宋体" w:eastAsia="宋体" w:cs="宋体"/>
          <w:snapToGrid w:val="0"/>
          <w:color w:val="000000" w:themeColor="text1"/>
          <w:lang w:val="en-US" w:eastAsia="zh-CN"/>
          <w14:textFill>
            <w14:solidFill>
              <w14:schemeClr w14:val="tx1"/>
            </w14:solidFill>
          </w14:textFill>
        </w:rPr>
        <w:t>安全生产管理员、</w:t>
      </w:r>
      <w:r>
        <w:rPr>
          <w:rFonts w:hint="eastAsia" w:ascii="宋体" w:hAnsi="宋体" w:eastAsia="宋体" w:cs="宋体"/>
          <w:snapToGrid w:val="0"/>
          <w:color w:val="000000" w:themeColor="text1"/>
          <w14:textFill>
            <w14:solidFill>
              <w14:schemeClr w14:val="tx1"/>
            </w14:solidFill>
          </w14:textFill>
        </w:rPr>
        <w:t>特种作业人员均持证上岗。</w:t>
      </w:r>
    </w:p>
    <w:p w14:paraId="2C06F8A0">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842" w:name="_Toc16893"/>
      <w:bookmarkStart w:id="843" w:name="_Toc18546"/>
      <w:bookmarkStart w:id="844" w:name="_Toc11021"/>
      <w:bookmarkStart w:id="845" w:name="_Toc9999"/>
      <w:bookmarkStart w:id="846" w:name="_Toc20915"/>
      <w:bookmarkStart w:id="847" w:name="_Toc3886"/>
      <w:bookmarkStart w:id="848" w:name="_Toc472000511"/>
      <w:bookmarkStart w:id="849" w:name="_Toc455045022"/>
      <w:bookmarkStart w:id="850" w:name="_Toc465848474"/>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5.5.2 应急</w:t>
      </w:r>
      <w:bookmarkEnd w:id="842"/>
      <w:bookmarkEnd w:id="843"/>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救援预案</w:t>
      </w:r>
      <w:bookmarkEnd w:id="844"/>
      <w:bookmarkEnd w:id="845"/>
      <w:bookmarkEnd w:id="846"/>
      <w:bookmarkEnd w:id="847"/>
    </w:p>
    <w:bookmarkEnd w:id="848"/>
    <w:bookmarkEnd w:id="849"/>
    <w:bookmarkEnd w:id="850"/>
    <w:p w14:paraId="20F68C0D">
      <w:pPr>
        <w:adjustRightInd w:val="0"/>
        <w:snapToGrid w:val="0"/>
        <w:spacing w:line="480" w:lineRule="exact"/>
        <w:ind w:firstLine="560"/>
        <w:rPr>
          <w:rFonts w:hint="eastAsia" w:ascii="宋体" w:hAnsi="宋体" w:eastAsia="宋体" w:cs="宋体"/>
          <w:snapToGrid w:val="0"/>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val="0"/>
          <w:color w:val="000000" w:themeColor="text1"/>
          <w:kern w:val="2"/>
          <w:sz w:val="28"/>
          <w:szCs w:val="28"/>
          <w:lang w:val="en-US" w:eastAsia="zh-CN" w:bidi="ar-SA"/>
          <w14:textFill>
            <w14:solidFill>
              <w14:schemeClr w14:val="tx1"/>
            </w14:solidFill>
          </w14:textFill>
        </w:rPr>
        <w:t>根据《中华人民共和国安全生产法》（中华人民共和国主席令第七十号，中华人民共和国主席令第八十八号修改）、《生产安全事故应急预案管理办法》（国家安全生产监督管理总局令第88号，根据应急管理部2号令修正）等法律法规的要求，对项目的事故应急救援管理进行分析评价。</w:t>
      </w:r>
    </w:p>
    <w:p w14:paraId="648E0C23">
      <w:pPr>
        <w:adjustRightInd w:val="0"/>
        <w:snapToGrid w:val="0"/>
        <w:spacing w:line="480" w:lineRule="exact"/>
        <w:ind w:firstLine="802" w:firstLineChars="333"/>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snapToGrid w:val="0"/>
          <w:color w:val="000000" w:themeColor="text1"/>
          <w:kern w:val="2"/>
          <w:sz w:val="24"/>
          <w:szCs w:val="24"/>
          <w:lang w:val="en-US" w:eastAsia="zh-CN" w:bidi="ar-SA"/>
          <w14:textFill>
            <w14:solidFill>
              <w14:schemeClr w14:val="tx1"/>
            </w14:solidFill>
          </w14:textFill>
        </w:rPr>
        <w:t>表5-10</w:t>
      </w:r>
      <w:r>
        <w:rPr>
          <w:rFonts w:hint="eastAsia" w:ascii="宋体" w:hAnsi="宋体" w:eastAsia="宋体" w:cs="宋体"/>
          <w:b/>
          <w:bCs/>
          <w:color w:val="000000" w:themeColor="text1"/>
          <w:sz w:val="24"/>
          <w:szCs w:val="24"/>
          <w14:textFill>
            <w14:solidFill>
              <w14:schemeClr w14:val="tx1"/>
            </w14:solidFill>
          </w14:textFill>
        </w:rPr>
        <w:t>事故应急救援预案检查表</w:t>
      </w:r>
    </w:p>
    <w:tbl>
      <w:tblPr>
        <w:tblStyle w:val="24"/>
        <w:tblW w:w="906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62"/>
        <w:gridCol w:w="3438"/>
        <w:gridCol w:w="2127"/>
        <w:gridCol w:w="2126"/>
        <w:gridCol w:w="709"/>
      </w:tblGrid>
      <w:tr w14:paraId="5021BE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tblHeader/>
          <w:jc w:val="center"/>
        </w:trPr>
        <w:tc>
          <w:tcPr>
            <w:tcW w:w="662" w:type="dxa"/>
            <w:tcBorders>
              <w:top w:val="single" w:color="auto" w:sz="4" w:space="0"/>
              <w:left w:val="single" w:color="auto" w:sz="4" w:space="0"/>
              <w:bottom w:val="single" w:color="auto" w:sz="4" w:space="0"/>
              <w:right w:val="single" w:color="auto" w:sz="4" w:space="0"/>
            </w:tcBorders>
            <w:vAlign w:val="center"/>
          </w:tcPr>
          <w:p w14:paraId="32429D00">
            <w:pPr>
              <w:spacing w:line="240" w:lineRule="auto"/>
              <w:ind w:firstLine="0" w:firstLineChars="0"/>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序号</w:t>
            </w:r>
          </w:p>
        </w:tc>
        <w:tc>
          <w:tcPr>
            <w:tcW w:w="3438" w:type="dxa"/>
            <w:tcBorders>
              <w:top w:val="single" w:color="auto" w:sz="4" w:space="0"/>
              <w:left w:val="single" w:color="auto" w:sz="4" w:space="0"/>
              <w:bottom w:val="single" w:color="auto" w:sz="4" w:space="0"/>
              <w:right w:val="single" w:color="auto" w:sz="4" w:space="0"/>
            </w:tcBorders>
            <w:vAlign w:val="center"/>
          </w:tcPr>
          <w:p w14:paraId="5A67A9C7">
            <w:pPr>
              <w:spacing w:line="240" w:lineRule="auto"/>
              <w:ind w:firstLine="0" w:firstLineChars="0"/>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检查内容</w:t>
            </w:r>
          </w:p>
        </w:tc>
        <w:tc>
          <w:tcPr>
            <w:tcW w:w="2127" w:type="dxa"/>
            <w:tcBorders>
              <w:top w:val="single" w:color="auto" w:sz="4" w:space="0"/>
              <w:left w:val="single" w:color="auto" w:sz="4" w:space="0"/>
              <w:bottom w:val="single" w:color="auto" w:sz="4" w:space="0"/>
              <w:right w:val="single" w:color="auto" w:sz="4" w:space="0"/>
            </w:tcBorders>
            <w:vAlign w:val="center"/>
          </w:tcPr>
          <w:p w14:paraId="6EBBA3CF">
            <w:pPr>
              <w:spacing w:line="240" w:lineRule="auto"/>
              <w:ind w:firstLine="0" w:firstLineChars="0"/>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依据标准</w:t>
            </w:r>
          </w:p>
        </w:tc>
        <w:tc>
          <w:tcPr>
            <w:tcW w:w="2126" w:type="dxa"/>
            <w:tcBorders>
              <w:top w:val="single" w:color="auto" w:sz="4" w:space="0"/>
              <w:left w:val="single" w:color="auto" w:sz="4" w:space="0"/>
              <w:bottom w:val="single" w:color="auto" w:sz="4" w:space="0"/>
              <w:right w:val="single" w:color="auto" w:sz="4" w:space="0"/>
            </w:tcBorders>
            <w:vAlign w:val="center"/>
          </w:tcPr>
          <w:p w14:paraId="2125147A">
            <w:pPr>
              <w:spacing w:line="240" w:lineRule="auto"/>
              <w:ind w:firstLine="0" w:firstLineChars="0"/>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检查情况</w:t>
            </w:r>
          </w:p>
        </w:tc>
        <w:tc>
          <w:tcPr>
            <w:tcW w:w="709" w:type="dxa"/>
            <w:tcBorders>
              <w:top w:val="single" w:color="auto" w:sz="4" w:space="0"/>
              <w:left w:val="single" w:color="auto" w:sz="4" w:space="0"/>
              <w:bottom w:val="single" w:color="auto" w:sz="4" w:space="0"/>
              <w:right w:val="single" w:color="auto" w:sz="4" w:space="0"/>
            </w:tcBorders>
            <w:vAlign w:val="center"/>
          </w:tcPr>
          <w:p w14:paraId="48598DF6">
            <w:pPr>
              <w:spacing w:line="240" w:lineRule="auto"/>
              <w:ind w:firstLine="0" w:firstLineChars="0"/>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结论</w:t>
            </w:r>
          </w:p>
        </w:tc>
      </w:tr>
      <w:tr w14:paraId="19959C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281E32B6">
            <w:pPr>
              <w:numPr>
                <w:ilvl w:val="0"/>
                <w:numId w:val="10"/>
              </w:numPr>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3438" w:type="dxa"/>
            <w:tcBorders>
              <w:top w:val="single" w:color="auto" w:sz="4" w:space="0"/>
              <w:left w:val="single" w:color="auto" w:sz="4" w:space="0"/>
              <w:bottom w:val="single" w:color="auto" w:sz="4" w:space="0"/>
              <w:right w:val="single" w:color="auto" w:sz="4" w:space="0"/>
            </w:tcBorders>
            <w:vAlign w:val="center"/>
          </w:tcPr>
          <w:p w14:paraId="0580749F">
            <w:pPr>
              <w:spacing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生产经营单位应当制定本单位生产安全事故应急救援预案，与所在地县级以上地方人民政府组织制定的生产安全事故应急救援预案相衔接，并定期组织演练。</w:t>
            </w:r>
          </w:p>
        </w:tc>
        <w:tc>
          <w:tcPr>
            <w:tcW w:w="2127" w:type="dxa"/>
            <w:tcBorders>
              <w:top w:val="single" w:color="auto" w:sz="4" w:space="0"/>
              <w:left w:val="single" w:color="auto" w:sz="4" w:space="0"/>
              <w:bottom w:val="single" w:color="auto" w:sz="4" w:space="0"/>
              <w:right w:val="single" w:color="auto" w:sz="4" w:space="0"/>
            </w:tcBorders>
            <w:vAlign w:val="center"/>
          </w:tcPr>
          <w:p w14:paraId="4D8BBE5F">
            <w:pPr>
              <w:spacing w:line="240" w:lineRule="auto"/>
              <w:ind w:firstLine="0" w:firstLineChars="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《中华人民共和国安全生产法》（中华人民共和国主席令第七十号，中华人民共和国主席令第八十八号修改）</w:t>
            </w:r>
          </w:p>
          <w:p w14:paraId="5E11DEB9">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第七十八条</w:t>
            </w:r>
          </w:p>
        </w:tc>
        <w:tc>
          <w:tcPr>
            <w:tcW w:w="2126" w:type="dxa"/>
            <w:tcBorders>
              <w:top w:val="single" w:color="auto" w:sz="4" w:space="0"/>
              <w:left w:val="single" w:color="auto" w:sz="4" w:space="0"/>
              <w:bottom w:val="single" w:color="auto" w:sz="4" w:space="0"/>
              <w:right w:val="single" w:color="auto" w:sz="4" w:space="0"/>
            </w:tcBorders>
            <w:vAlign w:val="center"/>
          </w:tcPr>
          <w:p w14:paraId="5D101A13">
            <w:pPr>
              <w:spacing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企业制定了生产安全事故应急救援预案。</w:t>
            </w:r>
          </w:p>
        </w:tc>
        <w:tc>
          <w:tcPr>
            <w:tcW w:w="709" w:type="dxa"/>
            <w:tcBorders>
              <w:top w:val="single" w:color="auto" w:sz="4" w:space="0"/>
              <w:left w:val="single" w:color="auto" w:sz="4" w:space="0"/>
              <w:bottom w:val="single" w:color="auto" w:sz="4" w:space="0"/>
              <w:right w:val="single" w:color="auto" w:sz="4" w:space="0"/>
            </w:tcBorders>
            <w:vAlign w:val="center"/>
          </w:tcPr>
          <w:p w14:paraId="65A43345">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07EBB2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682D002C">
            <w:pPr>
              <w:numPr>
                <w:ilvl w:val="0"/>
                <w:numId w:val="10"/>
              </w:numPr>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3438" w:type="dxa"/>
            <w:tcBorders>
              <w:top w:val="single" w:color="auto" w:sz="4" w:space="0"/>
              <w:left w:val="single" w:color="auto" w:sz="4" w:space="0"/>
              <w:bottom w:val="single" w:color="auto" w:sz="4" w:space="0"/>
              <w:right w:val="single" w:color="auto" w:sz="4" w:space="0"/>
            </w:tcBorders>
            <w:vAlign w:val="center"/>
          </w:tcPr>
          <w:p w14:paraId="3586FEFA">
            <w:pPr>
              <w:spacing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矿山、金属冶炼、建筑施工企业和易燃易爆物品、危险化学品的生产、经营（带储存设施的，下同）、储存企业，以及使用危险化学品达到国家规定数量的化工企业、烟花爆竹生产、批发经营企业和中型规模以上的其他生产经营单位，应当对本单位编制的应急预案进行评审，并形成书面评审纪要。</w:t>
            </w:r>
          </w:p>
          <w:p w14:paraId="528A1DFE">
            <w:pPr>
              <w:spacing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前款规定以外的其他生产经营单位应当对本单位编制的应急预案进行论证。</w:t>
            </w:r>
          </w:p>
        </w:tc>
        <w:tc>
          <w:tcPr>
            <w:tcW w:w="2127" w:type="dxa"/>
            <w:tcBorders>
              <w:top w:val="single" w:color="auto" w:sz="4" w:space="0"/>
              <w:left w:val="single" w:color="auto" w:sz="4" w:space="0"/>
              <w:bottom w:val="single" w:color="auto" w:sz="4" w:space="0"/>
              <w:right w:val="single" w:color="auto" w:sz="4" w:space="0"/>
            </w:tcBorders>
            <w:vAlign w:val="center"/>
          </w:tcPr>
          <w:p w14:paraId="35565B27">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《生产安全事故应急预案管理办法》</w:t>
            </w:r>
          </w:p>
          <w:p w14:paraId="1F33DB19">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（国家安全生产监督管理总局令第88号，根据应急管理部2号令修正）</w:t>
            </w:r>
          </w:p>
          <w:p w14:paraId="7A840A64">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第二十一条</w:t>
            </w:r>
          </w:p>
        </w:tc>
        <w:tc>
          <w:tcPr>
            <w:tcW w:w="2126" w:type="dxa"/>
            <w:tcBorders>
              <w:top w:val="single" w:color="auto" w:sz="4" w:space="0"/>
              <w:left w:val="single" w:color="auto" w:sz="4" w:space="0"/>
              <w:bottom w:val="single" w:color="auto" w:sz="4" w:space="0"/>
              <w:right w:val="single" w:color="auto" w:sz="4" w:space="0"/>
            </w:tcBorders>
            <w:vAlign w:val="center"/>
          </w:tcPr>
          <w:p w14:paraId="1490B337">
            <w:pPr>
              <w:spacing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企业制定了生产安全事故应急救援预案，并对应急预案进行评审，形成书面评审纪要。</w:t>
            </w:r>
          </w:p>
        </w:tc>
        <w:tc>
          <w:tcPr>
            <w:tcW w:w="709" w:type="dxa"/>
            <w:tcBorders>
              <w:top w:val="single" w:color="auto" w:sz="4" w:space="0"/>
              <w:left w:val="single" w:color="auto" w:sz="4" w:space="0"/>
              <w:bottom w:val="single" w:color="auto" w:sz="4" w:space="0"/>
              <w:right w:val="single" w:color="auto" w:sz="4" w:space="0"/>
            </w:tcBorders>
            <w:vAlign w:val="center"/>
          </w:tcPr>
          <w:p w14:paraId="768A0AC8">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726664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5AAFF47F">
            <w:pPr>
              <w:numPr>
                <w:ilvl w:val="0"/>
                <w:numId w:val="10"/>
              </w:numPr>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3438" w:type="dxa"/>
            <w:tcBorders>
              <w:top w:val="single" w:color="auto" w:sz="4" w:space="0"/>
              <w:left w:val="single" w:color="auto" w:sz="4" w:space="0"/>
              <w:bottom w:val="single" w:color="auto" w:sz="4" w:space="0"/>
              <w:right w:val="single" w:color="auto" w:sz="4" w:space="0"/>
            </w:tcBorders>
            <w:vAlign w:val="center"/>
          </w:tcPr>
          <w:p w14:paraId="585195BB">
            <w:pPr>
              <w:spacing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易燃易爆物品、危险化学品等危险物品的生产、经营、储存、运输单位，矿山、金属冶炼、城市轨道交通运营、建筑施工单位，以及宾馆、商场、娱乐场所、旅游景区等人员密集场所经营单位，应当在应急预案公布之日起20个工作日内，按照分级属地原则，向县级以上人民政府应急管理部门和其他负有安全生产监督管理职责的部门进行备案，并依法向社会公布。</w:t>
            </w:r>
          </w:p>
        </w:tc>
        <w:tc>
          <w:tcPr>
            <w:tcW w:w="2127" w:type="dxa"/>
            <w:tcBorders>
              <w:top w:val="single" w:color="auto" w:sz="4" w:space="0"/>
              <w:left w:val="single" w:color="auto" w:sz="4" w:space="0"/>
              <w:bottom w:val="single" w:color="auto" w:sz="4" w:space="0"/>
              <w:right w:val="single" w:color="auto" w:sz="4" w:space="0"/>
            </w:tcBorders>
            <w:vAlign w:val="center"/>
          </w:tcPr>
          <w:p w14:paraId="4AF5A661">
            <w:pPr>
              <w:spacing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《生产安全事故应急预案管理办法》</w:t>
            </w:r>
          </w:p>
          <w:p w14:paraId="730F73CE">
            <w:pPr>
              <w:spacing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（国家安全生产监督管理总局令第88号，根据应急管理部2号令修正）</w:t>
            </w:r>
          </w:p>
          <w:p w14:paraId="593CA87F">
            <w:pPr>
              <w:spacing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第二十六条</w:t>
            </w:r>
          </w:p>
        </w:tc>
        <w:tc>
          <w:tcPr>
            <w:tcW w:w="2126" w:type="dxa"/>
            <w:tcBorders>
              <w:top w:val="single" w:color="auto" w:sz="4" w:space="0"/>
              <w:left w:val="single" w:color="auto" w:sz="4" w:space="0"/>
              <w:bottom w:val="single" w:color="auto" w:sz="4" w:space="0"/>
              <w:right w:val="single" w:color="auto" w:sz="4" w:space="0"/>
            </w:tcBorders>
            <w:vAlign w:val="center"/>
          </w:tcPr>
          <w:p w14:paraId="3E0D8C8B">
            <w:pPr>
              <w:spacing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已报送应急管理局备案。</w:t>
            </w:r>
          </w:p>
        </w:tc>
        <w:tc>
          <w:tcPr>
            <w:tcW w:w="709" w:type="dxa"/>
            <w:tcBorders>
              <w:top w:val="single" w:color="auto" w:sz="4" w:space="0"/>
              <w:left w:val="single" w:color="auto" w:sz="4" w:space="0"/>
              <w:bottom w:val="single" w:color="auto" w:sz="4" w:space="0"/>
              <w:right w:val="single" w:color="auto" w:sz="4" w:space="0"/>
            </w:tcBorders>
            <w:vAlign w:val="center"/>
          </w:tcPr>
          <w:p w14:paraId="5C356AA9">
            <w:pPr>
              <w:spacing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5F8F3C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6719B8DC">
            <w:pPr>
              <w:numPr>
                <w:ilvl w:val="0"/>
                <w:numId w:val="10"/>
              </w:numPr>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3438" w:type="dxa"/>
            <w:tcBorders>
              <w:top w:val="single" w:color="auto" w:sz="4" w:space="0"/>
              <w:left w:val="single" w:color="auto" w:sz="4" w:space="0"/>
              <w:bottom w:val="single" w:color="auto" w:sz="4" w:space="0"/>
              <w:right w:val="single" w:color="auto" w:sz="4" w:space="0"/>
            </w:tcBorders>
            <w:vAlign w:val="center"/>
          </w:tcPr>
          <w:p w14:paraId="11091EDF">
            <w:pPr>
              <w:spacing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各级应急管理部门应当将本部门应急预案的培训纳入安全生产培训工作计划，并组织实施本行政区域内重点生产经营单位的应急预案培训工作。</w:t>
            </w:r>
          </w:p>
          <w:p w14:paraId="36907E1B">
            <w:pPr>
              <w:spacing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生产经营单位应当组织开展本单位的应急预案、应急知识、自救互救和避险逃生技能的培训活动，使有关人员了解应急预案内容，熟悉应急职责、应急处置程序和措施。</w:t>
            </w:r>
          </w:p>
          <w:p w14:paraId="6F8C04ED">
            <w:pPr>
              <w:spacing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应急培训的时间、地点、内容、师资、参加人员和考核结果等情况应当如实记入本单位的安全生产教育和培训档案。</w:t>
            </w:r>
          </w:p>
        </w:tc>
        <w:tc>
          <w:tcPr>
            <w:tcW w:w="2127" w:type="dxa"/>
            <w:tcBorders>
              <w:top w:val="single" w:color="auto" w:sz="4" w:space="0"/>
              <w:left w:val="single" w:color="auto" w:sz="4" w:space="0"/>
              <w:bottom w:val="single" w:color="auto" w:sz="4" w:space="0"/>
              <w:right w:val="single" w:color="auto" w:sz="4" w:space="0"/>
            </w:tcBorders>
            <w:vAlign w:val="center"/>
          </w:tcPr>
          <w:p w14:paraId="4D000CAD">
            <w:pPr>
              <w:spacing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《生产安全事故应急预案管理办法》</w:t>
            </w:r>
          </w:p>
          <w:p w14:paraId="5E1DA3F8">
            <w:pPr>
              <w:spacing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（国家安全生产监督管理总局令第88号，根据应急管理部2号令修正）</w:t>
            </w:r>
          </w:p>
          <w:p w14:paraId="2D143738">
            <w:pPr>
              <w:spacing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bookmarkStart w:id="851" w:name="_Toc510859842"/>
            <w:bookmarkStart w:id="852" w:name="_Toc494296193"/>
            <w:bookmarkStart w:id="853" w:name="_Toc523950027"/>
            <w:bookmarkStart w:id="854" w:name="_Toc2253647"/>
            <w:r>
              <w:rPr>
                <w:rFonts w:hint="eastAsia" w:ascii="宋体" w:hAnsi="宋体" w:eastAsia="宋体" w:cs="宋体"/>
                <w:color w:val="000000" w:themeColor="text1"/>
                <w:sz w:val="21"/>
                <w:szCs w:val="21"/>
                <w14:textFill>
                  <w14:solidFill>
                    <w14:schemeClr w14:val="tx1"/>
                  </w14:solidFill>
                </w14:textFill>
              </w:rPr>
              <w:t>第三十一条</w:t>
            </w:r>
            <w:bookmarkEnd w:id="851"/>
            <w:bookmarkEnd w:id="852"/>
            <w:bookmarkEnd w:id="853"/>
            <w:bookmarkEnd w:id="854"/>
          </w:p>
        </w:tc>
        <w:tc>
          <w:tcPr>
            <w:tcW w:w="2126" w:type="dxa"/>
            <w:tcBorders>
              <w:top w:val="single" w:color="auto" w:sz="4" w:space="0"/>
              <w:left w:val="single" w:color="auto" w:sz="4" w:space="0"/>
              <w:bottom w:val="single" w:color="auto" w:sz="4" w:space="0"/>
              <w:right w:val="single" w:color="auto" w:sz="4" w:space="0"/>
            </w:tcBorders>
            <w:vAlign w:val="center"/>
          </w:tcPr>
          <w:p w14:paraId="4079D43F">
            <w:pPr>
              <w:spacing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企业</w:t>
            </w:r>
            <w:r>
              <w:rPr>
                <w:rFonts w:hint="eastAsia" w:ascii="宋体" w:hAnsi="宋体" w:eastAsia="宋体" w:cs="宋体"/>
                <w:color w:val="000000" w:themeColor="text1"/>
                <w:sz w:val="21"/>
                <w:szCs w:val="21"/>
                <w:lang w:val="en-US" w:eastAsia="zh-CN"/>
                <w14:textFill>
                  <w14:solidFill>
                    <w14:schemeClr w14:val="tx1"/>
                  </w14:solidFill>
                </w14:textFill>
              </w:rPr>
              <w:t>按要求</w:t>
            </w:r>
            <w:r>
              <w:rPr>
                <w:rFonts w:hint="eastAsia" w:ascii="宋体" w:hAnsi="宋体" w:eastAsia="宋体" w:cs="宋体"/>
                <w:color w:val="000000" w:themeColor="text1"/>
                <w:sz w:val="21"/>
                <w:szCs w:val="21"/>
                <w14:textFill>
                  <w14:solidFill>
                    <w14:schemeClr w14:val="tx1"/>
                  </w14:solidFill>
                </w14:textFill>
              </w:rPr>
              <w:t>组织开展应急预案、应急知识、自救互救和避险逃生技能的培训活动。</w:t>
            </w:r>
          </w:p>
        </w:tc>
        <w:tc>
          <w:tcPr>
            <w:tcW w:w="709" w:type="dxa"/>
            <w:tcBorders>
              <w:top w:val="single" w:color="auto" w:sz="4" w:space="0"/>
              <w:left w:val="single" w:color="auto" w:sz="4" w:space="0"/>
              <w:bottom w:val="single" w:color="auto" w:sz="4" w:space="0"/>
              <w:right w:val="single" w:color="auto" w:sz="4" w:space="0"/>
            </w:tcBorders>
            <w:vAlign w:val="center"/>
          </w:tcPr>
          <w:p w14:paraId="1E38CB34">
            <w:pPr>
              <w:spacing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58F833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3B2CCBB8">
            <w:pPr>
              <w:numPr>
                <w:ilvl w:val="0"/>
                <w:numId w:val="10"/>
              </w:numPr>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3438" w:type="dxa"/>
            <w:tcBorders>
              <w:top w:val="single" w:color="auto" w:sz="4" w:space="0"/>
              <w:left w:val="single" w:color="auto" w:sz="4" w:space="0"/>
              <w:bottom w:val="single" w:color="auto" w:sz="4" w:space="0"/>
              <w:right w:val="single" w:color="auto" w:sz="4" w:space="0"/>
            </w:tcBorders>
            <w:vAlign w:val="center"/>
          </w:tcPr>
          <w:p w14:paraId="27F7247E">
            <w:pPr>
              <w:spacing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生产经营单位应当按照应急预案的规定，落实应急指挥体系、应急救援队伍、应急物资及装备，建立应急物资、装备配备及其使用档案，并对应急物资、装备进行定期检测和维护，使其处于适用状态。</w:t>
            </w:r>
          </w:p>
        </w:tc>
        <w:tc>
          <w:tcPr>
            <w:tcW w:w="2127" w:type="dxa"/>
            <w:tcBorders>
              <w:top w:val="single" w:color="auto" w:sz="4" w:space="0"/>
              <w:left w:val="single" w:color="auto" w:sz="4" w:space="0"/>
              <w:bottom w:val="single" w:color="auto" w:sz="4" w:space="0"/>
              <w:right w:val="single" w:color="auto" w:sz="4" w:space="0"/>
            </w:tcBorders>
            <w:vAlign w:val="center"/>
          </w:tcPr>
          <w:p w14:paraId="7AE1E7CF">
            <w:pPr>
              <w:spacing w:line="240" w:lineRule="auto"/>
              <w:ind w:firstLine="0" w:firstLineChars="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《生产安全事故应急预案管理办法》</w:t>
            </w:r>
          </w:p>
          <w:p w14:paraId="5A3A1DEB">
            <w:pPr>
              <w:spacing w:line="240" w:lineRule="auto"/>
              <w:ind w:firstLine="0" w:firstLineChars="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（国家安全生产监督管理总局令第88号，根据应急管理部2号令修正）</w:t>
            </w:r>
          </w:p>
          <w:p w14:paraId="7FA6DB8C">
            <w:pPr>
              <w:spacing w:line="240" w:lineRule="auto"/>
              <w:ind w:firstLine="0" w:firstLineChars="0"/>
              <w:jc w:val="left"/>
              <w:rPr>
                <w:rFonts w:hint="eastAsia" w:ascii="宋体" w:hAnsi="宋体" w:eastAsia="宋体" w:cs="宋体"/>
                <w:color w:val="000000" w:themeColor="text1"/>
                <w:sz w:val="21"/>
                <w:szCs w:val="21"/>
                <w14:textFill>
                  <w14:solidFill>
                    <w14:schemeClr w14:val="tx1"/>
                  </w14:solidFill>
                </w14:textFill>
              </w:rPr>
            </w:pPr>
            <w:bookmarkStart w:id="855" w:name="_Toc510859844"/>
            <w:bookmarkStart w:id="856" w:name="_Toc2253649"/>
            <w:bookmarkStart w:id="857" w:name="_Toc523950029"/>
            <w:bookmarkStart w:id="858" w:name="_Toc494296195"/>
            <w:r>
              <w:rPr>
                <w:rFonts w:hint="eastAsia" w:ascii="宋体" w:hAnsi="宋体" w:eastAsia="宋体" w:cs="宋体"/>
                <w:color w:val="000000" w:themeColor="text1"/>
                <w:sz w:val="21"/>
                <w:szCs w:val="21"/>
                <w14:textFill>
                  <w14:solidFill>
                    <w14:schemeClr w14:val="tx1"/>
                  </w14:solidFill>
                </w14:textFill>
              </w:rPr>
              <w:t>第三十八条</w:t>
            </w:r>
            <w:bookmarkEnd w:id="855"/>
            <w:bookmarkEnd w:id="856"/>
            <w:bookmarkEnd w:id="857"/>
            <w:bookmarkEnd w:id="858"/>
          </w:p>
        </w:tc>
        <w:tc>
          <w:tcPr>
            <w:tcW w:w="2126" w:type="dxa"/>
            <w:tcBorders>
              <w:top w:val="single" w:color="auto" w:sz="4" w:space="0"/>
              <w:left w:val="single" w:color="auto" w:sz="4" w:space="0"/>
              <w:bottom w:val="single" w:color="auto" w:sz="4" w:space="0"/>
              <w:right w:val="single" w:color="auto" w:sz="4" w:space="0"/>
            </w:tcBorders>
            <w:vAlign w:val="center"/>
          </w:tcPr>
          <w:p w14:paraId="3A0EA47A">
            <w:pPr>
              <w:spacing w:line="24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企业按照应急预案的规定，落实了应急指挥体系、应急救援队伍、应急物资及装备，应急物资、装备进行处于适用状态。</w:t>
            </w:r>
          </w:p>
        </w:tc>
        <w:tc>
          <w:tcPr>
            <w:tcW w:w="709" w:type="dxa"/>
            <w:tcBorders>
              <w:top w:val="single" w:color="auto" w:sz="4" w:space="0"/>
              <w:left w:val="single" w:color="auto" w:sz="4" w:space="0"/>
              <w:bottom w:val="single" w:color="auto" w:sz="4" w:space="0"/>
              <w:right w:val="single" w:color="auto" w:sz="4" w:space="0"/>
            </w:tcBorders>
            <w:vAlign w:val="center"/>
          </w:tcPr>
          <w:p w14:paraId="20144B30">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r w14:paraId="3C37BE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14:paraId="27B612B8">
            <w:pPr>
              <w:numPr>
                <w:ilvl w:val="0"/>
                <w:numId w:val="10"/>
              </w:numPr>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3438" w:type="dxa"/>
            <w:tcBorders>
              <w:top w:val="single" w:color="auto" w:sz="4" w:space="0"/>
              <w:left w:val="single" w:color="auto" w:sz="4" w:space="0"/>
              <w:bottom w:val="single" w:color="auto" w:sz="4" w:space="0"/>
              <w:right w:val="single" w:color="auto" w:sz="4" w:space="0"/>
            </w:tcBorders>
            <w:shd w:val="clear" w:color="auto" w:fill="auto"/>
            <w:vAlign w:val="center"/>
          </w:tcPr>
          <w:p w14:paraId="5EDF30A9">
            <w:pPr>
              <w:adjustRightInd w:val="0"/>
              <w:snapToGrid w:val="0"/>
              <w:jc w:val="left"/>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生产经营单位应当制定本单位的应急预案演练计划，根据本单位的事故风险特点，每年至少组织一次综合应急预案演练或者专项应急预案演练，每半年至少组织一次现场处置方案演练。</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14:paraId="31E67CD2">
            <w:pPr>
              <w:adjustRightInd w:val="0"/>
              <w:snapToGrid w:val="0"/>
              <w:jc w:val="left"/>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《生产安全事故应急预案管理办法》第三十三条</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05281C1B">
            <w:pPr>
              <w:adjustRightInd w:val="0"/>
              <w:snapToGrid w:val="0"/>
              <w:jc w:val="left"/>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公司</w:t>
            </w:r>
            <w:r>
              <w:rPr>
                <w:rFonts w:hint="eastAsia" w:ascii="宋体" w:hAnsi="宋体" w:eastAsia="宋体" w:cs="宋体"/>
                <w:color w:val="000000" w:themeColor="text1"/>
                <w:sz w:val="21"/>
                <w:szCs w:val="21"/>
                <w:lang w:val="en-US" w:eastAsia="zh-CN"/>
                <w14:textFill>
                  <w14:solidFill>
                    <w14:schemeClr w14:val="tx1"/>
                  </w14:solidFill>
                </w14:textFill>
              </w:rPr>
              <w:t>将于近期</w:t>
            </w:r>
            <w:r>
              <w:rPr>
                <w:rFonts w:hint="eastAsia" w:ascii="宋体" w:hAnsi="宋体" w:eastAsia="宋体" w:cs="宋体"/>
                <w:color w:val="000000" w:themeColor="text1"/>
                <w:sz w:val="21"/>
                <w:szCs w:val="21"/>
                <w14:textFill>
                  <w14:solidFill>
                    <w14:schemeClr w14:val="tx1"/>
                  </w14:solidFill>
                </w14:textFill>
              </w:rPr>
              <w:t>组织演练。</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4CBC3986">
            <w:pPr>
              <w:adjustRightInd w:val="0"/>
              <w:snapToGrid w:val="0"/>
              <w:jc w:val="left"/>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w:t>
            </w:r>
          </w:p>
        </w:tc>
      </w:tr>
    </w:tbl>
    <w:p w14:paraId="7EDA730A">
      <w:pPr>
        <w:pStyle w:val="42"/>
        <w:adjustRightInd w:val="0"/>
        <w:snapToGrid w:val="0"/>
        <w:ind w:left="0" w:leftChars="0" w:firstLine="560" w:firstLineChars="200"/>
        <w:rPr>
          <w:rFonts w:hint="eastAsia" w:ascii="宋体" w:hAnsi="宋体" w:eastAsia="宋体" w:cs="宋体"/>
          <w:snapToGrid w:val="0"/>
          <w:color w:val="000000" w:themeColor="text1"/>
          <w:lang w:val="en-US" w:eastAsia="zh-CN"/>
          <w14:textFill>
            <w14:solidFill>
              <w14:schemeClr w14:val="tx1"/>
            </w14:solidFill>
          </w14:textFill>
        </w:rPr>
      </w:pPr>
      <w:r>
        <w:rPr>
          <w:rFonts w:hint="eastAsia" w:ascii="宋体" w:hAnsi="宋体" w:eastAsia="宋体" w:cs="宋体"/>
          <w:snapToGrid w:val="0"/>
          <w:color w:val="000000" w:themeColor="text1"/>
          <w:lang w:val="en-US" w:eastAsia="zh-CN"/>
          <w14:textFill>
            <w14:solidFill>
              <w14:schemeClr w14:val="tx1"/>
            </w14:solidFill>
          </w14:textFill>
        </w:rPr>
        <w:t>云南普菲特数控机械有限公司</w:t>
      </w:r>
      <w:r>
        <w:rPr>
          <w:rFonts w:hint="eastAsia" w:ascii="宋体" w:hAnsi="宋体" w:eastAsia="宋体" w:cs="宋体"/>
          <w:snapToGrid w:val="0"/>
          <w:color w:val="000000" w:themeColor="text1"/>
          <w14:textFill>
            <w14:solidFill>
              <w14:schemeClr w14:val="tx1"/>
            </w14:solidFill>
          </w14:textFill>
        </w:rPr>
        <w:t>编制了生产安全事故综合应急预案，组织专家对预案进行了评审，颁布实施，已备案</w:t>
      </w:r>
      <w:r>
        <w:rPr>
          <w:rFonts w:hint="eastAsia" w:ascii="宋体" w:hAnsi="宋体" w:eastAsia="宋体" w:cs="宋体"/>
          <w:snapToGrid w:val="0"/>
          <w:color w:val="000000" w:themeColor="text1"/>
          <w:lang w:eastAsia="zh-CN"/>
          <w14:textFill>
            <w14:solidFill>
              <w14:schemeClr w14:val="tx1"/>
            </w14:solidFill>
          </w14:textFill>
        </w:rPr>
        <w:t>，</w:t>
      </w:r>
      <w:r>
        <w:rPr>
          <w:rFonts w:hint="eastAsia" w:ascii="宋体" w:hAnsi="宋体" w:eastAsia="宋体" w:cs="宋体"/>
          <w:snapToGrid w:val="0"/>
          <w:color w:val="000000" w:themeColor="text1"/>
          <w:lang w:val="en-US" w:eastAsia="zh-CN"/>
          <w14:textFill>
            <w14:solidFill>
              <w14:schemeClr w14:val="tx1"/>
            </w14:solidFill>
          </w14:textFill>
        </w:rPr>
        <w:t>并能定期组织演练。</w:t>
      </w:r>
    </w:p>
    <w:p w14:paraId="2A4B211C">
      <w:pPr>
        <w:pStyle w:val="4"/>
        <w:keepNext/>
        <w:keepLines/>
        <w:pageBreakBefore w:val="0"/>
        <w:widowControl w:val="0"/>
        <w:kinsoku/>
        <w:wordWrap/>
        <w:overflowPunct/>
        <w:topLinePunct w:val="0"/>
        <w:autoSpaceDE/>
        <w:autoSpaceDN/>
        <w:bidi w:val="0"/>
        <w:adjustRightInd/>
        <w:snapToGrid w:val="0"/>
        <w:spacing w:before="0" w:after="0" w:line="520" w:lineRule="exact"/>
        <w:ind w:leftChars="0"/>
        <w:jc w:val="both"/>
        <w:textAlignment w:val="auto"/>
        <w:rPr>
          <w:rFonts w:hint="eastAsia" w:ascii="宋体" w:hAnsi="宋体" w:eastAsia="宋体" w:cs="宋体"/>
          <w:snapToGrid w:val="0"/>
          <w:color w:val="000000" w:themeColor="text1"/>
          <w:kern w:val="0"/>
          <w:sz w:val="28"/>
          <w:szCs w:val="28"/>
          <w:lang w:val="en-US" w:eastAsia="zh-CN"/>
          <w14:textFill>
            <w14:solidFill>
              <w14:schemeClr w14:val="tx1"/>
            </w14:solidFill>
          </w14:textFill>
        </w:rPr>
      </w:pPr>
      <w:bookmarkStart w:id="859" w:name="_Toc27751"/>
      <w:bookmarkStart w:id="860" w:name="_Toc18420"/>
      <w:bookmarkStart w:id="861" w:name="_Toc19155"/>
      <w:bookmarkStart w:id="862" w:name="_Toc8417"/>
      <w:bookmarkStart w:id="863" w:name="_Toc959"/>
      <w:bookmarkStart w:id="864" w:name="_Toc9537"/>
      <w:r>
        <w:rPr>
          <w:rFonts w:hint="eastAsia" w:ascii="宋体" w:hAnsi="宋体" w:eastAsia="宋体" w:cs="宋体"/>
          <w:snapToGrid w:val="0"/>
          <w:color w:val="000000" w:themeColor="text1"/>
          <w:kern w:val="0"/>
          <w:sz w:val="28"/>
          <w:szCs w:val="28"/>
          <w:lang w:val="en-US" w:eastAsia="zh-CN"/>
          <w14:textFill>
            <w14:solidFill>
              <w14:schemeClr w14:val="tx1"/>
            </w14:solidFill>
          </w14:textFill>
        </w:rPr>
        <w:t>5.5.3 单元小结</w:t>
      </w:r>
      <w:bookmarkEnd w:id="859"/>
      <w:bookmarkEnd w:id="860"/>
      <w:bookmarkEnd w:id="861"/>
      <w:bookmarkEnd w:id="862"/>
      <w:bookmarkEnd w:id="863"/>
      <w:bookmarkEnd w:id="864"/>
    </w:p>
    <w:p w14:paraId="69704B5A">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企业结合自身实际成立了安全</w:t>
      </w:r>
      <w:r>
        <w:rPr>
          <w:rFonts w:hint="eastAsia" w:ascii="宋体" w:hAnsi="宋体" w:eastAsia="宋体" w:cs="宋体"/>
          <w:color w:val="000000" w:themeColor="text1"/>
          <w:sz w:val="28"/>
          <w:szCs w:val="28"/>
          <w:lang w:eastAsia="zh-CN"/>
          <w14:textFill>
            <w14:solidFill>
              <w14:schemeClr w14:val="tx1"/>
            </w14:solidFill>
          </w14:textFill>
        </w:rPr>
        <w:t>生产</w:t>
      </w:r>
      <w:r>
        <w:rPr>
          <w:rFonts w:hint="eastAsia" w:ascii="宋体" w:hAnsi="宋体" w:eastAsia="宋体" w:cs="宋体"/>
          <w:color w:val="000000" w:themeColor="text1"/>
          <w:sz w:val="28"/>
          <w:szCs w:val="28"/>
          <w14:textFill>
            <w14:solidFill>
              <w14:schemeClr w14:val="tx1"/>
            </w14:solidFill>
          </w14:textFill>
        </w:rPr>
        <w:t>领导小组，并任命了专职安全管理人员，建立了全员安全生产责任制、安全管理规章制度、安全操作规程及安全</w:t>
      </w:r>
      <w:r>
        <w:rPr>
          <w:rFonts w:hint="eastAsia" w:ascii="宋体" w:hAnsi="宋体" w:eastAsia="宋体" w:cs="宋体"/>
          <w:color w:val="000000" w:themeColor="text1"/>
          <w:sz w:val="28"/>
          <w:szCs w:val="28"/>
          <w:lang w:eastAsia="zh-CN"/>
          <w14:textFill>
            <w14:solidFill>
              <w14:schemeClr w14:val="tx1"/>
            </w14:solidFill>
          </w14:textFill>
        </w:rPr>
        <w:t>管理台账</w:t>
      </w:r>
      <w:r>
        <w:rPr>
          <w:rFonts w:hint="eastAsia" w:ascii="宋体" w:hAnsi="宋体" w:eastAsia="宋体" w:cs="宋体"/>
          <w:color w:val="000000" w:themeColor="text1"/>
          <w:sz w:val="28"/>
          <w:szCs w:val="28"/>
          <w14:textFill>
            <w14:solidFill>
              <w14:schemeClr w14:val="tx1"/>
            </w14:solidFill>
          </w14:textFill>
        </w:rPr>
        <w:t>，为企业职工配发了劳动防护用品。</w:t>
      </w:r>
    </w:p>
    <w:p w14:paraId="18B3AF1D">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企业按照应急预案的规定，</w:t>
      </w:r>
      <w:r>
        <w:rPr>
          <w:rFonts w:hint="eastAsia" w:ascii="宋体" w:hAnsi="宋体" w:eastAsia="宋体" w:cs="宋体"/>
          <w:color w:val="000000" w:themeColor="text1"/>
          <w:sz w:val="28"/>
          <w:szCs w:val="28"/>
          <w:lang w:val="en-US" w:eastAsia="zh-CN"/>
          <w14:textFill>
            <w14:solidFill>
              <w14:schemeClr w14:val="tx1"/>
            </w14:solidFill>
          </w14:textFill>
        </w:rPr>
        <w:t>编制了应急预案，</w:t>
      </w:r>
      <w:r>
        <w:rPr>
          <w:rFonts w:hint="eastAsia" w:ascii="宋体" w:hAnsi="宋体" w:eastAsia="宋体" w:cs="宋体"/>
          <w:color w:val="000000" w:themeColor="text1"/>
          <w:sz w:val="28"/>
          <w:szCs w:val="28"/>
          <w14:textFill>
            <w14:solidFill>
              <w14:schemeClr w14:val="tx1"/>
            </w14:solidFill>
          </w14:textFill>
        </w:rPr>
        <w:t>落实了应急指挥体系、应急救援队伍、应急物资及装备，应急物资、装备进行处于适用状态。</w:t>
      </w:r>
      <w:r>
        <w:rPr>
          <w:rFonts w:hint="eastAsia" w:ascii="宋体" w:hAnsi="宋体" w:eastAsia="宋体" w:cs="宋体"/>
          <w:color w:val="000000" w:themeColor="text1"/>
          <w:sz w:val="28"/>
          <w:szCs w:val="28"/>
          <w:lang w:val="en-US" w:eastAsia="zh-CN"/>
          <w14:textFill>
            <w14:solidFill>
              <w14:schemeClr w14:val="tx1"/>
            </w14:solidFill>
          </w14:textFill>
        </w:rPr>
        <w:t>企业预案已按要求到玉溪市红塔区应急管理局进行了备案。</w:t>
      </w:r>
    </w:p>
    <w:p w14:paraId="3D43C40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根据评价分析，安全管理评价单元</w:t>
      </w:r>
      <w:r>
        <w:rPr>
          <w:rFonts w:hint="eastAsia" w:ascii="宋体" w:hAnsi="宋体" w:eastAsia="宋体" w:cs="宋体"/>
          <w:color w:val="000000" w:themeColor="text1"/>
          <w:sz w:val="28"/>
          <w:szCs w:val="28"/>
          <w14:textFill>
            <w14:solidFill>
              <w14:schemeClr w14:val="tx1"/>
            </w14:solidFill>
          </w14:textFill>
        </w:rPr>
        <w:t>符合</w:t>
      </w:r>
      <w:r>
        <w:rPr>
          <w:rFonts w:hint="eastAsia" w:ascii="宋体" w:hAnsi="宋体" w:eastAsia="宋体" w:cs="宋体"/>
          <w:color w:val="000000" w:themeColor="text1"/>
          <w:sz w:val="28"/>
          <w:szCs w:val="28"/>
          <w:lang w:val="en-US" w:eastAsia="zh-CN"/>
          <w14:textFill>
            <w14:solidFill>
              <w14:schemeClr w14:val="tx1"/>
            </w14:solidFill>
          </w14:textFill>
        </w:rPr>
        <w:t>相关法律规范的</w:t>
      </w:r>
      <w:r>
        <w:rPr>
          <w:rFonts w:hint="eastAsia" w:ascii="宋体" w:hAnsi="宋体" w:eastAsia="宋体" w:cs="宋体"/>
          <w:color w:val="000000" w:themeColor="text1"/>
          <w:sz w:val="28"/>
          <w:szCs w:val="28"/>
          <w14:textFill>
            <w14:solidFill>
              <w14:schemeClr w14:val="tx1"/>
            </w14:solidFill>
          </w14:textFill>
        </w:rPr>
        <w:t>要求。</w:t>
      </w:r>
    </w:p>
    <w:p w14:paraId="5CAC408E">
      <w:pPr>
        <w:pStyle w:val="3"/>
        <w:keepNext/>
        <w:keepLines/>
        <w:pageBreakBefore w:val="0"/>
        <w:widowControl w:val="0"/>
        <w:kinsoku/>
        <w:wordWrap/>
        <w:overflowPunct/>
        <w:topLinePunct w:val="0"/>
        <w:autoSpaceDE/>
        <w:autoSpaceDN/>
        <w:bidi w:val="0"/>
        <w:adjustRightInd/>
        <w:snapToGrid w:val="0"/>
        <w:spacing w:before="0" w:after="0" w:line="520" w:lineRule="exact"/>
        <w:jc w:val="both"/>
        <w:textAlignment w:val="auto"/>
        <w:rPr>
          <w:rFonts w:hint="eastAsia" w:ascii="宋体" w:hAnsi="宋体" w:eastAsia="宋体" w:cs="宋体"/>
          <w:color w:val="000000" w:themeColor="text1"/>
          <w:kern w:val="0"/>
          <w14:textFill>
            <w14:solidFill>
              <w14:schemeClr w14:val="tx1"/>
            </w14:solidFill>
          </w14:textFill>
        </w:rPr>
      </w:pPr>
      <w:bookmarkStart w:id="865" w:name="_Toc15947"/>
      <w:bookmarkStart w:id="866" w:name="_Toc28932"/>
      <w:bookmarkStart w:id="867" w:name="_Toc28589"/>
      <w:bookmarkStart w:id="868" w:name="_Toc6808"/>
      <w:r>
        <w:rPr>
          <w:rFonts w:hint="eastAsia" w:ascii="宋体" w:hAnsi="宋体" w:eastAsia="宋体" w:cs="宋体"/>
          <w:color w:val="000000" w:themeColor="text1"/>
          <w:kern w:val="0"/>
          <w14:textFill>
            <w14:solidFill>
              <w14:schemeClr w14:val="tx1"/>
            </w14:solidFill>
          </w14:textFill>
        </w:rPr>
        <w:t>5.6 重大事故隐患</w:t>
      </w:r>
      <w:r>
        <w:rPr>
          <w:rFonts w:hint="eastAsia" w:ascii="宋体" w:hAnsi="宋体" w:eastAsia="宋体" w:cs="宋体"/>
          <w:color w:val="000000" w:themeColor="text1"/>
          <w:kern w:val="0"/>
          <w:lang w:val="en-US" w:eastAsia="zh-CN"/>
          <w14:textFill>
            <w14:solidFill>
              <w14:schemeClr w14:val="tx1"/>
            </w14:solidFill>
          </w14:textFill>
        </w:rPr>
        <w:t>评价</w:t>
      </w:r>
      <w:r>
        <w:rPr>
          <w:rFonts w:hint="eastAsia" w:ascii="宋体" w:hAnsi="宋体" w:eastAsia="宋体" w:cs="宋体"/>
          <w:color w:val="000000" w:themeColor="text1"/>
          <w:kern w:val="0"/>
          <w14:textFill>
            <w14:solidFill>
              <w14:schemeClr w14:val="tx1"/>
            </w14:solidFill>
          </w14:textFill>
        </w:rPr>
        <w:t>单元</w:t>
      </w:r>
      <w:bookmarkEnd w:id="865"/>
      <w:bookmarkEnd w:id="866"/>
      <w:bookmarkEnd w:id="867"/>
      <w:bookmarkEnd w:id="868"/>
    </w:p>
    <w:p w14:paraId="0D8689E7">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根据</w:t>
      </w:r>
      <w:r>
        <w:rPr>
          <w:rFonts w:hint="eastAsia" w:ascii="宋体" w:hAnsi="宋体" w:eastAsia="宋体" w:cs="宋体"/>
          <w:color w:val="000000" w:themeColor="text1"/>
          <w:sz w:val="28"/>
          <w:szCs w:val="28"/>
          <w14:textFill>
            <w14:solidFill>
              <w14:schemeClr w14:val="tx1"/>
            </w14:solidFill>
          </w14:textFill>
        </w:rPr>
        <w:t>《工贸企业重大事故隐患判定标准》（中华人民共和国应急管理部令〔</w:t>
      </w:r>
      <w:r>
        <w:rPr>
          <w:rFonts w:hint="eastAsia" w:ascii="宋体" w:hAnsi="宋体" w:eastAsia="宋体" w:cs="宋体"/>
          <w:color w:val="000000" w:themeColor="text1"/>
          <w:sz w:val="28"/>
          <w:szCs w:val="28"/>
          <w:lang w:val="en-US" w:eastAsia="zh-CN"/>
          <w14:textFill>
            <w14:solidFill>
              <w14:schemeClr w14:val="tx1"/>
            </w14:solidFill>
          </w14:textFill>
        </w:rPr>
        <w:t>2023</w:t>
      </w:r>
      <w:r>
        <w:rPr>
          <w:rFonts w:hint="eastAsia" w:ascii="宋体" w:hAnsi="宋体" w:eastAsia="宋体" w:cs="宋体"/>
          <w:color w:val="000000" w:themeColor="text1"/>
          <w:sz w:val="28"/>
          <w:szCs w:val="28"/>
          <w14:textFill>
            <w14:solidFill>
              <w14:schemeClr w14:val="tx1"/>
            </w14:solidFill>
          </w14:textFill>
        </w:rPr>
        <w:t xml:space="preserve">〕第10号）的内容，对该项目在生产过程中，可能存在的重大生产安全事故隐患进行检查。具体检查情况如下： </w:t>
      </w:r>
    </w:p>
    <w:p w14:paraId="1E2A0BA6">
      <w:pPr>
        <w:adjustRightInd w:val="0"/>
        <w:snapToGrid w:val="0"/>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表5-1</w:t>
      </w:r>
      <w:r>
        <w:rPr>
          <w:rFonts w:hint="eastAsia" w:ascii="宋体" w:hAnsi="宋体" w:eastAsia="宋体" w:cs="宋体"/>
          <w:b/>
          <w:bCs/>
          <w:color w:val="000000" w:themeColor="text1"/>
          <w:szCs w:val="21"/>
          <w:lang w:val="en-US" w:eastAsia="zh-CN"/>
          <w14:textFill>
            <w14:solidFill>
              <w14:schemeClr w14:val="tx1"/>
            </w14:solidFill>
          </w14:textFill>
        </w:rPr>
        <w:t>1</w:t>
      </w:r>
      <w:r>
        <w:rPr>
          <w:rFonts w:hint="eastAsia" w:ascii="宋体" w:hAnsi="宋体" w:eastAsia="宋体" w:cs="宋体"/>
          <w:b/>
          <w:bCs/>
          <w:color w:val="000000" w:themeColor="text1"/>
          <w:szCs w:val="21"/>
          <w14:textFill>
            <w14:solidFill>
              <w14:schemeClr w14:val="tx1"/>
            </w14:solidFill>
          </w14:textFill>
        </w:rPr>
        <w:t>重大生产安全事故隐患检查表</w:t>
      </w:r>
    </w:p>
    <w:tbl>
      <w:tblPr>
        <w:tblStyle w:val="24"/>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3995"/>
        <w:gridCol w:w="1789"/>
        <w:gridCol w:w="1950"/>
        <w:gridCol w:w="1150"/>
      </w:tblGrid>
      <w:tr w14:paraId="43B42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42" w:type="dxa"/>
            <w:vAlign w:val="center"/>
          </w:tcPr>
          <w:p w14:paraId="04A29F3A">
            <w:pPr>
              <w:adjustRightInd w:val="0"/>
              <w:snapToGrid w:val="0"/>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序号</w:t>
            </w:r>
          </w:p>
        </w:tc>
        <w:tc>
          <w:tcPr>
            <w:tcW w:w="3995" w:type="dxa"/>
            <w:vAlign w:val="center"/>
          </w:tcPr>
          <w:p w14:paraId="71462DF4">
            <w:pPr>
              <w:adjustRightInd w:val="0"/>
              <w:snapToGrid w:val="0"/>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条款内容</w:t>
            </w:r>
          </w:p>
        </w:tc>
        <w:tc>
          <w:tcPr>
            <w:tcW w:w="1789" w:type="dxa"/>
            <w:vAlign w:val="center"/>
          </w:tcPr>
          <w:p w14:paraId="78B6AE90">
            <w:pPr>
              <w:adjustRightInd w:val="0"/>
              <w:snapToGrid w:val="0"/>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检查依据</w:t>
            </w:r>
          </w:p>
        </w:tc>
        <w:tc>
          <w:tcPr>
            <w:tcW w:w="1950" w:type="dxa"/>
            <w:vAlign w:val="center"/>
          </w:tcPr>
          <w:p w14:paraId="074C3EB4">
            <w:pPr>
              <w:adjustRightInd w:val="0"/>
              <w:snapToGrid w:val="0"/>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检查情况</w:t>
            </w:r>
          </w:p>
        </w:tc>
        <w:tc>
          <w:tcPr>
            <w:tcW w:w="1150" w:type="dxa"/>
            <w:vAlign w:val="center"/>
          </w:tcPr>
          <w:p w14:paraId="33430B8D">
            <w:pPr>
              <w:adjustRightInd w:val="0"/>
              <w:snapToGrid w:val="0"/>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是否构成重大隐患</w:t>
            </w:r>
          </w:p>
        </w:tc>
      </w:tr>
      <w:tr w14:paraId="2BC2C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vAlign w:val="center"/>
          </w:tcPr>
          <w:p w14:paraId="0671B58C">
            <w:pPr>
              <w:pStyle w:val="45"/>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3995" w:type="dxa"/>
            <w:vAlign w:val="center"/>
          </w:tcPr>
          <w:p w14:paraId="533920F8">
            <w:pPr>
              <w:pStyle w:val="45"/>
              <w:overflowPunct w:val="0"/>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（一）未对承包单位、承租单位的安全生产工作统一协调、管理，或者未定期进行安全检查的；</w:t>
            </w:r>
          </w:p>
        </w:tc>
        <w:tc>
          <w:tcPr>
            <w:tcW w:w="1789" w:type="dxa"/>
            <w:vMerge w:val="restart"/>
            <w:vAlign w:val="center"/>
          </w:tcPr>
          <w:p w14:paraId="2F35D794">
            <w:pPr>
              <w:pStyle w:val="45"/>
              <w:overflowPunct w:val="0"/>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《工贸企业重大事故隐患判定标准》（中华人民共和国应急管理部令第10号）第三条</w:t>
            </w:r>
          </w:p>
        </w:tc>
        <w:tc>
          <w:tcPr>
            <w:tcW w:w="1950" w:type="dxa"/>
            <w:vAlign w:val="center"/>
          </w:tcPr>
          <w:p w14:paraId="692BB8BE">
            <w:pPr>
              <w:pStyle w:val="45"/>
              <w:overflowPunct w:val="0"/>
              <w:snapToGrid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对外委检维修的安全生产工作统一协调、管理</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并签订协议。</w:t>
            </w:r>
          </w:p>
        </w:tc>
        <w:tc>
          <w:tcPr>
            <w:tcW w:w="1150" w:type="dxa"/>
            <w:vAlign w:val="center"/>
          </w:tcPr>
          <w:p w14:paraId="7B9DE1A2">
            <w:pPr>
              <w:pStyle w:val="45"/>
              <w:overflowPunct w:val="0"/>
              <w:snapToGrid w:val="0"/>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否</w:t>
            </w:r>
          </w:p>
        </w:tc>
      </w:tr>
      <w:tr w14:paraId="40141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vAlign w:val="center"/>
          </w:tcPr>
          <w:p w14:paraId="5CCF36F9">
            <w:pPr>
              <w:pStyle w:val="45"/>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3995" w:type="dxa"/>
            <w:vAlign w:val="center"/>
          </w:tcPr>
          <w:p w14:paraId="60DC2A97">
            <w:pPr>
              <w:pStyle w:val="45"/>
              <w:overflowPunct w:val="0"/>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（二）特种作业人员未按照规定经专门的安全作业培训并取得相应资格，上岗作业的；</w:t>
            </w:r>
          </w:p>
        </w:tc>
        <w:tc>
          <w:tcPr>
            <w:tcW w:w="1789" w:type="dxa"/>
            <w:vMerge w:val="continue"/>
            <w:vAlign w:val="center"/>
          </w:tcPr>
          <w:p w14:paraId="6D047C9F">
            <w:pPr>
              <w:pStyle w:val="45"/>
              <w:overflowPunct w:val="0"/>
              <w:snapToGrid w:val="0"/>
              <w:jc w:val="both"/>
              <w:rPr>
                <w:rFonts w:hint="eastAsia" w:ascii="宋体" w:hAnsi="宋体" w:eastAsia="宋体" w:cs="宋体"/>
                <w:color w:val="000000" w:themeColor="text1"/>
                <w:sz w:val="21"/>
                <w:szCs w:val="21"/>
                <w14:textFill>
                  <w14:solidFill>
                    <w14:schemeClr w14:val="tx1"/>
                  </w14:solidFill>
                </w14:textFill>
              </w:rPr>
            </w:pPr>
          </w:p>
        </w:tc>
        <w:tc>
          <w:tcPr>
            <w:tcW w:w="1950" w:type="dxa"/>
            <w:vAlign w:val="center"/>
          </w:tcPr>
          <w:p w14:paraId="0A33FC86">
            <w:pPr>
              <w:pStyle w:val="45"/>
              <w:overflowPunct w:val="0"/>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该项目</w:t>
            </w:r>
            <w:r>
              <w:rPr>
                <w:rFonts w:hint="eastAsia" w:ascii="宋体" w:hAnsi="宋体" w:eastAsia="宋体" w:cs="宋体"/>
                <w:color w:val="000000" w:themeColor="text1"/>
                <w:sz w:val="21"/>
                <w:szCs w:val="21"/>
                <w14:textFill>
                  <w14:solidFill>
                    <w14:schemeClr w14:val="tx1"/>
                  </w14:solidFill>
                </w14:textFill>
              </w:rPr>
              <w:t>特种作业人员</w:t>
            </w:r>
            <w:r>
              <w:rPr>
                <w:rFonts w:hint="eastAsia" w:hAnsi="宋体" w:eastAsia="宋体" w:cs="宋体"/>
                <w:color w:val="000000" w:themeColor="text1"/>
                <w:sz w:val="21"/>
                <w:szCs w:val="21"/>
                <w:lang w:val="en-US" w:eastAsia="zh-CN"/>
                <w14:textFill>
                  <w14:solidFill>
                    <w14:schemeClr w14:val="tx1"/>
                  </w14:solidFill>
                </w14:textFill>
              </w:rPr>
              <w:t>均持证</w:t>
            </w:r>
            <w:r>
              <w:rPr>
                <w:rFonts w:hint="eastAsia" w:ascii="宋体" w:hAnsi="宋体" w:eastAsia="宋体" w:cs="宋体"/>
                <w:color w:val="000000" w:themeColor="text1"/>
                <w:sz w:val="21"/>
                <w:szCs w:val="21"/>
                <w:lang w:eastAsia="zh-CN"/>
                <w14:textFill>
                  <w14:solidFill>
                    <w14:schemeClr w14:val="tx1"/>
                  </w14:solidFill>
                </w14:textFill>
              </w:rPr>
              <w:t>。</w:t>
            </w:r>
          </w:p>
        </w:tc>
        <w:tc>
          <w:tcPr>
            <w:tcW w:w="1150" w:type="dxa"/>
            <w:vAlign w:val="center"/>
          </w:tcPr>
          <w:p w14:paraId="594E42C4">
            <w:pPr>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否</w:t>
            </w:r>
          </w:p>
        </w:tc>
      </w:tr>
      <w:tr w14:paraId="40A5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vAlign w:val="center"/>
          </w:tcPr>
          <w:p w14:paraId="24716CBD">
            <w:pPr>
              <w:pStyle w:val="45"/>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3995" w:type="dxa"/>
            <w:vAlign w:val="center"/>
          </w:tcPr>
          <w:p w14:paraId="5C0987A2">
            <w:pPr>
              <w:pStyle w:val="45"/>
              <w:overflowPunct w:val="0"/>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（三）金属冶炼企业主要负责人、安全生产管理人员未按照规定经考核合格的。</w:t>
            </w:r>
          </w:p>
        </w:tc>
        <w:tc>
          <w:tcPr>
            <w:tcW w:w="1789" w:type="dxa"/>
            <w:vMerge w:val="continue"/>
            <w:vAlign w:val="center"/>
          </w:tcPr>
          <w:p w14:paraId="10E81DB1">
            <w:pPr>
              <w:pStyle w:val="45"/>
              <w:overflowPunct w:val="0"/>
              <w:snapToGrid w:val="0"/>
              <w:jc w:val="both"/>
              <w:rPr>
                <w:rFonts w:hint="eastAsia" w:ascii="宋体" w:hAnsi="宋体" w:eastAsia="宋体" w:cs="宋体"/>
                <w:color w:val="000000" w:themeColor="text1"/>
                <w:sz w:val="21"/>
                <w:szCs w:val="21"/>
                <w14:textFill>
                  <w14:solidFill>
                    <w14:schemeClr w14:val="tx1"/>
                  </w14:solidFill>
                </w14:textFill>
              </w:rPr>
            </w:pPr>
          </w:p>
        </w:tc>
        <w:tc>
          <w:tcPr>
            <w:tcW w:w="1950" w:type="dxa"/>
            <w:vAlign w:val="center"/>
          </w:tcPr>
          <w:p w14:paraId="7048007D">
            <w:pPr>
              <w:pStyle w:val="45"/>
              <w:overflowPunct w:val="0"/>
              <w:snapToGrid w:val="0"/>
              <w:jc w:val="both"/>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该公司不属于金属冶炼企业</w:t>
            </w:r>
            <w:r>
              <w:rPr>
                <w:rFonts w:hint="eastAsia" w:ascii="宋体" w:hAnsi="宋体" w:eastAsia="宋体" w:cs="宋体"/>
                <w:color w:val="000000" w:themeColor="text1"/>
                <w:sz w:val="21"/>
                <w:szCs w:val="21"/>
                <w:lang w:eastAsia="zh-CN"/>
                <w14:textFill>
                  <w14:solidFill>
                    <w14:schemeClr w14:val="tx1"/>
                  </w14:solidFill>
                </w14:textFill>
              </w:rPr>
              <w:t>。</w:t>
            </w:r>
          </w:p>
        </w:tc>
        <w:tc>
          <w:tcPr>
            <w:tcW w:w="1150" w:type="dxa"/>
            <w:vAlign w:val="center"/>
          </w:tcPr>
          <w:p w14:paraId="1D575963">
            <w:pPr>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否</w:t>
            </w:r>
          </w:p>
        </w:tc>
      </w:tr>
      <w:tr w14:paraId="678F5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vAlign w:val="center"/>
          </w:tcPr>
          <w:p w14:paraId="63729EE6">
            <w:pPr>
              <w:pStyle w:val="45"/>
              <w:overflowPunct w:val="0"/>
              <w:snapToGrid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p>
        </w:tc>
        <w:tc>
          <w:tcPr>
            <w:tcW w:w="3995" w:type="dxa"/>
            <w:vAlign w:val="center"/>
          </w:tcPr>
          <w:p w14:paraId="64A92EB0">
            <w:pPr>
              <w:pStyle w:val="45"/>
              <w:overflowPunct w:val="0"/>
              <w:snapToGrid w:val="0"/>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（一）会议室、活动室、休息室、更衣室、交接班室等5类人员聚集场所设置在熔融金属吊运跨或者浇注跨的地坪区域内的；</w:t>
            </w:r>
          </w:p>
        </w:tc>
        <w:tc>
          <w:tcPr>
            <w:tcW w:w="1789" w:type="dxa"/>
            <w:vMerge w:val="restart"/>
            <w:vAlign w:val="center"/>
          </w:tcPr>
          <w:p w14:paraId="19D08E84">
            <w:pPr>
              <w:pStyle w:val="45"/>
              <w:overflowPunct w:val="0"/>
              <w:snapToGrid w:val="0"/>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《工贸企业重大事故隐患判定标准》（中华人民共和国应急管理部令第10号）第</w:t>
            </w:r>
            <w:r>
              <w:rPr>
                <w:rFonts w:hint="eastAsia" w:ascii="宋体" w:hAnsi="宋体" w:eastAsia="宋体" w:cs="宋体"/>
                <w:color w:val="000000" w:themeColor="text1"/>
                <w:sz w:val="21"/>
                <w:szCs w:val="21"/>
                <w:lang w:val="en-US" w:eastAsia="zh-CN"/>
                <w14:textFill>
                  <w14:solidFill>
                    <w14:schemeClr w14:val="tx1"/>
                  </w14:solidFill>
                </w14:textFill>
              </w:rPr>
              <w:t>七</w:t>
            </w:r>
            <w:r>
              <w:rPr>
                <w:rFonts w:hint="eastAsia" w:ascii="宋体" w:hAnsi="宋体" w:eastAsia="宋体" w:cs="宋体"/>
                <w:color w:val="000000" w:themeColor="text1"/>
                <w:sz w:val="21"/>
                <w:szCs w:val="21"/>
                <w14:textFill>
                  <w14:solidFill>
                    <w14:schemeClr w14:val="tx1"/>
                  </w14:solidFill>
                </w14:textFill>
              </w:rPr>
              <w:t>条</w:t>
            </w:r>
            <w:r>
              <w:rPr>
                <w:rFonts w:hint="eastAsia" w:ascii="宋体" w:hAnsi="宋体" w:eastAsia="宋体" w:cs="宋体"/>
                <w:color w:val="000000" w:themeColor="text1"/>
                <w:sz w:val="21"/>
                <w:szCs w:val="21"/>
                <w:lang w:val="en-US" w:eastAsia="zh-CN"/>
                <w14:textFill>
                  <w14:solidFill>
                    <w14:schemeClr w14:val="tx1"/>
                  </w14:solidFill>
                </w14:textFill>
              </w:rPr>
              <w:t xml:space="preserve"> 机械企业有下列情形之一的，应当判定为重大事故隐患：</w:t>
            </w:r>
          </w:p>
          <w:p w14:paraId="32F95FA3">
            <w:pPr>
              <w:rPr>
                <w:rFonts w:hint="eastAsia" w:ascii="宋体" w:hAnsi="宋体" w:eastAsia="宋体" w:cs="宋体"/>
              </w:rPr>
            </w:pPr>
          </w:p>
        </w:tc>
        <w:tc>
          <w:tcPr>
            <w:tcW w:w="1950" w:type="dxa"/>
            <w:vAlign w:val="center"/>
          </w:tcPr>
          <w:p w14:paraId="70F82C66">
            <w:pPr>
              <w:pStyle w:val="45"/>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不涉及</w:t>
            </w:r>
          </w:p>
        </w:tc>
        <w:tc>
          <w:tcPr>
            <w:tcW w:w="1150" w:type="dxa"/>
            <w:vAlign w:val="center"/>
          </w:tcPr>
          <w:p w14:paraId="7BCC4C12">
            <w:pPr>
              <w:pStyle w:val="45"/>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不涉及</w:t>
            </w:r>
          </w:p>
        </w:tc>
      </w:tr>
      <w:tr w14:paraId="4A6BF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vAlign w:val="center"/>
          </w:tcPr>
          <w:p w14:paraId="01A40B91">
            <w:pPr>
              <w:pStyle w:val="45"/>
              <w:overflowPunct w:val="0"/>
              <w:snapToGrid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w:t>
            </w:r>
          </w:p>
        </w:tc>
        <w:tc>
          <w:tcPr>
            <w:tcW w:w="3995" w:type="dxa"/>
            <w:vAlign w:val="center"/>
          </w:tcPr>
          <w:p w14:paraId="091857FA">
            <w:pPr>
              <w:pStyle w:val="45"/>
              <w:overflowPunct w:val="0"/>
              <w:snapToGrid w:val="0"/>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（二）铸造用熔炼炉、精炼炉、保温炉未设置紧急排放和应急储存设施的；</w:t>
            </w:r>
          </w:p>
        </w:tc>
        <w:tc>
          <w:tcPr>
            <w:tcW w:w="1789" w:type="dxa"/>
            <w:vMerge w:val="continue"/>
            <w:vAlign w:val="center"/>
          </w:tcPr>
          <w:p w14:paraId="2B420075">
            <w:pPr>
              <w:pStyle w:val="45"/>
              <w:overflowPunct w:val="0"/>
              <w:snapToGrid w:val="0"/>
              <w:jc w:val="both"/>
              <w:rPr>
                <w:rFonts w:hint="eastAsia" w:ascii="宋体" w:hAnsi="宋体" w:eastAsia="宋体" w:cs="宋体"/>
                <w:color w:val="000000" w:themeColor="text1"/>
                <w:sz w:val="21"/>
                <w:szCs w:val="21"/>
                <w14:textFill>
                  <w14:solidFill>
                    <w14:schemeClr w14:val="tx1"/>
                  </w14:solidFill>
                </w14:textFill>
              </w:rPr>
            </w:pPr>
          </w:p>
        </w:tc>
        <w:tc>
          <w:tcPr>
            <w:tcW w:w="1950" w:type="dxa"/>
            <w:vAlign w:val="center"/>
          </w:tcPr>
          <w:p w14:paraId="1E185E09">
            <w:pPr>
              <w:pStyle w:val="45"/>
              <w:overflowPunct w:val="0"/>
              <w:snapToGrid w:val="0"/>
              <w:ind w:firstLine="630" w:firstLineChars="300"/>
              <w:jc w:val="both"/>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不涉及</w:t>
            </w:r>
          </w:p>
        </w:tc>
        <w:tc>
          <w:tcPr>
            <w:tcW w:w="1150" w:type="dxa"/>
            <w:vAlign w:val="center"/>
          </w:tcPr>
          <w:p w14:paraId="27DC5314">
            <w:pPr>
              <w:pStyle w:val="45"/>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不涉及</w:t>
            </w:r>
          </w:p>
        </w:tc>
      </w:tr>
      <w:tr w14:paraId="5165A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vAlign w:val="center"/>
          </w:tcPr>
          <w:p w14:paraId="2A5FE3A9">
            <w:pPr>
              <w:pStyle w:val="45"/>
              <w:overflowPunct w:val="0"/>
              <w:snapToGrid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p>
        </w:tc>
        <w:tc>
          <w:tcPr>
            <w:tcW w:w="3995" w:type="dxa"/>
            <w:vAlign w:val="center"/>
          </w:tcPr>
          <w:p w14:paraId="3EF17C2C">
            <w:pPr>
              <w:pStyle w:val="45"/>
              <w:overflowPunct w:val="0"/>
              <w:snapToGrid w:val="0"/>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（三）生产期间铸造用熔炼炉、精炼炉、保温炉的炉底、炉坑和事故坑，以及熔融金属泄漏、喷溅影响范围内的炉前平台、炉基区域、造型地坑、浇注作业坑和熔融金属转运通道等8类区域存在积水的；</w:t>
            </w:r>
          </w:p>
        </w:tc>
        <w:tc>
          <w:tcPr>
            <w:tcW w:w="1789" w:type="dxa"/>
            <w:vMerge w:val="continue"/>
            <w:vAlign w:val="center"/>
          </w:tcPr>
          <w:p w14:paraId="0F01094B">
            <w:pPr>
              <w:pStyle w:val="45"/>
              <w:overflowPunct w:val="0"/>
              <w:snapToGrid w:val="0"/>
              <w:jc w:val="both"/>
              <w:rPr>
                <w:rFonts w:hint="eastAsia" w:ascii="宋体" w:hAnsi="宋体" w:eastAsia="宋体" w:cs="宋体"/>
                <w:color w:val="000000" w:themeColor="text1"/>
                <w:sz w:val="21"/>
                <w:szCs w:val="21"/>
                <w14:textFill>
                  <w14:solidFill>
                    <w14:schemeClr w14:val="tx1"/>
                  </w14:solidFill>
                </w14:textFill>
              </w:rPr>
            </w:pPr>
          </w:p>
        </w:tc>
        <w:tc>
          <w:tcPr>
            <w:tcW w:w="1950" w:type="dxa"/>
            <w:vAlign w:val="center"/>
          </w:tcPr>
          <w:p w14:paraId="35CE2EE8">
            <w:pPr>
              <w:pStyle w:val="45"/>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不涉及</w:t>
            </w:r>
          </w:p>
        </w:tc>
        <w:tc>
          <w:tcPr>
            <w:tcW w:w="1150" w:type="dxa"/>
            <w:vAlign w:val="center"/>
          </w:tcPr>
          <w:p w14:paraId="41EA37A6">
            <w:pPr>
              <w:pStyle w:val="45"/>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不涉及</w:t>
            </w:r>
          </w:p>
        </w:tc>
      </w:tr>
      <w:tr w14:paraId="2D59F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2" w:hRule="atLeast"/>
          <w:jc w:val="center"/>
        </w:trPr>
        <w:tc>
          <w:tcPr>
            <w:tcW w:w="642" w:type="dxa"/>
            <w:vAlign w:val="center"/>
          </w:tcPr>
          <w:p w14:paraId="44874DC3">
            <w:pPr>
              <w:pStyle w:val="45"/>
              <w:overflowPunct w:val="0"/>
              <w:snapToGrid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7</w:t>
            </w:r>
          </w:p>
        </w:tc>
        <w:tc>
          <w:tcPr>
            <w:tcW w:w="3995" w:type="dxa"/>
            <w:vAlign w:val="center"/>
          </w:tcPr>
          <w:p w14:paraId="25E9A931">
            <w:pPr>
              <w:pStyle w:val="45"/>
              <w:overflowPunct w:val="0"/>
              <w:snapToGrid w:val="0"/>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（四）铸造用熔炼炉、精炼炉、压铸机、氧枪的冷却水系统未设置出水温度、进出水流量差监测报警装置，或者监测报警装置未与熔融金属加热、输送控制系统联锁的；</w:t>
            </w:r>
          </w:p>
        </w:tc>
        <w:tc>
          <w:tcPr>
            <w:tcW w:w="1789" w:type="dxa"/>
            <w:vMerge w:val="continue"/>
            <w:vAlign w:val="center"/>
          </w:tcPr>
          <w:p w14:paraId="5D1BC4C9">
            <w:pPr>
              <w:pStyle w:val="45"/>
              <w:overflowPunct w:val="0"/>
              <w:snapToGrid w:val="0"/>
              <w:jc w:val="both"/>
              <w:rPr>
                <w:rFonts w:hint="eastAsia" w:ascii="宋体" w:hAnsi="宋体" w:eastAsia="宋体" w:cs="宋体"/>
                <w:color w:val="000000" w:themeColor="text1"/>
                <w:sz w:val="21"/>
                <w:szCs w:val="21"/>
                <w14:textFill>
                  <w14:solidFill>
                    <w14:schemeClr w14:val="tx1"/>
                  </w14:solidFill>
                </w14:textFill>
              </w:rPr>
            </w:pPr>
          </w:p>
        </w:tc>
        <w:tc>
          <w:tcPr>
            <w:tcW w:w="1950" w:type="dxa"/>
            <w:vAlign w:val="center"/>
          </w:tcPr>
          <w:p w14:paraId="0D594943">
            <w:pPr>
              <w:pStyle w:val="45"/>
              <w:overflowPunct w:val="0"/>
              <w:snapToGrid w:val="0"/>
              <w:ind w:firstLine="630" w:firstLineChars="300"/>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不涉及</w:t>
            </w:r>
          </w:p>
        </w:tc>
        <w:tc>
          <w:tcPr>
            <w:tcW w:w="1150" w:type="dxa"/>
            <w:vAlign w:val="center"/>
          </w:tcPr>
          <w:p w14:paraId="355C3495">
            <w:pPr>
              <w:pStyle w:val="45"/>
              <w:overflowPunct w:val="0"/>
              <w:snapToGrid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不涉及</w:t>
            </w:r>
          </w:p>
        </w:tc>
      </w:tr>
      <w:tr w14:paraId="65967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vAlign w:val="center"/>
          </w:tcPr>
          <w:p w14:paraId="6F45B8BE">
            <w:pPr>
              <w:pStyle w:val="45"/>
              <w:overflowPunct w:val="0"/>
              <w:snapToGrid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w:t>
            </w:r>
          </w:p>
        </w:tc>
        <w:tc>
          <w:tcPr>
            <w:tcW w:w="3995" w:type="dxa"/>
            <w:vAlign w:val="center"/>
          </w:tcPr>
          <w:p w14:paraId="4B8DCB2B">
            <w:pPr>
              <w:pStyle w:val="45"/>
              <w:overflowPunct w:val="0"/>
              <w:snapToGrid w:val="0"/>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（五）使用煤气（天然气）的燃烧装置的燃气总管未设置管道压力监测报警装置，或者监测报警装置未与紧急自动切断装置联锁，或者燃烧装置未设置火焰监测和熄火保护系统的；</w:t>
            </w:r>
          </w:p>
        </w:tc>
        <w:tc>
          <w:tcPr>
            <w:tcW w:w="1789" w:type="dxa"/>
            <w:vMerge w:val="continue"/>
            <w:vAlign w:val="center"/>
          </w:tcPr>
          <w:p w14:paraId="3EC91A5E">
            <w:pPr>
              <w:pStyle w:val="45"/>
              <w:overflowPunct w:val="0"/>
              <w:snapToGrid w:val="0"/>
              <w:jc w:val="both"/>
              <w:rPr>
                <w:rFonts w:hint="eastAsia" w:ascii="宋体" w:hAnsi="宋体" w:eastAsia="宋体" w:cs="宋体"/>
                <w:color w:val="000000" w:themeColor="text1"/>
                <w:sz w:val="21"/>
                <w:szCs w:val="21"/>
                <w14:textFill>
                  <w14:solidFill>
                    <w14:schemeClr w14:val="tx1"/>
                  </w14:solidFill>
                </w14:textFill>
              </w:rPr>
            </w:pPr>
          </w:p>
        </w:tc>
        <w:tc>
          <w:tcPr>
            <w:tcW w:w="1950" w:type="dxa"/>
            <w:vAlign w:val="center"/>
          </w:tcPr>
          <w:p w14:paraId="44056403">
            <w:pPr>
              <w:pStyle w:val="45"/>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不涉及</w:t>
            </w:r>
          </w:p>
        </w:tc>
        <w:tc>
          <w:tcPr>
            <w:tcW w:w="1150" w:type="dxa"/>
            <w:vAlign w:val="center"/>
          </w:tcPr>
          <w:p w14:paraId="1DDA9518">
            <w:pPr>
              <w:pStyle w:val="45"/>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不涉及</w:t>
            </w:r>
          </w:p>
        </w:tc>
      </w:tr>
      <w:tr w14:paraId="74228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vAlign w:val="center"/>
          </w:tcPr>
          <w:p w14:paraId="57694304">
            <w:pPr>
              <w:pStyle w:val="45"/>
              <w:overflowPunct w:val="0"/>
              <w:snapToGrid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9</w:t>
            </w:r>
          </w:p>
        </w:tc>
        <w:tc>
          <w:tcPr>
            <w:tcW w:w="3995" w:type="dxa"/>
            <w:shd w:val="clear" w:color="auto" w:fill="auto"/>
            <w:vAlign w:val="center"/>
          </w:tcPr>
          <w:p w14:paraId="2511B142">
            <w:pPr>
              <w:pStyle w:val="45"/>
              <w:overflowPunct w:val="0"/>
              <w:snapToGrid w:val="0"/>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（六）使用可燃性有机溶剂清洗设备设施、工装器具、地面时，未采取防止可燃气体在周边密闭或者半密闭空间内积聚措施的；</w:t>
            </w:r>
          </w:p>
        </w:tc>
        <w:tc>
          <w:tcPr>
            <w:tcW w:w="1789" w:type="dxa"/>
            <w:vMerge w:val="continue"/>
            <w:shd w:val="clear" w:color="auto" w:fill="auto"/>
            <w:vAlign w:val="center"/>
          </w:tcPr>
          <w:p w14:paraId="440C86B4">
            <w:pPr>
              <w:pStyle w:val="45"/>
              <w:overflowPunct w:val="0"/>
              <w:snapToGrid w:val="0"/>
              <w:jc w:val="both"/>
              <w:rPr>
                <w:rFonts w:hint="eastAsia" w:ascii="宋体" w:hAnsi="宋体" w:eastAsia="宋体" w:cs="宋体"/>
                <w:color w:val="000000" w:themeColor="text1"/>
                <w:sz w:val="21"/>
                <w:szCs w:val="21"/>
                <w14:textFill>
                  <w14:solidFill>
                    <w14:schemeClr w14:val="tx1"/>
                  </w14:solidFill>
                </w14:textFill>
              </w:rPr>
            </w:pPr>
          </w:p>
        </w:tc>
        <w:tc>
          <w:tcPr>
            <w:tcW w:w="1950" w:type="dxa"/>
            <w:shd w:val="clear" w:color="auto" w:fill="auto"/>
            <w:vAlign w:val="center"/>
          </w:tcPr>
          <w:p w14:paraId="2F986E33">
            <w:pPr>
              <w:pStyle w:val="45"/>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不涉及</w:t>
            </w:r>
          </w:p>
        </w:tc>
        <w:tc>
          <w:tcPr>
            <w:tcW w:w="1150" w:type="dxa"/>
            <w:shd w:val="clear" w:color="auto" w:fill="auto"/>
            <w:vAlign w:val="center"/>
          </w:tcPr>
          <w:p w14:paraId="05C866F5">
            <w:pPr>
              <w:pStyle w:val="45"/>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不涉及</w:t>
            </w:r>
          </w:p>
        </w:tc>
      </w:tr>
      <w:tr w14:paraId="00E2D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vAlign w:val="center"/>
          </w:tcPr>
          <w:p w14:paraId="6B07463F">
            <w:pPr>
              <w:pStyle w:val="45"/>
              <w:overflowPunct w:val="0"/>
              <w:snapToGrid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10</w:t>
            </w:r>
          </w:p>
        </w:tc>
        <w:tc>
          <w:tcPr>
            <w:tcW w:w="3995" w:type="dxa"/>
            <w:shd w:val="clear" w:color="auto" w:fill="auto"/>
            <w:vAlign w:val="center"/>
          </w:tcPr>
          <w:p w14:paraId="51D0FD7E">
            <w:pPr>
              <w:pStyle w:val="45"/>
              <w:overflowPunct w:val="0"/>
              <w:snapToGrid w:val="0"/>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（七）使用非水性漆的调漆间、喷漆室未设置固定式可燃气体浓度监测报警装置或者通风设施的。</w:t>
            </w:r>
          </w:p>
        </w:tc>
        <w:tc>
          <w:tcPr>
            <w:tcW w:w="1789" w:type="dxa"/>
            <w:vMerge w:val="continue"/>
            <w:shd w:val="clear" w:color="auto" w:fill="auto"/>
            <w:vAlign w:val="center"/>
          </w:tcPr>
          <w:p w14:paraId="681C4A34">
            <w:pPr>
              <w:pStyle w:val="45"/>
              <w:overflowPunct w:val="0"/>
              <w:snapToGrid w:val="0"/>
              <w:jc w:val="both"/>
              <w:rPr>
                <w:rFonts w:hint="eastAsia" w:ascii="宋体" w:hAnsi="宋体" w:eastAsia="宋体" w:cs="宋体"/>
                <w:color w:val="000000" w:themeColor="text1"/>
                <w:sz w:val="21"/>
                <w:szCs w:val="21"/>
                <w14:textFill>
                  <w14:solidFill>
                    <w14:schemeClr w14:val="tx1"/>
                  </w14:solidFill>
                </w14:textFill>
              </w:rPr>
            </w:pPr>
          </w:p>
        </w:tc>
        <w:tc>
          <w:tcPr>
            <w:tcW w:w="1950" w:type="dxa"/>
            <w:shd w:val="clear" w:color="auto" w:fill="auto"/>
            <w:vAlign w:val="center"/>
          </w:tcPr>
          <w:p w14:paraId="2057A36E">
            <w:pPr>
              <w:pStyle w:val="45"/>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不涉及</w:t>
            </w:r>
          </w:p>
        </w:tc>
        <w:tc>
          <w:tcPr>
            <w:tcW w:w="1150" w:type="dxa"/>
            <w:shd w:val="clear" w:color="auto" w:fill="auto"/>
            <w:vAlign w:val="center"/>
          </w:tcPr>
          <w:p w14:paraId="5D257412">
            <w:pPr>
              <w:pStyle w:val="45"/>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不涉及</w:t>
            </w:r>
          </w:p>
        </w:tc>
      </w:tr>
      <w:tr w14:paraId="45D0A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vAlign w:val="center"/>
          </w:tcPr>
          <w:p w14:paraId="48464196">
            <w:pPr>
              <w:pStyle w:val="45"/>
              <w:overflowPunct w:val="0"/>
              <w:snapToGrid w:val="0"/>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hAnsi="宋体" w:eastAsia="宋体" w:cs="宋体"/>
                <w:color w:val="000000" w:themeColor="text1"/>
                <w:sz w:val="21"/>
                <w:szCs w:val="21"/>
                <w:lang w:val="en-US" w:eastAsia="zh-CN"/>
                <w14:textFill>
                  <w14:solidFill>
                    <w14:schemeClr w14:val="tx1"/>
                  </w14:solidFill>
                </w14:textFill>
              </w:rPr>
              <w:t>11</w:t>
            </w:r>
          </w:p>
        </w:tc>
        <w:tc>
          <w:tcPr>
            <w:tcW w:w="3995" w:type="dxa"/>
            <w:shd w:val="clear" w:color="auto" w:fill="auto"/>
            <w:vAlign w:val="center"/>
          </w:tcPr>
          <w:p w14:paraId="1E0DDCA6">
            <w:pPr>
              <w:pStyle w:val="45"/>
              <w:overflowPunct w:val="0"/>
              <w:snapToGrid w:val="0"/>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（一）未对有限空间进行辨识、建立安全管理台账，并且未设置明显的安全警示标志的；</w:t>
            </w:r>
          </w:p>
          <w:p w14:paraId="7A5B2F05">
            <w:pPr>
              <w:pStyle w:val="45"/>
              <w:overflowPunct w:val="0"/>
              <w:snapToGrid w:val="0"/>
              <w:jc w:val="both"/>
              <w:rPr>
                <w:rFonts w:hint="eastAsia" w:ascii="宋体" w:hAnsi="宋体" w:eastAsia="宋体" w:cs="宋体"/>
                <w:color w:val="000000" w:themeColor="text1"/>
                <w:sz w:val="21"/>
                <w:szCs w:val="21"/>
                <w14:textFill>
                  <w14:solidFill>
                    <w14:schemeClr w14:val="tx1"/>
                  </w14:solidFill>
                </w14:textFill>
              </w:rPr>
            </w:pPr>
          </w:p>
        </w:tc>
        <w:tc>
          <w:tcPr>
            <w:tcW w:w="1789" w:type="dxa"/>
            <w:vMerge w:val="restart"/>
            <w:shd w:val="clear" w:color="auto" w:fill="auto"/>
            <w:vAlign w:val="center"/>
          </w:tcPr>
          <w:p w14:paraId="14ED0B3E">
            <w:pPr>
              <w:pStyle w:val="45"/>
              <w:overflowPunct w:val="0"/>
              <w:snapToGrid w:val="0"/>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《工贸企业重大事故隐患判定标准》（中华人民共和国应急管理部令第10号）第</w:t>
            </w:r>
            <w:r>
              <w:rPr>
                <w:rFonts w:hint="eastAsia" w:hAnsi="宋体" w:eastAsia="宋体" w:cs="宋体"/>
                <w:color w:val="000000" w:themeColor="text1"/>
                <w:sz w:val="21"/>
                <w:szCs w:val="21"/>
                <w:lang w:val="en-US" w:eastAsia="zh-CN"/>
                <w14:textFill>
                  <w14:solidFill>
                    <w14:schemeClr w14:val="tx1"/>
                  </w14:solidFill>
                </w14:textFill>
              </w:rPr>
              <w:t>十三</w:t>
            </w:r>
            <w:r>
              <w:rPr>
                <w:rFonts w:hint="eastAsia" w:ascii="宋体" w:hAnsi="宋体" w:eastAsia="宋体" w:cs="宋体"/>
                <w:color w:val="000000" w:themeColor="text1"/>
                <w:sz w:val="21"/>
                <w:szCs w:val="21"/>
                <w14:textFill>
                  <w14:solidFill>
                    <w14:schemeClr w14:val="tx1"/>
                  </w14:solidFill>
                </w14:textFill>
              </w:rPr>
              <w:t>条</w:t>
            </w:r>
            <w:r>
              <w:rPr>
                <w:rFonts w:hint="eastAsia" w:ascii="宋体" w:hAnsi="宋体" w:eastAsia="宋体" w:cs="宋体"/>
                <w:color w:val="000000" w:themeColor="text1"/>
                <w:sz w:val="21"/>
                <w:szCs w:val="21"/>
                <w:lang w:val="en-US" w:eastAsia="zh-CN"/>
                <w14:textFill>
                  <w14:solidFill>
                    <w14:schemeClr w14:val="tx1"/>
                  </w14:solidFill>
                </w14:textFill>
              </w:rPr>
              <w:t xml:space="preserve"> 存在硫化氢、一氧化碳等中毒风险的有限空间作业的工贸企业有下列情形之一的，应当判定为重大事故隐患：</w:t>
            </w:r>
          </w:p>
          <w:p w14:paraId="1F4B016F">
            <w:pPr>
              <w:pStyle w:val="45"/>
              <w:overflowPunct w:val="0"/>
              <w:snapToGrid w:val="0"/>
              <w:jc w:val="both"/>
              <w:rPr>
                <w:rFonts w:hint="eastAsia" w:ascii="宋体" w:hAnsi="宋体" w:eastAsia="宋体" w:cs="宋体"/>
                <w:color w:val="000000" w:themeColor="text1"/>
                <w:sz w:val="21"/>
                <w:szCs w:val="21"/>
                <w14:textFill>
                  <w14:solidFill>
                    <w14:schemeClr w14:val="tx1"/>
                  </w14:solidFill>
                </w14:textFill>
              </w:rPr>
            </w:pPr>
          </w:p>
        </w:tc>
        <w:tc>
          <w:tcPr>
            <w:tcW w:w="1950" w:type="dxa"/>
            <w:shd w:val="clear" w:color="auto" w:fill="auto"/>
            <w:vAlign w:val="center"/>
          </w:tcPr>
          <w:p w14:paraId="78BC3CF5">
            <w:pPr>
              <w:pStyle w:val="45"/>
              <w:overflowPunct w:val="0"/>
              <w:snapToGrid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hAnsi="宋体" w:eastAsia="宋体" w:cs="宋体"/>
                <w:color w:val="000000" w:themeColor="text1"/>
                <w:sz w:val="21"/>
                <w:szCs w:val="21"/>
                <w:lang w:val="en-US" w:eastAsia="zh-CN"/>
                <w14:textFill>
                  <w14:solidFill>
                    <w14:schemeClr w14:val="tx1"/>
                  </w14:solidFill>
                </w14:textFill>
              </w:rPr>
              <w:t>不涉及</w:t>
            </w:r>
          </w:p>
        </w:tc>
        <w:tc>
          <w:tcPr>
            <w:tcW w:w="1150" w:type="dxa"/>
            <w:shd w:val="clear" w:color="auto" w:fill="auto"/>
            <w:vAlign w:val="center"/>
          </w:tcPr>
          <w:p w14:paraId="39568C55">
            <w:pPr>
              <w:overflowPunct w:val="0"/>
              <w:snapToGrid w:val="0"/>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不涉及</w:t>
            </w:r>
          </w:p>
        </w:tc>
      </w:tr>
      <w:tr w14:paraId="1C30D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vAlign w:val="center"/>
          </w:tcPr>
          <w:p w14:paraId="7ADA8626">
            <w:pPr>
              <w:pStyle w:val="45"/>
              <w:overflowPunct w:val="0"/>
              <w:snapToGrid w:val="0"/>
              <w:jc w:val="center"/>
              <w:rPr>
                <w:rFonts w:hint="default" w:hAnsi="宋体" w:eastAsia="宋体" w:cs="宋体"/>
                <w:color w:val="000000" w:themeColor="text1"/>
                <w:sz w:val="21"/>
                <w:szCs w:val="21"/>
                <w:lang w:val="en-US" w:eastAsia="zh-CN"/>
                <w14:textFill>
                  <w14:solidFill>
                    <w14:schemeClr w14:val="tx1"/>
                  </w14:solidFill>
                </w14:textFill>
              </w:rPr>
            </w:pPr>
            <w:r>
              <w:rPr>
                <w:rFonts w:hint="eastAsia" w:hAnsi="宋体" w:eastAsia="宋体" w:cs="宋体"/>
                <w:color w:val="000000" w:themeColor="text1"/>
                <w:sz w:val="21"/>
                <w:szCs w:val="21"/>
                <w:lang w:val="en-US" w:eastAsia="zh-CN"/>
                <w14:textFill>
                  <w14:solidFill>
                    <w14:schemeClr w14:val="tx1"/>
                  </w14:solidFill>
                </w14:textFill>
              </w:rPr>
              <w:t>12</w:t>
            </w:r>
          </w:p>
        </w:tc>
        <w:tc>
          <w:tcPr>
            <w:tcW w:w="3995" w:type="dxa"/>
            <w:shd w:val="clear" w:color="auto" w:fill="auto"/>
            <w:vAlign w:val="center"/>
          </w:tcPr>
          <w:p w14:paraId="37FED958">
            <w:pPr>
              <w:pStyle w:val="45"/>
              <w:overflowPunct w:val="0"/>
              <w:snapToGrid w:val="0"/>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（二）未落实有限空间作业审批，或者未执行“先通风、再检测、后作业”要求，或者作业现场未设置监护人员的。</w:t>
            </w:r>
          </w:p>
          <w:p w14:paraId="455FE462">
            <w:pPr>
              <w:pStyle w:val="45"/>
              <w:overflowPunct w:val="0"/>
              <w:snapToGrid w:val="0"/>
              <w:jc w:val="both"/>
              <w:rPr>
                <w:rFonts w:hint="eastAsia" w:ascii="宋体" w:hAnsi="宋体" w:eastAsia="宋体" w:cs="宋体"/>
                <w:color w:val="000000" w:themeColor="text1"/>
                <w:sz w:val="21"/>
                <w:szCs w:val="21"/>
                <w14:textFill>
                  <w14:solidFill>
                    <w14:schemeClr w14:val="tx1"/>
                  </w14:solidFill>
                </w14:textFill>
              </w:rPr>
            </w:pPr>
          </w:p>
        </w:tc>
        <w:tc>
          <w:tcPr>
            <w:tcW w:w="1789" w:type="dxa"/>
            <w:vMerge w:val="continue"/>
            <w:shd w:val="clear" w:color="auto" w:fill="auto"/>
            <w:vAlign w:val="center"/>
          </w:tcPr>
          <w:p w14:paraId="20EEDD90">
            <w:pPr>
              <w:pStyle w:val="45"/>
              <w:overflowPunct w:val="0"/>
              <w:snapToGrid w:val="0"/>
              <w:jc w:val="both"/>
              <w:rPr>
                <w:rFonts w:hint="eastAsia" w:ascii="宋体" w:hAnsi="宋体" w:eastAsia="宋体" w:cs="宋体"/>
                <w:color w:val="000000" w:themeColor="text1"/>
                <w:sz w:val="21"/>
                <w:szCs w:val="21"/>
                <w14:textFill>
                  <w14:solidFill>
                    <w14:schemeClr w14:val="tx1"/>
                  </w14:solidFill>
                </w14:textFill>
              </w:rPr>
            </w:pPr>
          </w:p>
        </w:tc>
        <w:tc>
          <w:tcPr>
            <w:tcW w:w="1950" w:type="dxa"/>
            <w:shd w:val="clear" w:color="auto" w:fill="auto"/>
            <w:vAlign w:val="center"/>
          </w:tcPr>
          <w:p w14:paraId="0EE11A6C">
            <w:pPr>
              <w:pStyle w:val="45"/>
              <w:overflowPunct w:val="0"/>
              <w:snapToGrid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hAnsi="宋体" w:eastAsia="宋体" w:cs="宋体"/>
                <w:color w:val="000000" w:themeColor="text1"/>
                <w:sz w:val="21"/>
                <w:szCs w:val="21"/>
                <w:lang w:val="en-US" w:eastAsia="zh-CN"/>
                <w14:textFill>
                  <w14:solidFill>
                    <w14:schemeClr w14:val="tx1"/>
                  </w14:solidFill>
                </w14:textFill>
              </w:rPr>
              <w:t>不涉及</w:t>
            </w:r>
          </w:p>
        </w:tc>
        <w:tc>
          <w:tcPr>
            <w:tcW w:w="1150" w:type="dxa"/>
            <w:shd w:val="clear" w:color="auto" w:fill="auto"/>
            <w:vAlign w:val="center"/>
          </w:tcPr>
          <w:p w14:paraId="646D9531">
            <w:pPr>
              <w:overflowPunct w:val="0"/>
              <w:snapToGrid w:val="0"/>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不涉及</w:t>
            </w:r>
          </w:p>
        </w:tc>
      </w:tr>
      <w:tr w14:paraId="64732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2" w:type="dxa"/>
            <w:vAlign w:val="center"/>
          </w:tcPr>
          <w:p w14:paraId="5F0B77E5">
            <w:pPr>
              <w:pStyle w:val="45"/>
              <w:overflowPunct w:val="0"/>
              <w:snapToGrid w:val="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r>
              <w:rPr>
                <w:rFonts w:hint="eastAsia" w:hAnsi="宋体" w:eastAsia="宋体" w:cs="宋体"/>
                <w:color w:val="000000" w:themeColor="text1"/>
                <w:sz w:val="21"/>
                <w:szCs w:val="21"/>
                <w:lang w:val="en-US" w:eastAsia="zh-CN"/>
                <w14:textFill>
                  <w14:solidFill>
                    <w14:schemeClr w14:val="tx1"/>
                  </w14:solidFill>
                </w14:textFill>
              </w:rPr>
              <w:t>3</w:t>
            </w:r>
          </w:p>
        </w:tc>
        <w:tc>
          <w:tcPr>
            <w:tcW w:w="3995" w:type="dxa"/>
            <w:shd w:val="clear" w:color="auto" w:fill="auto"/>
            <w:vAlign w:val="center"/>
          </w:tcPr>
          <w:p w14:paraId="7EF189BE">
            <w:pPr>
              <w:pStyle w:val="45"/>
              <w:overflowPunct w:val="0"/>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本标准所列情形中直接关系生产安全的监控、报警、防护等设施、设备、装置，应当保证正常运行、使用，失效或者无效均判定为重大事故隐患。</w:t>
            </w:r>
          </w:p>
        </w:tc>
        <w:tc>
          <w:tcPr>
            <w:tcW w:w="1789" w:type="dxa"/>
            <w:shd w:val="clear" w:color="auto" w:fill="auto"/>
            <w:vAlign w:val="center"/>
          </w:tcPr>
          <w:p w14:paraId="3221582E">
            <w:pPr>
              <w:pStyle w:val="45"/>
              <w:overflowPunct w:val="0"/>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《工贸企业重大事故隐患判定标准》（中华人民共和国应急管理部令第10号）第十四条</w:t>
            </w:r>
          </w:p>
        </w:tc>
        <w:tc>
          <w:tcPr>
            <w:tcW w:w="1950" w:type="dxa"/>
            <w:shd w:val="clear" w:color="auto" w:fill="auto"/>
            <w:vAlign w:val="center"/>
          </w:tcPr>
          <w:p w14:paraId="6E96B640">
            <w:pPr>
              <w:pStyle w:val="45"/>
              <w:overflowPunct w:val="0"/>
              <w:snapToGrid w:val="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根据现场勘查，该公司防护等设施、设备、装置均能正常运行、使用。</w:t>
            </w:r>
          </w:p>
        </w:tc>
        <w:tc>
          <w:tcPr>
            <w:tcW w:w="1150" w:type="dxa"/>
            <w:shd w:val="clear" w:color="auto" w:fill="auto"/>
            <w:vAlign w:val="center"/>
          </w:tcPr>
          <w:p w14:paraId="769074F1">
            <w:pPr>
              <w:overflowPunct w:val="0"/>
              <w:snapToGrid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否</w:t>
            </w:r>
          </w:p>
        </w:tc>
      </w:tr>
    </w:tbl>
    <w:p w14:paraId="4FA8035E">
      <w:pPr>
        <w:pStyle w:val="22"/>
        <w:spacing w:after="0" w:line="500" w:lineRule="exact"/>
        <w:ind w:firstLine="560" w:firstLineChars="200"/>
        <w:rPr>
          <w:rFonts w:hint="eastAsia" w:ascii="宋体" w:hAnsi="宋体" w:eastAsia="宋体" w:cs="宋体"/>
          <w:lang w:val="en-US" w:eastAsia="zh-CN"/>
        </w:rPr>
      </w:pPr>
      <w:r>
        <w:rPr>
          <w:rFonts w:hint="eastAsia" w:ascii="宋体" w:hAnsi="宋体" w:eastAsia="宋体" w:cs="宋体"/>
          <w:color w:val="000000" w:themeColor="text1"/>
          <w:sz w:val="28"/>
          <w:szCs w:val="28"/>
          <w:lang w:val="en-US" w:eastAsia="zh-CN" w:bidi="ar-SA"/>
          <w14:textFill>
            <w14:solidFill>
              <w14:schemeClr w14:val="tx1"/>
            </w14:solidFill>
          </w14:textFill>
        </w:rPr>
        <w:t>根据《工贸企业重大事故隐患判定标准》（中华人民共和国应急管理部令第10号）判定，云南普菲特数控机械有限公司安全现状评价项目未构成重大事故隐患。</w:t>
      </w:r>
    </w:p>
    <w:p w14:paraId="346C0E2B">
      <w:pPr>
        <w:pStyle w:val="3"/>
        <w:keepNext/>
        <w:keepLines/>
        <w:pageBreakBefore w:val="0"/>
        <w:widowControl w:val="0"/>
        <w:kinsoku/>
        <w:wordWrap/>
        <w:overflowPunct/>
        <w:topLinePunct w:val="0"/>
        <w:autoSpaceDE/>
        <w:autoSpaceDN/>
        <w:bidi w:val="0"/>
        <w:adjustRightInd/>
        <w:snapToGrid w:val="0"/>
        <w:spacing w:before="0" w:after="0" w:line="520" w:lineRule="exact"/>
        <w:jc w:val="both"/>
        <w:textAlignment w:val="auto"/>
        <w:rPr>
          <w:rFonts w:hint="eastAsia" w:ascii="宋体" w:hAnsi="宋体" w:eastAsia="宋体" w:cs="宋体"/>
          <w:color w:val="000000" w:themeColor="text1"/>
          <w:kern w:val="0"/>
          <w:lang w:val="en-US" w:eastAsia="zh-CN"/>
          <w14:textFill>
            <w14:solidFill>
              <w14:schemeClr w14:val="tx1"/>
            </w14:solidFill>
          </w14:textFill>
        </w:rPr>
      </w:pPr>
      <w:bookmarkStart w:id="869" w:name="_Toc10857"/>
      <w:bookmarkStart w:id="870" w:name="_Toc15480"/>
      <w:bookmarkStart w:id="871" w:name="_Toc12115"/>
      <w:r>
        <w:rPr>
          <w:rFonts w:hint="eastAsia" w:ascii="宋体" w:hAnsi="宋体" w:eastAsia="宋体" w:cs="宋体"/>
          <w:color w:val="000000" w:themeColor="text1"/>
          <w:kern w:val="0"/>
          <w:lang w:val="en-US" w:eastAsia="zh-CN"/>
          <w14:textFill>
            <w14:solidFill>
              <w14:schemeClr w14:val="tx1"/>
            </w14:solidFill>
          </w14:textFill>
        </w:rPr>
        <w:t>5.7评价小结</w:t>
      </w:r>
      <w:bookmarkEnd w:id="869"/>
      <w:bookmarkEnd w:id="870"/>
      <w:bookmarkEnd w:id="871"/>
    </w:p>
    <w:p w14:paraId="55EFB561">
      <w:pPr>
        <w:pStyle w:val="22"/>
        <w:spacing w:after="0" w:line="500" w:lineRule="exact"/>
        <w:ind w:firstLine="560" w:firstLineChars="200"/>
        <w:rPr>
          <w:rFonts w:hint="default" w:ascii="宋体" w:hAnsi="宋体" w:eastAsia="宋体" w:cs="宋体"/>
          <w:color w:val="000000" w:themeColor="text1"/>
          <w:sz w:val="28"/>
          <w:szCs w:val="28"/>
          <w:lang w:val="en-US" w:eastAsia="zh-CN" w:bidi="ar-SA"/>
          <w14:textFill>
            <w14:solidFill>
              <w14:schemeClr w14:val="tx1"/>
            </w14:solidFill>
          </w14:textFill>
        </w:rPr>
      </w:pPr>
      <w:r>
        <w:rPr>
          <w:rFonts w:hint="eastAsia" w:ascii="宋体" w:hAnsi="宋体" w:eastAsia="宋体" w:cs="宋体"/>
          <w:color w:val="000000" w:themeColor="text1"/>
          <w:sz w:val="28"/>
          <w:szCs w:val="28"/>
          <w:lang w:val="en-US" w:eastAsia="zh-CN" w:bidi="ar-SA"/>
          <w14:textFill>
            <w14:solidFill>
              <w14:schemeClr w14:val="tx1"/>
            </w14:solidFill>
          </w14:textFill>
        </w:rPr>
        <w:t>通过对该单位安全生产管理现状检查分析，该企业制定了安全管理制度、安全生产责任制、岗位操作规程。主要负责人、安全生产管理人员取得安全合格证；特种作业人员取得了特种作业资格证；从业人员进行了安全教育培训，考核合格后上岗作业；公司有专门的安全投入，并为从业人员购买了工伤保险，编制了《生产安全事故应急预案》。</w:t>
      </w:r>
      <w:r>
        <w:rPr>
          <w:rFonts w:hint="eastAsia" w:ascii="宋体" w:hAnsi="宋体" w:eastAsia="宋体" w:cs="宋体"/>
          <w:color w:val="000000" w:themeColor="text1"/>
          <w:sz w:val="28"/>
          <w:szCs w:val="28"/>
          <w:highlight w:val="yellow"/>
          <w:lang w:val="en-US" w:eastAsia="zh-CN" w:bidi="ar-SA"/>
          <w14:textFill>
            <w14:solidFill>
              <w14:schemeClr w14:val="tx1"/>
            </w14:solidFill>
          </w14:textFill>
        </w:rPr>
        <w:t>备案证号：530402-2025-0032</w:t>
      </w:r>
      <w:r>
        <w:rPr>
          <w:rFonts w:hint="eastAsia" w:ascii="宋体" w:hAnsi="宋体" w:eastAsia="宋体" w:cs="宋体"/>
          <w:color w:val="000000" w:themeColor="text1"/>
          <w:sz w:val="28"/>
          <w:szCs w:val="28"/>
          <w:lang w:val="en-US" w:eastAsia="zh-CN" w:bidi="ar-SA"/>
          <w14:textFill>
            <w14:solidFill>
              <w14:schemeClr w14:val="tx1"/>
            </w14:solidFill>
          </w14:textFill>
        </w:rPr>
        <w:t>。</w:t>
      </w:r>
    </w:p>
    <w:p w14:paraId="3804DAD1">
      <w:pPr>
        <w:adjustRightInd w:val="0"/>
        <w:snapToGrid w:val="0"/>
        <w:spacing w:line="500" w:lineRule="exact"/>
        <w:ind w:firstLine="560" w:firstLineChars="200"/>
        <w:rPr>
          <w:rFonts w:hint="eastAsia" w:ascii="宋体" w:hAnsi="宋体" w:eastAsia="宋体" w:cs="宋体"/>
          <w:color w:val="000000" w:themeColor="text1"/>
          <w:sz w:val="28"/>
          <w:szCs w:val="28"/>
          <w14:textFill>
            <w14:solidFill>
              <w14:schemeClr w14:val="tx1"/>
            </w14:solidFill>
          </w14:textFill>
        </w:rPr>
      </w:pPr>
    </w:p>
    <w:p w14:paraId="50D7A05C">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p>
    <w:p w14:paraId="0F8D1F52">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p>
    <w:p w14:paraId="2F7D8D59">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p>
    <w:p w14:paraId="3BCF48A6">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p>
    <w:p w14:paraId="09E7725F">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p>
    <w:p w14:paraId="10E924AA">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kern w:val="0"/>
          <w:sz w:val="28"/>
          <w:szCs w:val="28"/>
          <w:lang w:val="en-US" w:eastAsia="zh-CN"/>
          <w14:textFill>
            <w14:solidFill>
              <w14:schemeClr w14:val="tx1"/>
            </w14:solidFill>
          </w14:textFill>
        </w:rPr>
      </w:pPr>
    </w:p>
    <w:p w14:paraId="78B2AE62">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kern w:val="0"/>
          <w:sz w:val="28"/>
          <w:szCs w:val="28"/>
          <w:lang w:val="en-US" w:eastAsia="zh-CN"/>
          <w14:textFill>
            <w14:solidFill>
              <w14:schemeClr w14:val="tx1"/>
            </w14:solidFill>
          </w14:textFill>
        </w:rPr>
      </w:pPr>
    </w:p>
    <w:p w14:paraId="64A3239B">
      <w:pPr>
        <w:jc w:val="center"/>
        <w:outlineLvl w:val="0"/>
        <w:rPr>
          <w:rFonts w:hint="eastAsia" w:ascii="宋体" w:hAnsi="宋体" w:eastAsia="宋体" w:cs="宋体"/>
          <w:b/>
          <w:bCs/>
          <w:sz w:val="36"/>
          <w:szCs w:val="36"/>
          <w:lang w:val="en-US" w:eastAsia="zh-CN"/>
        </w:rPr>
      </w:pPr>
      <w:bookmarkStart w:id="872" w:name="_Toc147"/>
      <w:r>
        <w:rPr>
          <w:rFonts w:hint="eastAsia" w:ascii="宋体" w:hAnsi="宋体" w:eastAsia="宋体" w:cs="宋体"/>
          <w:b/>
          <w:bCs/>
          <w:sz w:val="36"/>
          <w:szCs w:val="36"/>
          <w:lang w:val="en-US" w:eastAsia="zh-CN"/>
        </w:rPr>
        <w:t>第6章安全对策措施建议</w:t>
      </w:r>
      <w:bookmarkEnd w:id="872"/>
    </w:p>
    <w:p w14:paraId="71A59CB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宋体" w:hAnsi="宋体" w:eastAsia="宋体" w:cs="宋体"/>
          <w:sz w:val="30"/>
          <w:szCs w:val="30"/>
        </w:rPr>
      </w:pPr>
      <w:bookmarkStart w:id="873" w:name="_Toc21870"/>
      <w:r>
        <w:rPr>
          <w:rFonts w:hint="eastAsia" w:ascii="宋体" w:hAnsi="宋体" w:eastAsia="宋体" w:cs="宋体"/>
          <w:b/>
          <w:bCs/>
          <w:color w:val="000000"/>
          <w:kern w:val="0"/>
          <w:sz w:val="30"/>
          <w:szCs w:val="30"/>
          <w:lang w:val="en-US" w:eastAsia="zh-CN" w:bidi="ar"/>
        </w:rPr>
        <w:t>6.1存在的问题及整改情况说明</w:t>
      </w:r>
      <w:bookmarkEnd w:id="873"/>
    </w:p>
    <w:p w14:paraId="371AECF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2"/>
        <w:rPr>
          <w:rFonts w:hint="eastAsia" w:ascii="宋体" w:hAnsi="宋体" w:eastAsia="宋体" w:cs="宋体"/>
          <w:sz w:val="28"/>
          <w:szCs w:val="28"/>
        </w:rPr>
      </w:pPr>
      <w:bookmarkStart w:id="874" w:name="_Toc22581"/>
      <w:r>
        <w:rPr>
          <w:rFonts w:hint="eastAsia" w:ascii="宋体" w:hAnsi="宋体" w:eastAsia="宋体" w:cs="宋体"/>
          <w:b/>
          <w:bCs/>
          <w:color w:val="000000"/>
          <w:kern w:val="0"/>
          <w:sz w:val="28"/>
          <w:szCs w:val="28"/>
          <w:lang w:val="en-US" w:eastAsia="zh-CN" w:bidi="ar"/>
        </w:rPr>
        <w:t>6.1.1存在的主要问题</w:t>
      </w:r>
      <w:bookmarkEnd w:id="874"/>
    </w:p>
    <w:p w14:paraId="43986CF1">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400" w:firstLineChars="0"/>
        <w:jc w:val="both"/>
        <w:textAlignment w:val="auto"/>
        <w:rPr>
          <w:rFonts w:hint="eastAsia" w:ascii="宋体" w:hAnsi="宋体" w:eastAsia="宋体" w:cs="宋体"/>
          <w:b w:val="0"/>
          <w:bCs w:val="0"/>
          <w:sz w:val="28"/>
          <w:szCs w:val="28"/>
          <w:vertAlign w:val="baseline"/>
          <w:lang w:eastAsia="zh-CN"/>
        </w:rPr>
      </w:pPr>
      <w:r>
        <w:rPr>
          <w:rFonts w:hint="eastAsia" w:ascii="宋体" w:hAnsi="宋体" w:eastAsia="宋体" w:cs="宋体"/>
          <w:b w:val="0"/>
          <w:bCs w:val="0"/>
          <w:sz w:val="28"/>
          <w:szCs w:val="28"/>
          <w:vertAlign w:val="baseline"/>
          <w:lang w:val="en-US" w:eastAsia="zh-CN"/>
        </w:rPr>
        <w:t>生产区域内部分应急照明未通电，紧急情况下无法正常使用；</w:t>
      </w:r>
    </w:p>
    <w:p w14:paraId="287859B4">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400" w:firstLineChars="0"/>
        <w:jc w:val="both"/>
        <w:textAlignment w:val="auto"/>
        <w:rPr>
          <w:rFonts w:hint="eastAsia" w:ascii="宋体" w:hAnsi="宋体" w:eastAsia="宋体" w:cs="宋体"/>
          <w:b w:val="0"/>
          <w:bCs w:val="0"/>
          <w:sz w:val="28"/>
          <w:szCs w:val="28"/>
          <w:vertAlign w:val="baseline"/>
          <w:lang w:eastAsia="zh-CN"/>
        </w:rPr>
      </w:pPr>
      <w:r>
        <w:rPr>
          <w:rFonts w:hint="eastAsia" w:ascii="宋体" w:hAnsi="宋体" w:eastAsia="宋体" w:cs="宋体"/>
          <w:b w:val="0"/>
          <w:bCs w:val="0"/>
          <w:sz w:val="28"/>
          <w:szCs w:val="28"/>
          <w:vertAlign w:val="baseline"/>
          <w:lang w:val="en-US" w:eastAsia="zh-CN"/>
        </w:rPr>
        <w:t>车间内停放非生产用车辆；</w:t>
      </w:r>
    </w:p>
    <w:p w14:paraId="1E2F9FFA">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400" w:firstLineChars="0"/>
        <w:jc w:val="both"/>
        <w:textAlignment w:val="auto"/>
        <w:rPr>
          <w:rFonts w:hint="eastAsia" w:ascii="宋体" w:hAnsi="宋体" w:eastAsia="宋体" w:cs="宋体"/>
          <w:b w:val="0"/>
          <w:bCs w:val="0"/>
          <w:sz w:val="28"/>
          <w:szCs w:val="28"/>
          <w:vertAlign w:val="baseline"/>
          <w:lang w:eastAsia="zh-CN"/>
        </w:rPr>
      </w:pPr>
      <w:r>
        <w:rPr>
          <w:rFonts w:hint="eastAsia" w:ascii="宋体" w:hAnsi="宋体" w:eastAsia="宋体" w:cs="宋体"/>
          <w:b w:val="0"/>
          <w:bCs w:val="0"/>
          <w:sz w:val="28"/>
          <w:szCs w:val="28"/>
          <w:vertAlign w:val="baseline"/>
          <w:lang w:val="en-US" w:eastAsia="zh-CN"/>
        </w:rPr>
        <w:t>生产车间内有电动车充电行为；</w:t>
      </w:r>
    </w:p>
    <w:p w14:paraId="69289ADF">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400" w:firstLineChars="0"/>
        <w:jc w:val="both"/>
        <w:textAlignment w:val="auto"/>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配电柜处，部分线路存在绝缘破损情况</w:t>
      </w:r>
      <w:r>
        <w:rPr>
          <w:rFonts w:hint="eastAsia" w:hAnsi="宋体" w:cs="宋体"/>
          <w:b w:val="0"/>
          <w:bCs w:val="0"/>
          <w:sz w:val="28"/>
          <w:szCs w:val="28"/>
          <w:vertAlign w:val="baseline"/>
          <w:lang w:val="en-US" w:eastAsia="zh-CN"/>
        </w:rPr>
        <w:t>。</w:t>
      </w:r>
    </w:p>
    <w:p w14:paraId="63D154AA">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400" w:firstLineChars="0"/>
        <w:jc w:val="both"/>
        <w:textAlignment w:val="auto"/>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生产安全事故应急预案</w:t>
      </w:r>
      <w:r>
        <w:rPr>
          <w:rFonts w:hint="eastAsia" w:hAnsi="宋体" w:cs="宋体"/>
          <w:b w:val="0"/>
          <w:bCs w:val="0"/>
          <w:sz w:val="28"/>
          <w:szCs w:val="28"/>
          <w:vertAlign w:val="baseline"/>
          <w:lang w:val="en-US" w:eastAsia="zh-CN"/>
        </w:rPr>
        <w:t>未</w:t>
      </w:r>
      <w:r>
        <w:rPr>
          <w:rFonts w:hint="eastAsia" w:ascii="宋体" w:hAnsi="宋体" w:eastAsia="宋体" w:cs="宋体"/>
          <w:b w:val="0"/>
          <w:bCs w:val="0"/>
          <w:sz w:val="28"/>
          <w:szCs w:val="28"/>
          <w:vertAlign w:val="baseline"/>
          <w:lang w:val="en-US" w:eastAsia="zh-CN"/>
        </w:rPr>
        <w:t>落实评审备案。</w:t>
      </w:r>
    </w:p>
    <w:p w14:paraId="4404C5A2">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400" w:firstLineChars="0"/>
        <w:jc w:val="both"/>
        <w:textAlignment w:val="auto"/>
        <w:rPr>
          <w:rFonts w:hint="eastAsia" w:ascii="宋体" w:hAnsi="宋体" w:eastAsia="宋体" w:cs="宋体"/>
          <w:b w:val="0"/>
          <w:bCs w:val="0"/>
          <w:sz w:val="28"/>
          <w:szCs w:val="28"/>
          <w:vertAlign w:val="baseline"/>
          <w:lang w:val="en-US" w:eastAsia="zh-CN"/>
        </w:rPr>
      </w:pPr>
      <w:r>
        <w:rPr>
          <w:rFonts w:hint="eastAsia" w:hAnsi="宋体" w:cs="宋体"/>
          <w:b w:val="0"/>
          <w:bCs w:val="0"/>
          <w:sz w:val="28"/>
          <w:szCs w:val="28"/>
          <w:vertAlign w:val="baseline"/>
          <w:lang w:val="en-US" w:eastAsia="zh-CN"/>
        </w:rPr>
        <w:t>未提供安全生产费用使用台账。</w:t>
      </w:r>
    </w:p>
    <w:p w14:paraId="4C6A224B">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outlineLvl w:val="2"/>
        <w:rPr>
          <w:rFonts w:hint="eastAsia" w:ascii="宋体" w:hAnsi="宋体" w:eastAsia="宋体" w:cs="宋体"/>
          <w:b/>
          <w:bCs/>
          <w:sz w:val="28"/>
          <w:szCs w:val="24"/>
          <w:lang w:val="en-US" w:eastAsia="zh-CN"/>
        </w:rPr>
      </w:pPr>
      <w:bookmarkStart w:id="875" w:name="_Toc7684"/>
      <w:bookmarkStart w:id="876" w:name="_Toc31303"/>
      <w:r>
        <w:rPr>
          <w:rFonts w:hint="eastAsia" w:ascii="宋体" w:hAnsi="宋体" w:eastAsia="宋体" w:cs="宋体"/>
          <w:b/>
          <w:bCs/>
          <w:sz w:val="28"/>
          <w:szCs w:val="24"/>
          <w:lang w:val="en-US" w:eastAsia="zh-CN"/>
        </w:rPr>
        <w:t>6.1.2整改建议</w:t>
      </w:r>
      <w:bookmarkEnd w:id="875"/>
      <w:bookmarkEnd w:id="876"/>
    </w:p>
    <w:p w14:paraId="5D3A01FE">
      <w:pPr>
        <w:keepNext w:val="0"/>
        <w:keepLines w:val="0"/>
        <w:pageBreakBefore w:val="0"/>
        <w:widowControl/>
        <w:numPr>
          <w:ilvl w:val="0"/>
          <w:numId w:val="13"/>
        </w:numPr>
        <w:suppressLineNumbers w:val="0"/>
        <w:kinsoku/>
        <w:wordWrap/>
        <w:overflowPunct/>
        <w:topLinePunct w:val="0"/>
        <w:autoSpaceDE/>
        <w:autoSpaceDN/>
        <w:bidi w:val="0"/>
        <w:adjustRightInd/>
        <w:snapToGrid/>
        <w:spacing w:line="500" w:lineRule="exact"/>
        <w:ind w:left="0" w:leftChars="0" w:firstLine="400" w:firstLineChars="0"/>
        <w:jc w:val="both"/>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rPr>
        <w:t>应急照明保持通电状态，加强日常巡查。后期整改过程中更改为电源直连，取消插座</w:t>
      </w:r>
      <w:r>
        <w:rPr>
          <w:rFonts w:hint="eastAsia" w:ascii="宋体" w:hAnsi="宋体" w:eastAsia="宋体" w:cs="宋体"/>
          <w:color w:val="000000"/>
          <w:sz w:val="28"/>
          <w:szCs w:val="28"/>
          <w:lang w:val="en-US" w:eastAsia="zh-CN"/>
        </w:rPr>
        <w:t>。</w:t>
      </w:r>
    </w:p>
    <w:p w14:paraId="55C361E9">
      <w:pPr>
        <w:keepNext w:val="0"/>
        <w:keepLines w:val="0"/>
        <w:pageBreakBefore w:val="0"/>
        <w:widowControl/>
        <w:numPr>
          <w:ilvl w:val="0"/>
          <w:numId w:val="13"/>
        </w:numPr>
        <w:suppressLineNumbers w:val="0"/>
        <w:kinsoku/>
        <w:wordWrap/>
        <w:overflowPunct/>
        <w:topLinePunct w:val="0"/>
        <w:autoSpaceDE/>
        <w:autoSpaceDN/>
        <w:bidi w:val="0"/>
        <w:adjustRightInd/>
        <w:snapToGrid/>
        <w:spacing w:line="500" w:lineRule="exact"/>
        <w:ind w:left="0" w:leftChars="0" w:firstLine="400" w:firstLineChars="0"/>
        <w:jc w:val="both"/>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rPr>
        <w:t>禁止非生产用车辆进入，并加强日常管理。</w:t>
      </w:r>
    </w:p>
    <w:p w14:paraId="728746EC">
      <w:pPr>
        <w:keepNext w:val="0"/>
        <w:keepLines w:val="0"/>
        <w:pageBreakBefore w:val="0"/>
        <w:widowControl/>
        <w:numPr>
          <w:ilvl w:val="0"/>
          <w:numId w:val="13"/>
        </w:numPr>
        <w:suppressLineNumbers w:val="0"/>
        <w:kinsoku/>
        <w:wordWrap/>
        <w:overflowPunct/>
        <w:topLinePunct w:val="0"/>
        <w:autoSpaceDE/>
        <w:autoSpaceDN/>
        <w:bidi w:val="0"/>
        <w:adjustRightInd/>
        <w:snapToGrid/>
        <w:spacing w:line="500" w:lineRule="exact"/>
        <w:ind w:left="0" w:leftChars="0" w:firstLine="400" w:firstLineChars="0"/>
        <w:jc w:val="both"/>
        <w:textAlignment w:val="auto"/>
        <w:rPr>
          <w:rFonts w:hint="eastAsia" w:ascii="宋体" w:hAnsi="宋体" w:eastAsia="宋体" w:cs="宋体"/>
          <w:b w:val="0"/>
          <w:bCs w:val="0"/>
          <w:sz w:val="28"/>
          <w:szCs w:val="28"/>
          <w:vertAlign w:val="baseline"/>
          <w:lang w:val="en-US" w:eastAsia="zh-CN"/>
        </w:rPr>
      </w:pPr>
      <w:r>
        <w:rPr>
          <w:rFonts w:hint="eastAsia" w:ascii="宋体" w:hAnsi="宋体" w:eastAsia="宋体" w:cs="宋体"/>
          <w:color w:val="000000"/>
          <w:sz w:val="28"/>
          <w:szCs w:val="28"/>
          <w:lang w:val="en-US"/>
        </w:rPr>
        <w:t>禁止充电车辆在车间内充电，加强日常安全管理。</w:t>
      </w:r>
    </w:p>
    <w:p w14:paraId="17AD9F6A">
      <w:pPr>
        <w:keepNext w:val="0"/>
        <w:keepLines w:val="0"/>
        <w:pageBreakBefore w:val="0"/>
        <w:widowControl/>
        <w:numPr>
          <w:ilvl w:val="0"/>
          <w:numId w:val="13"/>
        </w:numPr>
        <w:suppressLineNumbers w:val="0"/>
        <w:kinsoku/>
        <w:wordWrap/>
        <w:overflowPunct/>
        <w:topLinePunct w:val="0"/>
        <w:autoSpaceDE/>
        <w:autoSpaceDN/>
        <w:bidi w:val="0"/>
        <w:adjustRightInd/>
        <w:snapToGrid/>
        <w:spacing w:line="500" w:lineRule="exact"/>
        <w:ind w:left="0" w:leftChars="0" w:firstLine="400" w:firstLineChars="0"/>
        <w:jc w:val="both"/>
        <w:textAlignment w:val="auto"/>
        <w:rPr>
          <w:rFonts w:hint="eastAsia" w:ascii="宋体" w:hAnsi="宋体" w:eastAsia="宋体" w:cs="宋体"/>
          <w:b w:val="0"/>
          <w:bCs w:val="0"/>
          <w:sz w:val="28"/>
          <w:szCs w:val="28"/>
          <w:vertAlign w:val="baseline"/>
          <w:lang w:val="en-US" w:eastAsia="zh-CN"/>
        </w:rPr>
      </w:pPr>
      <w:r>
        <w:rPr>
          <w:rFonts w:hint="eastAsia" w:ascii="宋体" w:hAnsi="宋体" w:eastAsia="宋体" w:cs="宋体"/>
          <w:color w:val="000000"/>
          <w:sz w:val="28"/>
          <w:szCs w:val="28"/>
          <w:lang w:val="en-US"/>
        </w:rPr>
        <w:t>全面检查配电线路，存在绝缘层破损的进行更换</w:t>
      </w:r>
      <w:r>
        <w:rPr>
          <w:rFonts w:hint="eastAsia" w:ascii="宋体" w:hAnsi="宋体" w:eastAsia="宋体" w:cs="宋体"/>
          <w:color w:val="000000"/>
          <w:sz w:val="28"/>
          <w:szCs w:val="28"/>
          <w:lang w:val="en-US" w:eastAsia="zh-CN"/>
        </w:rPr>
        <w:t>。</w:t>
      </w:r>
    </w:p>
    <w:p w14:paraId="5CCFDD00">
      <w:pPr>
        <w:keepNext w:val="0"/>
        <w:keepLines w:val="0"/>
        <w:pageBreakBefore w:val="0"/>
        <w:widowControl/>
        <w:numPr>
          <w:ilvl w:val="0"/>
          <w:numId w:val="13"/>
        </w:numPr>
        <w:suppressLineNumbers w:val="0"/>
        <w:kinsoku/>
        <w:wordWrap/>
        <w:overflowPunct/>
        <w:topLinePunct w:val="0"/>
        <w:autoSpaceDE/>
        <w:autoSpaceDN/>
        <w:bidi w:val="0"/>
        <w:adjustRightInd/>
        <w:snapToGrid/>
        <w:spacing w:line="500" w:lineRule="exact"/>
        <w:ind w:left="0" w:leftChars="0" w:firstLine="400" w:firstLineChars="0"/>
        <w:jc w:val="both"/>
        <w:textAlignment w:val="auto"/>
        <w:rPr>
          <w:rFonts w:hint="default" w:ascii="宋体" w:hAnsi="宋体" w:eastAsia="宋体" w:cs="宋体"/>
          <w:b w:val="0"/>
          <w:bCs w:val="0"/>
          <w:sz w:val="28"/>
          <w:szCs w:val="28"/>
          <w:vertAlign w:val="baseline"/>
          <w:lang w:val="en-US" w:eastAsia="zh-CN"/>
        </w:rPr>
      </w:pPr>
      <w:r>
        <w:rPr>
          <w:rFonts w:hint="eastAsia" w:hAnsi="宋体" w:cs="宋体"/>
          <w:color w:val="000000"/>
          <w:sz w:val="28"/>
          <w:szCs w:val="28"/>
          <w:lang w:val="en-US" w:eastAsia="zh-CN"/>
        </w:rPr>
        <w:t>按规范要求对生产安全事故应急预案组织评审，及时备案。</w:t>
      </w:r>
    </w:p>
    <w:p w14:paraId="02394FE8">
      <w:pPr>
        <w:keepNext w:val="0"/>
        <w:keepLines w:val="0"/>
        <w:pageBreakBefore w:val="0"/>
        <w:widowControl/>
        <w:numPr>
          <w:ilvl w:val="0"/>
          <w:numId w:val="13"/>
        </w:numPr>
        <w:suppressLineNumbers w:val="0"/>
        <w:kinsoku/>
        <w:wordWrap/>
        <w:overflowPunct/>
        <w:topLinePunct w:val="0"/>
        <w:autoSpaceDE/>
        <w:autoSpaceDN/>
        <w:bidi w:val="0"/>
        <w:adjustRightInd/>
        <w:snapToGrid/>
        <w:spacing w:line="500" w:lineRule="exact"/>
        <w:ind w:left="0" w:leftChars="0" w:firstLine="400" w:firstLineChars="0"/>
        <w:jc w:val="both"/>
        <w:textAlignment w:val="auto"/>
        <w:rPr>
          <w:rFonts w:hint="default" w:ascii="宋体" w:hAnsi="宋体" w:eastAsia="宋体" w:cs="宋体"/>
          <w:b w:val="0"/>
          <w:bCs w:val="0"/>
          <w:sz w:val="28"/>
          <w:szCs w:val="28"/>
          <w:vertAlign w:val="baseline"/>
          <w:lang w:val="en-US" w:eastAsia="zh-CN"/>
        </w:rPr>
      </w:pPr>
      <w:r>
        <w:rPr>
          <w:rFonts w:hint="eastAsia" w:hAnsi="宋体" w:cs="宋体"/>
          <w:color w:val="000000"/>
          <w:sz w:val="28"/>
          <w:szCs w:val="28"/>
          <w:lang w:val="en-US" w:eastAsia="zh-CN"/>
        </w:rPr>
        <w:t>建立安全生产费用提取使用台账，如实记录使用情况。</w:t>
      </w:r>
    </w:p>
    <w:p w14:paraId="1168E2E4">
      <w:pPr>
        <w:pStyle w:val="34"/>
        <w:keepNext w:val="0"/>
        <w:keepLines w:val="0"/>
        <w:pageBreakBefore w:val="0"/>
        <w:kinsoku/>
        <w:wordWrap/>
        <w:overflowPunct/>
        <w:topLinePunct w:val="0"/>
        <w:bidi w:val="0"/>
        <w:snapToGrid/>
        <w:spacing w:line="500" w:lineRule="exact"/>
        <w:textAlignment w:val="auto"/>
        <w:outlineLvl w:val="2"/>
        <w:rPr>
          <w:rFonts w:hint="eastAsia" w:ascii="宋体" w:hAnsi="宋体" w:eastAsia="宋体" w:cs="宋体"/>
          <w:b/>
          <w:bCs/>
          <w:sz w:val="28"/>
          <w:szCs w:val="24"/>
          <w:lang w:val="en-US" w:eastAsia="zh-CN"/>
        </w:rPr>
      </w:pPr>
      <w:bookmarkStart w:id="877" w:name="_Toc23618"/>
      <w:bookmarkStart w:id="878" w:name="_Toc18834"/>
      <w:r>
        <w:rPr>
          <w:rFonts w:hint="eastAsia" w:ascii="宋体" w:hAnsi="宋体" w:eastAsia="宋体" w:cs="宋体"/>
          <w:b/>
          <w:bCs/>
          <w:sz w:val="28"/>
          <w:szCs w:val="24"/>
          <w:lang w:val="en-US" w:eastAsia="zh-CN"/>
        </w:rPr>
        <w:t>6.1.3整改完成情况</w:t>
      </w:r>
      <w:bookmarkEnd w:id="877"/>
      <w:bookmarkEnd w:id="878"/>
    </w:p>
    <w:p w14:paraId="5B3B1121">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lang w:val="en-US" w:eastAsia="zh-CN"/>
        </w:rPr>
        <w:t>针对上述问题，企业已认真对照整改，并提供整改反馈见</w:t>
      </w:r>
      <w:r>
        <w:rPr>
          <w:rFonts w:hint="eastAsia" w:ascii="宋体" w:hAnsi="宋体" w:eastAsia="宋体" w:cs="宋体"/>
          <w:sz w:val="28"/>
          <w:szCs w:val="28"/>
          <w:highlight w:val="none"/>
          <w:lang w:val="en-US" w:eastAsia="zh-CN"/>
        </w:rPr>
        <w:t>报告附件</w:t>
      </w:r>
      <w:r>
        <w:rPr>
          <w:rFonts w:hint="eastAsia" w:hAnsi="宋体" w:cs="宋体"/>
          <w:sz w:val="28"/>
          <w:szCs w:val="28"/>
          <w:highlight w:val="none"/>
          <w:lang w:val="en-US" w:eastAsia="zh-CN"/>
        </w:rPr>
        <w:t>24</w:t>
      </w:r>
      <w:r>
        <w:rPr>
          <w:rFonts w:hint="eastAsia" w:ascii="宋体" w:hAnsi="宋体" w:eastAsia="宋体" w:cs="宋体"/>
          <w:sz w:val="28"/>
          <w:szCs w:val="28"/>
          <w:highlight w:val="none"/>
          <w:lang w:val="en-US" w:eastAsia="zh-CN"/>
        </w:rPr>
        <w:t>。</w:t>
      </w:r>
    </w:p>
    <w:p w14:paraId="5C1AE1ED">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宋体" w:hAnsi="宋体" w:eastAsia="宋体" w:cs="宋体"/>
          <w:sz w:val="30"/>
          <w:szCs w:val="30"/>
        </w:rPr>
      </w:pPr>
      <w:bookmarkStart w:id="879" w:name="_Toc23841"/>
      <w:r>
        <w:rPr>
          <w:rFonts w:hint="eastAsia" w:ascii="宋体" w:hAnsi="宋体" w:eastAsia="宋体" w:cs="宋体"/>
          <w:b/>
          <w:bCs/>
          <w:color w:val="000000"/>
          <w:kern w:val="0"/>
          <w:sz w:val="30"/>
          <w:szCs w:val="30"/>
          <w:lang w:val="en-US" w:eastAsia="zh-CN" w:bidi="ar"/>
        </w:rPr>
        <w:t>6.2安全防范措施建议</w:t>
      </w:r>
      <w:bookmarkEnd w:id="879"/>
    </w:p>
    <w:p w14:paraId="292B060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2"/>
        <w:rPr>
          <w:rFonts w:hint="eastAsia" w:ascii="宋体" w:hAnsi="宋体" w:eastAsia="宋体" w:cs="宋体"/>
          <w:sz w:val="28"/>
          <w:szCs w:val="28"/>
        </w:rPr>
      </w:pPr>
      <w:bookmarkStart w:id="880" w:name="_Toc30801"/>
      <w:r>
        <w:rPr>
          <w:rFonts w:hint="eastAsia" w:ascii="宋体" w:hAnsi="宋体" w:eastAsia="宋体" w:cs="宋体"/>
          <w:b/>
          <w:bCs/>
          <w:color w:val="000000"/>
          <w:kern w:val="0"/>
          <w:sz w:val="28"/>
          <w:szCs w:val="28"/>
          <w:lang w:val="en-US" w:eastAsia="zh-CN" w:bidi="ar"/>
        </w:rPr>
        <w:t>6.2.1厂址及总平面布置方面安全防范措施建议</w:t>
      </w:r>
      <w:bookmarkEnd w:id="880"/>
    </w:p>
    <w:p w14:paraId="363AE1D8">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1、在生产过程中，要确保各功能区消防安全通道和人行通道畅通，任何部门和个人在任何情况下不能以任何理由占用、堵塞消防安全通道和人行通道，禁止在消防安全通道和人行通道上堆放杂物，每天要对安全通道进行巡回检查，以确保通道畅通。</w:t>
      </w:r>
    </w:p>
    <w:p w14:paraId="1F07E73C">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2、运输车辆在厂内行驶时，应严格按照相关规定驾驶，合理停放，避免发生车辆伤害事故。</w:t>
      </w:r>
    </w:p>
    <w:p w14:paraId="665D6155">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3、要加强企业的安全管理，厂区道路、部分场所属于公用，涉及交叉作业，应加强安全管理与监督，严格落实安全生产管理协议的相关安全职责，防范事故发生。</w:t>
      </w:r>
    </w:p>
    <w:p w14:paraId="105D2FE8">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宋体" w:hAnsi="宋体" w:eastAsia="宋体" w:cs="宋体"/>
          <w:sz w:val="28"/>
          <w:szCs w:val="28"/>
        </w:rPr>
      </w:pPr>
      <w:r>
        <w:rPr>
          <w:rFonts w:hint="eastAsia" w:hAnsi="宋体" w:cs="宋体"/>
          <w:color w:val="000000"/>
          <w:kern w:val="0"/>
          <w:sz w:val="28"/>
          <w:szCs w:val="28"/>
          <w:lang w:val="en-US" w:eastAsia="zh-CN" w:bidi="ar"/>
        </w:rPr>
        <w:t>4</w:t>
      </w:r>
      <w:r>
        <w:rPr>
          <w:rFonts w:hint="eastAsia" w:ascii="宋体" w:hAnsi="宋体" w:eastAsia="宋体" w:cs="宋体"/>
          <w:color w:val="000000"/>
          <w:kern w:val="0"/>
          <w:sz w:val="28"/>
          <w:szCs w:val="28"/>
          <w:lang w:val="en-US" w:eastAsia="zh-CN" w:bidi="ar"/>
        </w:rPr>
        <w:t>、严禁私搭乱建固定或临时性建筑物，避免导致厂房之间防火间距不足，严禁堵塞消防疏散通道。</w:t>
      </w:r>
    </w:p>
    <w:p w14:paraId="340FF13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2"/>
        <w:rPr>
          <w:rFonts w:hint="eastAsia" w:ascii="宋体" w:hAnsi="宋体" w:eastAsia="宋体" w:cs="宋体"/>
          <w:sz w:val="28"/>
          <w:szCs w:val="28"/>
        </w:rPr>
      </w:pPr>
      <w:bookmarkStart w:id="881" w:name="_Toc22169"/>
      <w:r>
        <w:rPr>
          <w:rFonts w:hint="eastAsia" w:ascii="宋体" w:hAnsi="宋体" w:eastAsia="宋体" w:cs="宋体"/>
          <w:b/>
          <w:bCs/>
          <w:color w:val="000000"/>
          <w:kern w:val="0"/>
          <w:sz w:val="28"/>
          <w:szCs w:val="28"/>
          <w:lang w:val="en-US" w:eastAsia="zh-CN" w:bidi="ar"/>
        </w:rPr>
        <w:t>6.2.2生产设备安全防范措施建议</w:t>
      </w:r>
      <w:bookmarkEnd w:id="881"/>
    </w:p>
    <w:p w14:paraId="3D0CC53E">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both"/>
        <w:textAlignment w:val="auto"/>
        <w:rPr>
          <w:rFonts w:hint="default" w:ascii="宋体" w:hAnsi="宋体" w:eastAsia="宋体" w:cs="宋体"/>
          <w:sz w:val="28"/>
          <w:szCs w:val="28"/>
          <w:lang w:val="en-US"/>
        </w:rPr>
      </w:pPr>
      <w:r>
        <w:rPr>
          <w:rFonts w:hint="eastAsia" w:ascii="宋体" w:hAnsi="宋体" w:eastAsia="宋体" w:cs="宋体"/>
          <w:color w:val="000000"/>
          <w:kern w:val="0"/>
          <w:sz w:val="28"/>
          <w:szCs w:val="28"/>
          <w:lang w:val="en-US" w:eastAsia="zh-CN" w:bidi="ar"/>
        </w:rPr>
        <w:t>1、生产车间内起重设备较多，使用较为频繁，因此，必须加强起重设备的安全管理，起重机、钢丝绳、吊钩等应定期进行检查、维护、保养，若发现缺失、损坏、失灵等情况应尽快进行修复、维护。</w:t>
      </w:r>
    </w:p>
    <w:p w14:paraId="25809FFD">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both"/>
        <w:textAlignment w:val="auto"/>
        <w:rPr>
          <w:rFonts w:hint="eastAsia"/>
          <w:lang w:val="en-US" w:eastAsia="zh-CN"/>
        </w:rPr>
      </w:pPr>
      <w:r>
        <w:rPr>
          <w:rFonts w:hint="eastAsia" w:ascii="宋体" w:hAnsi="宋体" w:eastAsia="宋体" w:cs="宋体"/>
          <w:color w:val="000000"/>
          <w:kern w:val="0"/>
          <w:sz w:val="28"/>
          <w:szCs w:val="28"/>
          <w:lang w:val="en-US" w:eastAsia="zh-CN" w:bidi="ar"/>
        </w:rPr>
        <w:t>2、定期对起重设备进行检测、检验，确保在用的特种设备在检测、检验有效期内。</w:t>
      </w:r>
    </w:p>
    <w:p w14:paraId="1B5327DE">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3、对防雷接地装置应做好日常的维护工作，保证其良好有效，并定期请具备相应资质的单位进行检测检验，出具相应的检测报告。</w:t>
      </w:r>
    </w:p>
    <w:p w14:paraId="6534599A">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4、机械电气设备必须做好电气保护接地，定期对电气保护接地进行检</w:t>
      </w:r>
    </w:p>
    <w:p w14:paraId="38E5F90B">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查，对漏电保护器进行定期检查。</w:t>
      </w:r>
    </w:p>
    <w:p w14:paraId="516E45F2">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5、加强对消防设施的维护保养，定期对消防设施进行检验，保证消防设施的有效性，经常保持消防器材的清洁。</w:t>
      </w:r>
    </w:p>
    <w:p w14:paraId="06A404A3">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6、在潮湿环境下作业时，应选用合格的防潮防漏电电气设备，使用手持电动工具进行作业时、在金属容器内进行检维修作业时，均应使用安全电压。</w:t>
      </w:r>
    </w:p>
    <w:p w14:paraId="45F3B388">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7、维修人员设备调整、检修，以及需要停机排除各种故障时，都必须</w:t>
      </w:r>
    </w:p>
    <w:p w14:paraId="4A1B3E0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在设备启动开关旁挂警示标志牌。警告牌的色调、字体必须醒目易见。必要</w:t>
      </w:r>
    </w:p>
    <w:p w14:paraId="16841B6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时应有人监护开关。</w:t>
      </w:r>
    </w:p>
    <w:p w14:paraId="1F6F5C6E">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8、生产车间内使用的手持式电动工具应定期开展绝缘防护检测，开关</w:t>
      </w:r>
    </w:p>
    <w:p w14:paraId="3689E54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箱内的漏电保护器应定期进行试验。</w:t>
      </w:r>
    </w:p>
    <w:p w14:paraId="603410BE">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9、建议企业对建筑消防设施每年至少进行一次全面检测，确保完好有</w:t>
      </w:r>
    </w:p>
    <w:p w14:paraId="432ECB3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效，检测记录应当完整准确，存档备查。</w:t>
      </w:r>
    </w:p>
    <w:p w14:paraId="54E6D94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000000"/>
          <w:kern w:val="0"/>
          <w:sz w:val="28"/>
          <w:szCs w:val="28"/>
          <w:lang w:val="en-US" w:eastAsia="zh-CN" w:bidi="ar"/>
        </w:rPr>
      </w:pPr>
    </w:p>
    <w:p w14:paraId="628B589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2"/>
        <w:rPr>
          <w:rFonts w:hint="eastAsia" w:ascii="宋体" w:hAnsi="宋体" w:eastAsia="宋体" w:cs="宋体"/>
          <w:sz w:val="28"/>
          <w:szCs w:val="28"/>
        </w:rPr>
      </w:pPr>
      <w:bookmarkStart w:id="882" w:name="_Toc22508"/>
      <w:r>
        <w:rPr>
          <w:rFonts w:hint="eastAsia" w:ascii="宋体" w:hAnsi="宋体" w:eastAsia="宋体" w:cs="宋体"/>
          <w:b/>
          <w:bCs/>
          <w:color w:val="000000"/>
          <w:kern w:val="0"/>
          <w:sz w:val="28"/>
          <w:szCs w:val="28"/>
          <w:lang w:val="en-US" w:eastAsia="zh-CN" w:bidi="ar"/>
        </w:rPr>
        <w:t>6.2.3公共辅助设施安全防范措施建议</w:t>
      </w:r>
      <w:bookmarkEnd w:id="882"/>
    </w:p>
    <w:p w14:paraId="18805B20">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1、应急安全出口不得堆放杂物，保证畅通无阻。</w:t>
      </w:r>
    </w:p>
    <w:p w14:paraId="0C50D20F">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2、工作位置应保证操作人员的安全，平台和通道必须防滑，必要时设置踏板和栏杆。</w:t>
      </w:r>
    </w:p>
    <w:p w14:paraId="10C86774">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3、消防器材应当设置在明显和便于取用的地方，任何人不得随便移动，</w:t>
      </w:r>
    </w:p>
    <w:p w14:paraId="3F7CC49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不得上锁，不得受阳光曝晒、火烤、雨淋，一经使用，应立即更换，不得空</w:t>
      </w:r>
    </w:p>
    <w:p w14:paraId="621498F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置或随意丢弃。</w:t>
      </w:r>
    </w:p>
    <w:p w14:paraId="181016C6">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宋体" w:hAnsi="宋体" w:eastAsia="宋体" w:cs="宋体"/>
          <w:b/>
          <w:bCs/>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4、疏散门应向疏散方向开启，入口处应设置明显的标志。</w:t>
      </w:r>
    </w:p>
    <w:p w14:paraId="309D55B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2"/>
        <w:rPr>
          <w:rFonts w:hint="eastAsia" w:ascii="宋体" w:hAnsi="宋体" w:eastAsia="宋体" w:cs="宋体"/>
          <w:sz w:val="28"/>
          <w:szCs w:val="28"/>
        </w:rPr>
      </w:pPr>
      <w:bookmarkStart w:id="883" w:name="_Toc15458"/>
      <w:r>
        <w:rPr>
          <w:rFonts w:hint="eastAsia" w:ascii="宋体" w:hAnsi="宋体" w:eastAsia="宋体" w:cs="宋体"/>
          <w:b/>
          <w:bCs/>
          <w:color w:val="000000"/>
          <w:kern w:val="0"/>
          <w:sz w:val="28"/>
          <w:szCs w:val="28"/>
          <w:lang w:val="en-US" w:eastAsia="zh-CN" w:bidi="ar"/>
        </w:rPr>
        <w:t>6.2.</w:t>
      </w:r>
      <w:r>
        <w:rPr>
          <w:rFonts w:hint="eastAsia" w:hAnsi="宋体" w:cs="宋体"/>
          <w:b/>
          <w:bCs/>
          <w:color w:val="000000"/>
          <w:kern w:val="0"/>
          <w:sz w:val="28"/>
          <w:szCs w:val="28"/>
          <w:lang w:val="en-US" w:eastAsia="zh-CN" w:bidi="ar"/>
        </w:rPr>
        <w:t>4</w:t>
      </w:r>
      <w:r>
        <w:rPr>
          <w:rFonts w:hint="eastAsia" w:ascii="宋体" w:hAnsi="宋体" w:eastAsia="宋体" w:cs="宋体"/>
          <w:b/>
          <w:bCs/>
          <w:color w:val="000000"/>
          <w:kern w:val="0"/>
          <w:sz w:val="28"/>
          <w:szCs w:val="28"/>
          <w:lang w:val="en-US" w:eastAsia="zh-CN" w:bidi="ar"/>
        </w:rPr>
        <w:t>安全管理安全防范措施建议</w:t>
      </w:r>
      <w:bookmarkEnd w:id="883"/>
    </w:p>
    <w:p w14:paraId="399C4F50">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1、加强对特种作业人员的培训，特种作业人员必须持证上岗，严禁无证上岗。</w:t>
      </w:r>
    </w:p>
    <w:p w14:paraId="2308A196">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sz w:val="28"/>
          <w:szCs w:val="28"/>
        </w:rPr>
      </w:pPr>
      <w:r>
        <w:rPr>
          <w:rFonts w:hint="eastAsia" w:ascii="宋体" w:hAnsi="宋体" w:eastAsia="宋体" w:cs="宋体"/>
          <w:color w:val="000000"/>
          <w:kern w:val="0"/>
          <w:sz w:val="28"/>
          <w:szCs w:val="28"/>
          <w:lang w:val="en-US" w:eastAsia="zh-CN" w:bidi="ar"/>
        </w:rPr>
        <w:t>2、建立机械设备的操作规程及各工种的安全技术操作规范，并将其悬挂于作业点；</w:t>
      </w:r>
    </w:p>
    <w:p w14:paraId="46D6050F">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3、建立定期的安全教育培训制度，加强对各类职工的安全培训教育，不断提高作业人员的安全意识、素质和安全技能，增强其识别、预防、处理事故的能力。</w:t>
      </w:r>
    </w:p>
    <w:p w14:paraId="414034E4">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4、公司应保证安全管理资金的必要投入，完善相应的安全配套设施。</w:t>
      </w:r>
    </w:p>
    <w:p w14:paraId="5F1FDC98">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5、严格落实安全生产责任制，建立各类安全检查制度，建立完善安全管理台帐；同时严格执行安全生产检查制度，做好安全检查记录。</w:t>
      </w:r>
    </w:p>
    <w:p w14:paraId="28E47BA9">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6、主要机械设备应定期检测，并做好台帐记录。</w:t>
      </w:r>
    </w:p>
    <w:p w14:paraId="4867C35A">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7、加强对员工的安全意识和安全操作的教育，杜绝"三违"。</w:t>
      </w:r>
    </w:p>
    <w:p w14:paraId="16FE2B02">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8、按规定修订职业危害作业人员健康档案，进一步健全员工职业健康档案并妥善保管，定期对职业危害作业人员健康档案进行分析。</w:t>
      </w:r>
    </w:p>
    <w:p w14:paraId="5A0377FC">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9、生产经营单位应当建立安全风险分级管控制度，按照安全风险分级采取相应的管控措施。</w:t>
      </w:r>
    </w:p>
    <w:p w14:paraId="293D7E82">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10、根据《安全标志及其使用导则》（GB2894-2008）和《安全色》（GB2893-2008）的相关要求，进一步完善安全标志、安全色的设置，加强对安全标志的管理，建立定期检查和更换制度。</w:t>
      </w:r>
    </w:p>
    <w:p w14:paraId="5E798B30">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both"/>
        <w:textAlignment w:val="auto"/>
        <w:rPr>
          <w:rFonts w:hint="eastAsia"/>
          <w:sz w:val="28"/>
          <w:szCs w:val="28"/>
          <w:lang w:val="en-US" w:eastAsia="zh-CN"/>
        </w:rPr>
      </w:pPr>
      <w:r>
        <w:rPr>
          <w:rFonts w:hint="eastAsia" w:ascii="宋体" w:hAnsi="宋体" w:eastAsia="宋体" w:cs="宋体"/>
          <w:color w:val="000000"/>
          <w:kern w:val="0"/>
          <w:sz w:val="28"/>
          <w:szCs w:val="28"/>
          <w:lang w:val="en-US" w:eastAsia="zh-CN" w:bidi="ar"/>
        </w:rPr>
        <w:t>11、应按照《国家安全监管总局关于印发开展工贸企业较大危险因素辨</w:t>
      </w:r>
    </w:p>
    <w:p w14:paraId="0BD6EDEB">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识管控提升防范事故能力行动计划的通知》（安监总管四〔2016〕31号）、《工贸行业较大危险因素辨识与防范指导手册（2016版）》、《云南省安全生产监督管理局关于印发工贸行业遏制重特大事故工作方案的通知》（云安监管〔2016〕80号）等相关规定开展企业较大危险因素识别，建立《企业较大危险因素辨识与防范控制措施登记表（示例）》，在较大危险因素现场设置《较大危险因素告知卡》。</w:t>
      </w:r>
    </w:p>
    <w:p w14:paraId="2AF54A88">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12、应按照《企业安全生产标准化建设定级办法》（应急〔2021〕83号）、《云南省应急管理厅关于印发云南省企业安全生产标准化建设定级实施办法的通知》（云应急〔2023〕6号）等的要求，以《企业安全生产标准化基本规范》（GB/</w:t>
      </w:r>
      <w:r>
        <w:rPr>
          <w:rFonts w:hint="eastAsia" w:hAnsi="宋体" w:cs="宋体"/>
          <w:color w:val="000000"/>
          <w:kern w:val="0"/>
          <w:sz w:val="28"/>
          <w:szCs w:val="28"/>
          <w:lang w:val="en-US" w:eastAsia="zh-CN" w:bidi="ar"/>
        </w:rPr>
        <w:t>T</w:t>
      </w:r>
      <w:r>
        <w:rPr>
          <w:rFonts w:hint="eastAsia" w:ascii="宋体" w:hAnsi="宋体" w:eastAsia="宋体" w:cs="宋体"/>
          <w:color w:val="000000"/>
          <w:kern w:val="0"/>
          <w:sz w:val="28"/>
          <w:szCs w:val="28"/>
          <w:lang w:val="en-US" w:eastAsia="zh-CN" w:bidi="ar"/>
        </w:rPr>
        <w:t>33000-2016）的相关规定，开展安全生产标准化建设，全面夯实安全生产工作基础，提高公司防范事故能力。</w:t>
      </w:r>
    </w:p>
    <w:p w14:paraId="5EB214A9">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13、企业应根据《安全生产法》及《云南省工贸行业企业安全风险源点</w:t>
      </w:r>
    </w:p>
    <w:p w14:paraId="6D83DD0D">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定性定量判别参考标准指南（试行）》（云应急〔2022〕8号）等的有关要求，加大对安全生产资金、物资、技术、人员的投入保障力度，改善安全生产条件，构建并不断完善安全风险分级管控和隐患排查治理双重预防体系，健全风险防范化解机制，提高安全生产水平，确保安全生产。</w:t>
      </w:r>
    </w:p>
    <w:p w14:paraId="0AA94A12">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14、按照《云南省应急管理厅关于印发&lt;云南省工贸企业安全生产主体责任重点事项清单（暂行）&gt;的通知》（云应急﹝2022﹞9号）要求，企业应落实安全生产主体责任，做好《清单》中明确的5个层面29项法定重点事项是落实企业安全生产主体责任的最基本要求。</w:t>
      </w:r>
    </w:p>
    <w:p w14:paraId="22BA0260">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15、应根据《生产安全事故应急预案管理办法》及企业制定的应急预案，</w:t>
      </w:r>
    </w:p>
    <w:p w14:paraId="2A6F0B26">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制定本单位的应急预案演练计划，根据本单位的事故风险特点，每年至少组</w:t>
      </w:r>
    </w:p>
    <w:p w14:paraId="23C624F8">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织一次综合应急预案演练或者专项应急预案演练，每半年至少组织一次现场</w:t>
      </w:r>
    </w:p>
    <w:p w14:paraId="62DC38CD">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处置方案演练。</w:t>
      </w:r>
    </w:p>
    <w:p w14:paraId="7CC6514B">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16、应定期对应急物资、装备进行定期检测和维护，使其处于适用状态。</w:t>
      </w:r>
    </w:p>
    <w:p w14:paraId="5C91586B">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17、应当加强安全生产费用管理，编制年度企业安全生产费用提取和使</w:t>
      </w:r>
    </w:p>
    <w:p w14:paraId="2C93E2B1">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用计划，纳入企业财务预算，确保资金投入。</w:t>
      </w:r>
    </w:p>
    <w:p w14:paraId="1FC250CE">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18、应当保证每年度安全生产所必需的资金投入。按照规定提取、使用</w:t>
      </w:r>
    </w:p>
    <w:p w14:paraId="0953720C">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安全生产费用，在成本中据实列支，专门用于改善安全生产条件。</w:t>
      </w:r>
    </w:p>
    <w:p w14:paraId="7D7F3602">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both"/>
        <w:textAlignment w:val="auto"/>
        <w:rPr>
          <w:rFonts w:hint="default"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19、应当加强与周边企业间的安全管理，</w:t>
      </w:r>
      <w:r>
        <w:rPr>
          <w:rFonts w:hint="default" w:ascii="宋体" w:hAnsi="宋体" w:eastAsia="宋体" w:cs="宋体"/>
          <w:color w:val="000000"/>
          <w:kern w:val="0"/>
          <w:sz w:val="28"/>
          <w:szCs w:val="28"/>
          <w:lang w:val="en-US" w:eastAsia="zh-CN" w:bidi="ar"/>
        </w:rPr>
        <w:t>建立基础沟通与协作机制</w:t>
      </w:r>
      <w:r>
        <w:rPr>
          <w:rFonts w:hint="eastAsia" w:ascii="宋体" w:hAnsi="宋体" w:eastAsia="宋体" w:cs="宋体"/>
          <w:color w:val="000000"/>
          <w:kern w:val="0"/>
          <w:sz w:val="28"/>
          <w:szCs w:val="28"/>
          <w:lang w:val="en-US" w:eastAsia="zh-CN" w:bidi="ar"/>
        </w:rPr>
        <w:t>，</w:t>
      </w:r>
      <w:r>
        <w:rPr>
          <w:rFonts w:hint="default" w:ascii="宋体" w:hAnsi="宋体" w:eastAsia="宋体" w:cs="宋体"/>
          <w:color w:val="000000"/>
          <w:kern w:val="0"/>
          <w:sz w:val="28"/>
          <w:szCs w:val="28"/>
          <w:lang w:val="en-US" w:eastAsia="zh-CN" w:bidi="ar"/>
        </w:rPr>
        <w:t>针对共同风险领域协同管理</w:t>
      </w:r>
      <w:r>
        <w:rPr>
          <w:rFonts w:hint="eastAsia" w:ascii="宋体" w:hAnsi="宋体" w:eastAsia="宋体" w:cs="宋体"/>
          <w:color w:val="000000"/>
          <w:kern w:val="0"/>
          <w:sz w:val="28"/>
          <w:szCs w:val="28"/>
          <w:lang w:val="en-US" w:eastAsia="zh-CN" w:bidi="ar"/>
        </w:rPr>
        <w:t>。加强本厂职工的安全教育，并能对外部职工实行差异化管理。</w:t>
      </w:r>
    </w:p>
    <w:p w14:paraId="6A0FF413">
      <w:pPr>
        <w:bidi w:val="0"/>
        <w:rPr>
          <w:rFonts w:hint="eastAsia"/>
          <w:lang w:eastAsia="zh-CN"/>
        </w:rPr>
      </w:pPr>
    </w:p>
    <w:p w14:paraId="73E7896A">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default" w:ascii="宋体" w:hAnsi="宋体" w:eastAsia="宋体" w:cs="宋体"/>
          <w:color w:val="000000"/>
          <w:kern w:val="0"/>
          <w:sz w:val="28"/>
          <w:szCs w:val="28"/>
          <w:lang w:val="en-US" w:eastAsia="zh-CN" w:bidi="ar"/>
        </w:rPr>
      </w:pPr>
    </w:p>
    <w:p w14:paraId="7028828B">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default" w:ascii="宋体" w:hAnsi="宋体" w:eastAsia="宋体" w:cs="宋体"/>
          <w:color w:val="000000"/>
          <w:kern w:val="0"/>
          <w:sz w:val="28"/>
          <w:szCs w:val="28"/>
          <w:lang w:val="en-US" w:eastAsia="zh-CN" w:bidi="ar"/>
        </w:rPr>
      </w:pPr>
    </w:p>
    <w:p w14:paraId="20122FD1">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default" w:ascii="宋体" w:hAnsi="宋体" w:eastAsia="宋体" w:cs="宋体"/>
          <w:color w:val="000000"/>
          <w:kern w:val="0"/>
          <w:sz w:val="28"/>
          <w:szCs w:val="28"/>
          <w:lang w:val="en-US" w:eastAsia="zh-CN" w:bidi="ar"/>
        </w:rPr>
      </w:pPr>
    </w:p>
    <w:p w14:paraId="638B9BAC">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default" w:ascii="宋体" w:hAnsi="宋体" w:eastAsia="宋体" w:cs="宋体"/>
          <w:color w:val="000000"/>
          <w:kern w:val="0"/>
          <w:sz w:val="28"/>
          <w:szCs w:val="28"/>
          <w:lang w:val="en-US" w:eastAsia="zh-CN" w:bidi="ar"/>
        </w:rPr>
      </w:pPr>
    </w:p>
    <w:p w14:paraId="1DA4E315">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default" w:ascii="宋体" w:hAnsi="宋体" w:eastAsia="宋体" w:cs="宋体"/>
          <w:color w:val="000000"/>
          <w:kern w:val="0"/>
          <w:sz w:val="28"/>
          <w:szCs w:val="28"/>
          <w:lang w:val="en-US" w:eastAsia="zh-CN" w:bidi="ar"/>
        </w:rPr>
      </w:pPr>
    </w:p>
    <w:p w14:paraId="0A4A8B1B">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default" w:ascii="宋体" w:hAnsi="宋体" w:eastAsia="宋体" w:cs="宋体"/>
          <w:color w:val="000000"/>
          <w:kern w:val="0"/>
          <w:sz w:val="28"/>
          <w:szCs w:val="28"/>
          <w:lang w:val="en-US" w:eastAsia="zh-CN" w:bidi="ar"/>
        </w:rPr>
      </w:pPr>
    </w:p>
    <w:p w14:paraId="5CD622C6">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default" w:ascii="宋体" w:hAnsi="宋体" w:eastAsia="宋体" w:cs="宋体"/>
          <w:color w:val="000000"/>
          <w:kern w:val="0"/>
          <w:sz w:val="28"/>
          <w:szCs w:val="28"/>
          <w:lang w:val="en-US" w:eastAsia="zh-CN" w:bidi="ar"/>
        </w:rPr>
      </w:pPr>
    </w:p>
    <w:p w14:paraId="2FB7A11F">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default" w:ascii="宋体" w:hAnsi="宋体" w:eastAsia="宋体" w:cs="宋体"/>
          <w:color w:val="000000"/>
          <w:kern w:val="0"/>
          <w:sz w:val="28"/>
          <w:szCs w:val="28"/>
          <w:lang w:val="en-US" w:eastAsia="zh-CN" w:bidi="ar"/>
        </w:rPr>
      </w:pPr>
    </w:p>
    <w:p w14:paraId="039896BE">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default" w:ascii="宋体" w:hAnsi="宋体" w:eastAsia="宋体" w:cs="宋体"/>
          <w:color w:val="000000"/>
          <w:kern w:val="0"/>
          <w:sz w:val="28"/>
          <w:szCs w:val="28"/>
          <w:lang w:val="en-US" w:eastAsia="zh-CN" w:bidi="ar"/>
        </w:rPr>
      </w:pPr>
    </w:p>
    <w:p w14:paraId="47F9ED65">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default" w:ascii="宋体" w:hAnsi="宋体" w:eastAsia="宋体" w:cs="宋体"/>
          <w:color w:val="000000"/>
          <w:kern w:val="0"/>
          <w:sz w:val="28"/>
          <w:szCs w:val="28"/>
          <w:lang w:val="en-US" w:eastAsia="zh-CN" w:bidi="ar"/>
        </w:rPr>
      </w:pPr>
    </w:p>
    <w:p w14:paraId="26E27A4F">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default" w:ascii="宋体" w:hAnsi="宋体" w:eastAsia="宋体" w:cs="宋体"/>
          <w:color w:val="000000"/>
          <w:kern w:val="0"/>
          <w:sz w:val="28"/>
          <w:szCs w:val="28"/>
          <w:lang w:val="en-US" w:eastAsia="zh-CN" w:bidi="ar"/>
        </w:rPr>
      </w:pPr>
    </w:p>
    <w:p w14:paraId="491A31C4">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default" w:ascii="宋体" w:hAnsi="宋体" w:eastAsia="宋体" w:cs="宋体"/>
          <w:color w:val="000000"/>
          <w:kern w:val="0"/>
          <w:sz w:val="28"/>
          <w:szCs w:val="28"/>
          <w:lang w:val="en-US" w:eastAsia="zh-CN" w:bidi="ar"/>
        </w:rPr>
      </w:pPr>
    </w:p>
    <w:p w14:paraId="2B023FE8">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default" w:ascii="宋体" w:hAnsi="宋体" w:eastAsia="宋体" w:cs="宋体"/>
          <w:color w:val="000000"/>
          <w:kern w:val="0"/>
          <w:sz w:val="28"/>
          <w:szCs w:val="28"/>
          <w:lang w:val="en-US" w:eastAsia="zh-CN" w:bidi="ar"/>
        </w:rPr>
      </w:pPr>
    </w:p>
    <w:p w14:paraId="6F4A256D">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default" w:ascii="宋体" w:hAnsi="宋体" w:eastAsia="宋体" w:cs="宋体"/>
          <w:color w:val="000000"/>
          <w:kern w:val="0"/>
          <w:sz w:val="28"/>
          <w:szCs w:val="28"/>
          <w:lang w:val="en-US" w:eastAsia="zh-CN" w:bidi="ar"/>
        </w:rPr>
      </w:pPr>
    </w:p>
    <w:p w14:paraId="4EB8AE8F">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default" w:ascii="宋体" w:hAnsi="宋体" w:eastAsia="宋体" w:cs="宋体"/>
          <w:color w:val="000000"/>
          <w:kern w:val="0"/>
          <w:sz w:val="28"/>
          <w:szCs w:val="28"/>
          <w:lang w:val="en-US" w:eastAsia="zh-CN" w:bidi="ar"/>
        </w:rPr>
      </w:pPr>
    </w:p>
    <w:p w14:paraId="2C68ADD6">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default" w:ascii="宋体" w:hAnsi="宋体" w:eastAsia="宋体" w:cs="宋体"/>
          <w:color w:val="000000"/>
          <w:kern w:val="0"/>
          <w:sz w:val="28"/>
          <w:szCs w:val="28"/>
          <w:lang w:val="en-US" w:eastAsia="zh-CN" w:bidi="ar"/>
        </w:rPr>
      </w:pPr>
    </w:p>
    <w:p w14:paraId="534D8DEF">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default" w:ascii="宋体" w:hAnsi="宋体" w:eastAsia="宋体" w:cs="宋体"/>
          <w:color w:val="000000"/>
          <w:kern w:val="0"/>
          <w:sz w:val="28"/>
          <w:szCs w:val="28"/>
          <w:lang w:val="en-US" w:eastAsia="zh-CN" w:bidi="ar"/>
        </w:rPr>
      </w:pPr>
    </w:p>
    <w:p w14:paraId="4A55B745">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default" w:ascii="宋体" w:hAnsi="宋体" w:eastAsia="宋体" w:cs="宋体"/>
          <w:color w:val="000000"/>
          <w:kern w:val="0"/>
          <w:sz w:val="28"/>
          <w:szCs w:val="28"/>
          <w:lang w:val="en-US" w:eastAsia="zh-CN" w:bidi="ar"/>
        </w:rPr>
      </w:pPr>
    </w:p>
    <w:p w14:paraId="33DCDEC9">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default" w:ascii="宋体" w:hAnsi="宋体" w:eastAsia="宋体" w:cs="宋体"/>
          <w:color w:val="000000"/>
          <w:kern w:val="0"/>
          <w:sz w:val="28"/>
          <w:szCs w:val="28"/>
          <w:lang w:val="en-US" w:eastAsia="zh-CN" w:bidi="ar"/>
        </w:rPr>
      </w:pPr>
    </w:p>
    <w:p w14:paraId="3EB42FCC">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default" w:ascii="宋体" w:hAnsi="宋体" w:eastAsia="宋体" w:cs="宋体"/>
          <w:color w:val="000000"/>
          <w:kern w:val="0"/>
          <w:sz w:val="28"/>
          <w:szCs w:val="28"/>
          <w:lang w:val="en-US" w:eastAsia="zh-CN" w:bidi="ar"/>
        </w:rPr>
      </w:pPr>
    </w:p>
    <w:p w14:paraId="6A833226">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default" w:ascii="宋体" w:hAnsi="宋体" w:eastAsia="宋体" w:cs="宋体"/>
          <w:color w:val="000000"/>
          <w:kern w:val="0"/>
          <w:sz w:val="28"/>
          <w:szCs w:val="28"/>
          <w:lang w:val="en-US" w:eastAsia="zh-CN" w:bidi="ar"/>
        </w:rPr>
      </w:pPr>
    </w:p>
    <w:p w14:paraId="2974C598">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default" w:ascii="宋体" w:hAnsi="宋体" w:eastAsia="宋体" w:cs="宋体"/>
          <w:color w:val="000000"/>
          <w:kern w:val="0"/>
          <w:sz w:val="28"/>
          <w:szCs w:val="28"/>
          <w:lang w:val="en-US" w:eastAsia="zh-CN" w:bidi="ar"/>
        </w:rPr>
      </w:pPr>
    </w:p>
    <w:p w14:paraId="279128E8">
      <w:pPr>
        <w:keepNext w:val="0"/>
        <w:keepLines w:val="0"/>
        <w:widowControl/>
        <w:suppressLineNumbers w:val="0"/>
        <w:jc w:val="center"/>
        <w:outlineLvl w:val="0"/>
        <w:rPr>
          <w:rFonts w:hint="eastAsia" w:ascii="宋体" w:hAnsi="宋体" w:eastAsia="宋体" w:cs="宋体"/>
          <w:sz w:val="36"/>
          <w:szCs w:val="36"/>
        </w:rPr>
      </w:pPr>
      <w:bookmarkStart w:id="884" w:name="_Toc24286"/>
      <w:r>
        <w:rPr>
          <w:rFonts w:hint="eastAsia" w:ascii="宋体" w:hAnsi="宋体" w:eastAsia="宋体" w:cs="宋体"/>
          <w:b/>
          <w:bCs/>
          <w:color w:val="000000"/>
          <w:kern w:val="0"/>
          <w:sz w:val="36"/>
          <w:szCs w:val="36"/>
          <w:lang w:val="en-US" w:eastAsia="zh-CN" w:bidi="ar"/>
        </w:rPr>
        <w:t>第7章安全评价结论</w:t>
      </w:r>
      <w:bookmarkEnd w:id="884"/>
    </w:p>
    <w:p w14:paraId="1548386A">
      <w:pPr>
        <w:keepNext w:val="0"/>
        <w:keepLines w:val="0"/>
        <w:pageBreakBefore w:val="0"/>
        <w:widowControl/>
        <w:suppressLineNumbers w:val="0"/>
        <w:kinsoku/>
        <w:wordWrap/>
        <w:overflowPunct/>
        <w:topLinePunct w:val="0"/>
        <w:autoSpaceDE/>
        <w:autoSpaceDN/>
        <w:bidi w:val="0"/>
        <w:adjustRightInd/>
        <w:snapToGrid/>
        <w:spacing w:line="500" w:lineRule="exact"/>
        <w:ind w:left="0" w:right="0"/>
        <w:jc w:val="left"/>
        <w:textAlignment w:val="auto"/>
        <w:outlineLvl w:val="1"/>
        <w:rPr>
          <w:rFonts w:hint="default" w:ascii="宋体" w:hAnsi="宋体" w:eastAsia="宋体" w:cs="宋体"/>
          <w:b/>
          <w:bCs/>
          <w:color w:val="000000"/>
          <w:kern w:val="0"/>
          <w:sz w:val="30"/>
          <w:szCs w:val="30"/>
          <w:lang w:val="en-US" w:eastAsia="zh-CN" w:bidi="ar"/>
        </w:rPr>
      </w:pPr>
      <w:bookmarkStart w:id="885" w:name="_Toc11328"/>
      <w:r>
        <w:rPr>
          <w:rFonts w:hint="eastAsia" w:ascii="宋体" w:hAnsi="宋体" w:eastAsia="宋体" w:cs="宋体"/>
          <w:b/>
          <w:bCs/>
          <w:color w:val="000000"/>
          <w:kern w:val="0"/>
          <w:sz w:val="30"/>
          <w:szCs w:val="30"/>
          <w:lang w:val="en-US" w:eastAsia="zh-CN" w:bidi="ar"/>
        </w:rPr>
        <w:t>7.1综合评述</w:t>
      </w:r>
      <w:bookmarkEnd w:id="885"/>
    </w:p>
    <w:p w14:paraId="39BEF326">
      <w:pPr>
        <w:keepNext w:val="0"/>
        <w:keepLines w:val="0"/>
        <w:pageBreakBefore w:val="0"/>
        <w:kinsoku/>
        <w:wordWrap/>
        <w:overflowPunct/>
        <w:topLinePunct w:val="0"/>
        <w:autoSpaceDE/>
        <w:autoSpaceDN/>
        <w:bidi w:val="0"/>
        <w:adjustRightInd/>
        <w:snapToGrid/>
        <w:spacing w:line="500" w:lineRule="exact"/>
        <w:ind w:left="0" w:right="0" w:firstLine="559"/>
        <w:textAlignment w:val="auto"/>
        <w:rPr>
          <w:rFonts w:ascii="宋体" w:hAnsi="宋体" w:eastAsia="宋体" w:cs="宋体"/>
          <w:spacing w:val="-1"/>
          <w:sz w:val="28"/>
          <w:szCs w:val="28"/>
        </w:rPr>
      </w:pPr>
      <w:r>
        <w:rPr>
          <w:rFonts w:ascii="宋体" w:hAnsi="宋体" w:eastAsia="宋体" w:cs="宋体"/>
          <w:spacing w:val="-4"/>
          <w:sz w:val="28"/>
          <w:szCs w:val="28"/>
        </w:rPr>
        <w:t>根据前面各章的分析与评价，现将</w:t>
      </w:r>
      <w:r>
        <w:rPr>
          <w:rFonts w:hint="eastAsia" w:hAnsi="宋体" w:cs="宋体"/>
          <w:spacing w:val="-4"/>
          <w:sz w:val="28"/>
          <w:szCs w:val="28"/>
          <w:lang w:val="en-US" w:eastAsia="zh-CN"/>
        </w:rPr>
        <w:t>云南普菲特数控机械有限公司</w:t>
      </w:r>
      <w:r>
        <w:rPr>
          <w:rFonts w:ascii="宋体" w:hAnsi="宋体" w:eastAsia="宋体" w:cs="宋体"/>
          <w:spacing w:val="-4"/>
          <w:sz w:val="28"/>
          <w:szCs w:val="28"/>
        </w:rPr>
        <w:t>安</w:t>
      </w:r>
      <w:r>
        <w:rPr>
          <w:rFonts w:ascii="宋体" w:hAnsi="宋体" w:eastAsia="宋体" w:cs="宋体"/>
          <w:spacing w:val="-1"/>
          <w:sz w:val="28"/>
          <w:szCs w:val="28"/>
        </w:rPr>
        <w:t>全现状评价的情况总结如下：</w:t>
      </w:r>
    </w:p>
    <w:p w14:paraId="1A7BFD0F">
      <w:pPr>
        <w:keepNext w:val="0"/>
        <w:keepLines w:val="0"/>
        <w:pageBreakBefore w:val="0"/>
        <w:kinsoku/>
        <w:wordWrap/>
        <w:overflowPunct/>
        <w:topLinePunct w:val="0"/>
        <w:autoSpaceDE/>
        <w:autoSpaceDN/>
        <w:bidi w:val="0"/>
        <w:adjustRightInd/>
        <w:snapToGrid/>
        <w:spacing w:before="43" w:line="500" w:lineRule="exact"/>
        <w:ind w:left="605"/>
        <w:textAlignment w:val="auto"/>
        <w:outlineLvl w:val="9"/>
        <w:rPr>
          <w:rFonts w:ascii="宋体" w:hAnsi="宋体" w:eastAsia="宋体" w:cs="宋体"/>
          <w:sz w:val="28"/>
          <w:szCs w:val="28"/>
        </w:rPr>
      </w:pPr>
      <w:r>
        <w:rPr>
          <w:rFonts w:ascii="宋体" w:hAnsi="宋体" w:eastAsia="宋体" w:cs="宋体"/>
          <w:spacing w:val="-3"/>
          <w:sz w:val="28"/>
          <w:szCs w:val="28"/>
        </w:rPr>
        <w:t>1、存在的主要危险、有害因素</w:t>
      </w:r>
    </w:p>
    <w:p w14:paraId="5E68CD05">
      <w:pPr>
        <w:keepNext w:val="0"/>
        <w:keepLines w:val="0"/>
        <w:pageBreakBefore w:val="0"/>
        <w:widowControl/>
        <w:suppressLineNumbers w:val="0"/>
        <w:kinsoku/>
        <w:wordWrap/>
        <w:overflowPunct/>
        <w:topLinePunct w:val="0"/>
        <w:autoSpaceDE/>
        <w:autoSpaceDN/>
        <w:bidi w:val="0"/>
        <w:adjustRightInd/>
        <w:snapToGrid/>
        <w:spacing w:line="500" w:lineRule="exact"/>
        <w:ind w:left="0" w:right="0" w:firstLine="544" w:firstLineChars="200"/>
        <w:jc w:val="both"/>
        <w:textAlignment w:val="auto"/>
        <w:rPr>
          <w:rFonts w:hint="eastAsia" w:ascii="宋体" w:hAnsi="宋体" w:eastAsia="宋体" w:cs="宋体"/>
          <w:color w:val="000000"/>
          <w:sz w:val="28"/>
          <w:szCs w:val="28"/>
        </w:rPr>
      </w:pPr>
      <w:r>
        <w:rPr>
          <w:rFonts w:hint="eastAsia" w:ascii="宋体" w:hAnsi="宋体" w:eastAsia="宋体" w:cs="宋体"/>
          <w:spacing w:val="-4"/>
          <w:sz w:val="28"/>
          <w:szCs w:val="28"/>
        </w:rPr>
        <w:t>本项目生产过程中存在的危险因素有：</w:t>
      </w:r>
      <w:r>
        <w:rPr>
          <w:rFonts w:hint="eastAsia" w:ascii="宋体" w:hAnsi="宋体" w:eastAsia="宋体" w:cs="宋体"/>
          <w:color w:val="000000"/>
          <w:sz w:val="28"/>
          <w:szCs w:val="28"/>
          <w:lang w:val="en-US" w:eastAsia="zh-CN"/>
        </w:rPr>
        <w:t>物体打击、车辆伤害、机械伤害、起重伤害、触电、火灾、高处坠落、坍塌</w:t>
      </w:r>
      <w:r>
        <w:rPr>
          <w:rFonts w:hint="eastAsia" w:hAnsi="宋体" w:cs="宋体"/>
          <w:color w:val="000000"/>
          <w:sz w:val="28"/>
          <w:szCs w:val="28"/>
          <w:lang w:val="en-US" w:eastAsia="zh-CN"/>
        </w:rPr>
        <w:t>、灼烫</w:t>
      </w:r>
      <w:r>
        <w:rPr>
          <w:rFonts w:hint="eastAsia" w:ascii="宋体" w:hAnsi="宋体" w:eastAsia="宋体" w:cs="宋体"/>
          <w:color w:val="000000"/>
          <w:sz w:val="28"/>
          <w:szCs w:val="28"/>
        </w:rPr>
        <w:t>等。</w:t>
      </w:r>
    </w:p>
    <w:p w14:paraId="5CA33F19">
      <w:pPr>
        <w:keepNext w:val="0"/>
        <w:keepLines w:val="0"/>
        <w:pageBreakBefore w:val="0"/>
        <w:widowControl/>
        <w:suppressLineNumbers w:val="0"/>
        <w:kinsoku/>
        <w:wordWrap/>
        <w:overflowPunct/>
        <w:topLinePunct w:val="0"/>
        <w:autoSpaceDE/>
        <w:autoSpaceDN/>
        <w:bidi w:val="0"/>
        <w:adjustRightInd/>
        <w:snapToGrid/>
        <w:spacing w:line="500" w:lineRule="exact"/>
        <w:ind w:left="0" w:right="0" w:firstLine="544" w:firstLineChars="200"/>
        <w:jc w:val="both"/>
        <w:textAlignment w:val="auto"/>
        <w:rPr>
          <w:rFonts w:hint="eastAsia" w:ascii="宋体" w:hAnsi="宋体" w:eastAsia="宋体" w:cs="宋体"/>
          <w:sz w:val="28"/>
          <w:szCs w:val="28"/>
        </w:rPr>
      </w:pPr>
      <w:r>
        <w:rPr>
          <w:rFonts w:hint="eastAsia" w:ascii="宋体" w:hAnsi="宋体" w:eastAsia="宋体" w:cs="宋体"/>
          <w:spacing w:val="-4"/>
          <w:sz w:val="28"/>
          <w:szCs w:val="28"/>
        </w:rPr>
        <w:t>在上述这些危险因素中，发生频率较高的因素有：</w:t>
      </w:r>
      <w:r>
        <w:rPr>
          <w:rFonts w:hint="eastAsia" w:ascii="宋体" w:hAnsi="宋体" w:eastAsia="宋体" w:cs="宋体"/>
          <w:spacing w:val="-4"/>
          <w:sz w:val="28"/>
          <w:szCs w:val="28"/>
          <w:lang w:val="en-US" w:eastAsia="zh-CN"/>
        </w:rPr>
        <w:t>起重伤害、</w:t>
      </w:r>
      <w:r>
        <w:rPr>
          <w:rFonts w:hint="eastAsia" w:ascii="宋体" w:hAnsi="宋体" w:eastAsia="宋体" w:cs="宋体"/>
          <w:spacing w:val="-4"/>
          <w:sz w:val="28"/>
          <w:szCs w:val="28"/>
        </w:rPr>
        <w:t>机械伤害、火灾、触电等，对安全生产影响较大的因素</w:t>
      </w:r>
      <w:r>
        <w:rPr>
          <w:rFonts w:hint="eastAsia" w:ascii="宋体" w:hAnsi="宋体" w:eastAsia="宋体" w:cs="宋体"/>
          <w:spacing w:val="-4"/>
          <w:sz w:val="28"/>
          <w:szCs w:val="28"/>
          <w:lang w:val="en-US" w:eastAsia="zh-CN"/>
        </w:rPr>
        <w:t>有：起重伤害、</w:t>
      </w:r>
      <w:r>
        <w:rPr>
          <w:rFonts w:hint="eastAsia" w:ascii="宋体" w:hAnsi="宋体" w:eastAsia="宋体" w:cs="宋体"/>
          <w:spacing w:val="-4"/>
          <w:sz w:val="28"/>
          <w:szCs w:val="28"/>
        </w:rPr>
        <w:t>为机械</w:t>
      </w:r>
      <w:r>
        <w:rPr>
          <w:rFonts w:hint="eastAsia" w:ascii="宋体" w:hAnsi="宋体" w:eastAsia="宋体" w:cs="宋体"/>
          <w:spacing w:val="-9"/>
          <w:sz w:val="28"/>
          <w:szCs w:val="28"/>
        </w:rPr>
        <w:t>伤害</w:t>
      </w:r>
      <w:r>
        <w:rPr>
          <w:rFonts w:hint="eastAsia" w:ascii="宋体" w:hAnsi="宋体" w:eastAsia="宋体" w:cs="宋体"/>
          <w:spacing w:val="-9"/>
          <w:sz w:val="28"/>
          <w:szCs w:val="28"/>
          <w:lang w:eastAsia="zh-CN"/>
        </w:rPr>
        <w:t>。</w:t>
      </w:r>
      <w:r>
        <w:rPr>
          <w:rFonts w:hint="eastAsia" w:ascii="宋体" w:hAnsi="宋体" w:eastAsia="宋体" w:cs="宋体"/>
          <w:spacing w:val="-9"/>
          <w:sz w:val="28"/>
          <w:szCs w:val="28"/>
        </w:rPr>
        <w:t>根据重大危险源</w:t>
      </w:r>
      <w:r>
        <w:rPr>
          <w:rFonts w:hint="eastAsia" w:ascii="宋体" w:hAnsi="宋体" w:eastAsia="宋体" w:cs="宋体"/>
          <w:spacing w:val="-10"/>
          <w:sz w:val="28"/>
          <w:szCs w:val="28"/>
        </w:rPr>
        <w:t>辨识</w:t>
      </w:r>
      <w:r>
        <w:rPr>
          <w:rFonts w:hint="eastAsia" w:ascii="宋体" w:hAnsi="宋体" w:eastAsia="宋体" w:cs="宋体"/>
          <w:spacing w:val="-10"/>
          <w:sz w:val="28"/>
          <w:szCs w:val="28"/>
          <w:lang w:eastAsia="zh-CN"/>
        </w:rPr>
        <w:t>，</w:t>
      </w:r>
      <w:r>
        <w:rPr>
          <w:rFonts w:hint="eastAsia" w:ascii="宋体" w:hAnsi="宋体" w:eastAsia="宋体" w:cs="宋体"/>
          <w:spacing w:val="-1"/>
          <w:sz w:val="28"/>
          <w:szCs w:val="28"/>
        </w:rPr>
        <w:t>本项目不构成重大危险源。</w:t>
      </w:r>
    </w:p>
    <w:p w14:paraId="214026F3">
      <w:pPr>
        <w:keepNext w:val="0"/>
        <w:keepLines w:val="0"/>
        <w:pageBreakBefore w:val="0"/>
        <w:widowControl w:val="0"/>
        <w:kinsoku/>
        <w:wordWrap/>
        <w:overflowPunct/>
        <w:topLinePunct w:val="0"/>
        <w:autoSpaceDE/>
        <w:autoSpaceDN/>
        <w:bidi w:val="0"/>
        <w:adjustRightInd/>
        <w:snapToGrid/>
        <w:spacing w:before="41" w:line="500" w:lineRule="exact"/>
        <w:ind w:left="30" w:right="125" w:firstLine="560"/>
        <w:jc w:val="both"/>
        <w:textAlignment w:val="auto"/>
        <w:rPr>
          <w:rFonts w:ascii="宋体" w:hAnsi="宋体" w:eastAsia="宋体" w:cs="宋体"/>
          <w:sz w:val="28"/>
          <w:szCs w:val="28"/>
        </w:rPr>
      </w:pPr>
      <w:r>
        <w:rPr>
          <w:rFonts w:ascii="宋体" w:hAnsi="宋体" w:eastAsia="宋体" w:cs="宋体"/>
          <w:spacing w:val="-4"/>
          <w:sz w:val="28"/>
          <w:szCs w:val="28"/>
        </w:rPr>
        <w:t>结合采用的预先危险性、安全检查表等方法对本项目的危险、有害因素分析评价结果，本项目的较大的危险因素，主要分布于生产车间各作业区域。企业应重点针对生产车间</w:t>
      </w:r>
      <w:r>
        <w:rPr>
          <w:rFonts w:ascii="宋体" w:hAnsi="宋体" w:eastAsia="宋体" w:cs="宋体"/>
          <w:spacing w:val="-2"/>
          <w:sz w:val="28"/>
          <w:szCs w:val="28"/>
        </w:rPr>
        <w:t>采取相应的安全防护措施。</w:t>
      </w:r>
    </w:p>
    <w:p w14:paraId="6BAE75A2">
      <w:pPr>
        <w:keepNext w:val="0"/>
        <w:keepLines w:val="0"/>
        <w:pageBreakBefore w:val="0"/>
        <w:widowControl w:val="0"/>
        <w:kinsoku/>
        <w:wordWrap/>
        <w:overflowPunct/>
        <w:topLinePunct w:val="0"/>
        <w:autoSpaceDE/>
        <w:autoSpaceDN/>
        <w:bidi w:val="0"/>
        <w:adjustRightInd/>
        <w:snapToGrid/>
        <w:spacing w:line="500" w:lineRule="exact"/>
        <w:ind w:left="0" w:firstLine="552" w:firstLineChars="200"/>
        <w:textAlignment w:val="auto"/>
        <w:outlineLvl w:val="9"/>
        <w:rPr>
          <w:rFonts w:ascii="宋体" w:hAnsi="宋体" w:eastAsia="宋体" w:cs="宋体"/>
          <w:color w:val="000000" w:themeColor="text1"/>
          <w:sz w:val="28"/>
          <w:szCs w:val="28"/>
          <w:shd w:val="clear" w:color="auto" w:fill="auto"/>
          <w14:textFill>
            <w14:solidFill>
              <w14:schemeClr w14:val="tx1"/>
            </w14:solidFill>
          </w14:textFill>
        </w:rPr>
      </w:pPr>
      <w:r>
        <w:rPr>
          <w:rFonts w:ascii="宋体" w:hAnsi="宋体" w:eastAsia="宋体" w:cs="宋体"/>
          <w:color w:val="000000" w:themeColor="text1"/>
          <w:spacing w:val="-2"/>
          <w:sz w:val="28"/>
          <w:szCs w:val="28"/>
          <w:shd w:val="clear" w:color="auto" w:fill="auto"/>
          <w14:textFill>
            <w14:solidFill>
              <w14:schemeClr w14:val="tx1"/>
            </w14:solidFill>
          </w14:textFill>
        </w:rPr>
        <w:t>2、各单元评价结论</w:t>
      </w:r>
    </w:p>
    <w:p w14:paraId="1052E432">
      <w:pPr>
        <w:keepNext w:val="0"/>
        <w:keepLines w:val="0"/>
        <w:pageBreakBefore w:val="0"/>
        <w:widowControl w:val="0"/>
        <w:kinsoku/>
        <w:wordWrap/>
        <w:overflowPunct/>
        <w:topLinePunct w:val="0"/>
        <w:autoSpaceDE/>
        <w:autoSpaceDN/>
        <w:bidi w:val="0"/>
        <w:adjustRightInd/>
        <w:snapToGrid/>
        <w:spacing w:line="500" w:lineRule="exact"/>
        <w:ind w:left="0" w:firstLine="552" w:firstLineChars="200"/>
        <w:textAlignment w:val="auto"/>
        <w:rPr>
          <w:rFonts w:ascii="宋体" w:hAnsi="宋体" w:eastAsia="宋体" w:cs="宋体"/>
          <w:sz w:val="28"/>
          <w:szCs w:val="28"/>
        </w:rPr>
      </w:pPr>
      <w:r>
        <w:rPr>
          <w:rFonts w:ascii="宋体" w:hAnsi="宋体" w:eastAsia="宋体" w:cs="宋体"/>
          <w:spacing w:val="-2"/>
          <w:sz w:val="28"/>
          <w:szCs w:val="28"/>
        </w:rPr>
        <w:t>（1）选址及总平面布置评价结论</w:t>
      </w:r>
    </w:p>
    <w:p w14:paraId="7B1DD2D0">
      <w:pPr>
        <w:keepNext w:val="0"/>
        <w:keepLines w:val="0"/>
        <w:pageBreakBefore w:val="0"/>
        <w:widowControl w:val="0"/>
        <w:kinsoku/>
        <w:wordWrap/>
        <w:overflowPunct/>
        <w:topLinePunct w:val="0"/>
        <w:autoSpaceDE/>
        <w:autoSpaceDN/>
        <w:bidi w:val="0"/>
        <w:adjustRightInd/>
        <w:snapToGrid/>
        <w:spacing w:line="500" w:lineRule="exact"/>
        <w:ind w:left="0" w:firstLine="524" w:firstLineChars="200"/>
        <w:jc w:val="both"/>
        <w:textAlignment w:val="auto"/>
        <w:rPr>
          <w:rFonts w:ascii="宋体" w:hAnsi="宋体" w:eastAsia="宋体" w:cs="宋体"/>
          <w:spacing w:val="-1"/>
          <w:sz w:val="28"/>
          <w:szCs w:val="28"/>
        </w:rPr>
      </w:pPr>
      <w:r>
        <w:rPr>
          <w:rFonts w:ascii="宋体" w:hAnsi="宋体" w:eastAsia="宋体" w:cs="宋体"/>
          <w:spacing w:val="-9"/>
          <w:sz w:val="28"/>
          <w:szCs w:val="28"/>
        </w:rPr>
        <w:t>本项目选址符合当地建设规划，符合《工业企业总平面设计规范》</w:t>
      </w:r>
      <w:r>
        <w:rPr>
          <w:rFonts w:ascii="宋体" w:hAnsi="宋体" w:eastAsia="宋体" w:cs="宋体"/>
          <w:spacing w:val="11"/>
          <w:sz w:val="28"/>
          <w:szCs w:val="28"/>
        </w:rPr>
        <w:t>（</w:t>
      </w:r>
      <w:r>
        <w:rPr>
          <w:rFonts w:ascii="宋体" w:hAnsi="宋体" w:eastAsia="宋体" w:cs="宋体"/>
          <w:sz w:val="28"/>
          <w:szCs w:val="28"/>
        </w:rPr>
        <w:t>GB</w:t>
      </w:r>
      <w:r>
        <w:rPr>
          <w:rFonts w:ascii="宋体" w:hAnsi="宋体" w:eastAsia="宋体" w:cs="宋体"/>
          <w:spacing w:val="11"/>
          <w:sz w:val="28"/>
          <w:szCs w:val="28"/>
        </w:rPr>
        <w:t>50187-2012）、《工业企业厂内铁路、道路运输安全规</w:t>
      </w:r>
      <w:r>
        <w:rPr>
          <w:rFonts w:ascii="宋体" w:hAnsi="宋体" w:eastAsia="宋体" w:cs="宋体"/>
          <w:spacing w:val="10"/>
          <w:sz w:val="28"/>
          <w:szCs w:val="28"/>
        </w:rPr>
        <w:t>程》</w:t>
      </w:r>
      <w:r>
        <w:rPr>
          <w:rFonts w:ascii="宋体" w:hAnsi="宋体" w:eastAsia="宋体" w:cs="宋体"/>
          <w:spacing w:val="-3"/>
          <w:sz w:val="28"/>
          <w:szCs w:val="28"/>
        </w:rPr>
        <w:t>（GB4387-2008）和《建筑设计防火规范</w:t>
      </w:r>
      <w:r>
        <w:rPr>
          <w:rFonts w:hint="eastAsia" w:hAnsi="宋体" w:cs="宋体"/>
          <w:spacing w:val="-3"/>
          <w:sz w:val="28"/>
          <w:szCs w:val="28"/>
          <w:lang w:eastAsia="zh-CN"/>
        </w:rPr>
        <w:t>（</w:t>
      </w:r>
      <w:r>
        <w:rPr>
          <w:rFonts w:hint="eastAsia" w:hAnsi="宋体" w:cs="宋体"/>
          <w:spacing w:val="-3"/>
          <w:sz w:val="28"/>
          <w:szCs w:val="28"/>
          <w:lang w:val="en-US" w:eastAsia="zh-CN"/>
        </w:rPr>
        <w:t>2018版</w:t>
      </w:r>
      <w:r>
        <w:rPr>
          <w:rFonts w:hint="eastAsia" w:hAnsi="宋体" w:cs="宋体"/>
          <w:spacing w:val="-3"/>
          <w:sz w:val="28"/>
          <w:szCs w:val="28"/>
          <w:lang w:eastAsia="zh-CN"/>
        </w:rPr>
        <w:t>）</w:t>
      </w:r>
      <w:r>
        <w:rPr>
          <w:rFonts w:ascii="宋体" w:hAnsi="宋体" w:eastAsia="宋体" w:cs="宋体"/>
          <w:spacing w:val="-3"/>
          <w:sz w:val="28"/>
          <w:szCs w:val="28"/>
        </w:rPr>
        <w:t>》（GB50016-2014）的要求。</w:t>
      </w:r>
      <w:r>
        <w:rPr>
          <w:rFonts w:ascii="宋体" w:hAnsi="宋体" w:eastAsia="宋体" w:cs="宋体"/>
          <w:spacing w:val="-4"/>
          <w:sz w:val="28"/>
          <w:szCs w:val="28"/>
        </w:rPr>
        <w:t>场地周边水源、电源等均能满足企业生产需要，场地工程地质和水文地质较简单，满足建设要求。厂址与周边企业、居住点等均保持有一定防护距离。厂区总平面布置有利于生产，各建（构）筑物按功能分</w:t>
      </w:r>
      <w:r>
        <w:rPr>
          <w:rFonts w:ascii="宋体" w:hAnsi="宋体" w:eastAsia="宋体" w:cs="宋体"/>
          <w:spacing w:val="-1"/>
          <w:sz w:val="28"/>
          <w:szCs w:val="28"/>
        </w:rPr>
        <w:t>区，生产工艺流程短捷便利，整体布局基本合理。</w:t>
      </w:r>
    </w:p>
    <w:p w14:paraId="499CA35B">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pacing w:val="0"/>
          <w:sz w:val="28"/>
          <w:szCs w:val="28"/>
        </w:rPr>
      </w:pPr>
      <w:r>
        <w:rPr>
          <w:rFonts w:hint="eastAsia" w:ascii="宋体" w:hAnsi="宋体" w:eastAsia="宋体" w:cs="宋体"/>
          <w:spacing w:val="0"/>
          <w:sz w:val="28"/>
          <w:szCs w:val="28"/>
          <w:lang w:eastAsia="zh-CN"/>
        </w:rPr>
        <w:t>（</w:t>
      </w:r>
      <w:r>
        <w:rPr>
          <w:rFonts w:hint="eastAsia" w:ascii="宋体" w:hAnsi="宋体" w:eastAsia="宋体" w:cs="宋体"/>
          <w:spacing w:val="0"/>
          <w:sz w:val="28"/>
          <w:szCs w:val="28"/>
          <w:lang w:val="en-US" w:eastAsia="zh-CN"/>
        </w:rPr>
        <w:t>2）</w:t>
      </w:r>
      <w:r>
        <w:rPr>
          <w:rFonts w:hint="eastAsia" w:ascii="宋体" w:hAnsi="宋体" w:eastAsia="宋体" w:cs="宋体"/>
          <w:color w:val="000000"/>
          <w:spacing w:val="0"/>
          <w:kern w:val="0"/>
          <w:sz w:val="28"/>
          <w:szCs w:val="28"/>
          <w:lang w:val="en-US" w:eastAsia="zh-CN" w:bidi="ar"/>
        </w:rPr>
        <w:t>建（构）筑物单元</w:t>
      </w:r>
      <w:r>
        <w:rPr>
          <w:rFonts w:ascii="宋体" w:hAnsi="宋体" w:eastAsia="宋体" w:cs="宋体"/>
          <w:spacing w:val="-2"/>
          <w:sz w:val="28"/>
          <w:szCs w:val="28"/>
        </w:rPr>
        <w:t>评价结论</w:t>
      </w:r>
    </w:p>
    <w:p w14:paraId="2D4F38A4">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宋体" w:hAnsi="宋体" w:eastAsia="宋体" w:cs="宋体"/>
          <w:spacing w:val="0"/>
          <w:sz w:val="28"/>
          <w:szCs w:val="28"/>
          <w:lang w:val="en-US" w:eastAsia="zh-CN"/>
        </w:rPr>
      </w:pPr>
      <w:r>
        <w:rPr>
          <w:rFonts w:hint="eastAsia" w:ascii="宋体" w:hAnsi="宋体" w:eastAsia="宋体" w:cs="宋体"/>
          <w:color w:val="000000"/>
          <w:spacing w:val="0"/>
          <w:kern w:val="0"/>
          <w:sz w:val="28"/>
          <w:szCs w:val="28"/>
          <w:lang w:val="en-US" w:eastAsia="zh-CN" w:bidi="ar"/>
        </w:rPr>
        <w:t>本项目建（构）筑物单元符合《建筑与市政工程抗震通用规范》（GB55002-2021）、《建筑防火通用规范》（GB55037-2022）、《机械工业厂房建筑设计规范》（GB50681-2011）等相关要求，满足安全生产要求。</w:t>
      </w:r>
    </w:p>
    <w:p w14:paraId="49CD7953">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w:t>
      </w:r>
      <w:r>
        <w:rPr>
          <w:rFonts w:hint="eastAsia" w:hAnsi="宋体" w:cs="宋体"/>
          <w:color w:val="000000"/>
          <w:kern w:val="0"/>
          <w:sz w:val="28"/>
          <w:szCs w:val="28"/>
          <w:lang w:val="en-US" w:eastAsia="zh-CN" w:bidi="ar"/>
        </w:rPr>
        <w:t>3</w:t>
      </w:r>
      <w:r>
        <w:rPr>
          <w:rFonts w:hint="eastAsia" w:ascii="宋体" w:hAnsi="宋体" w:eastAsia="宋体" w:cs="宋体"/>
          <w:color w:val="000000"/>
          <w:kern w:val="0"/>
          <w:sz w:val="28"/>
          <w:szCs w:val="28"/>
          <w:lang w:val="en-US" w:eastAsia="zh-CN" w:bidi="ar"/>
        </w:rPr>
        <w:t>）生产工艺及设施设备评价结论</w:t>
      </w:r>
    </w:p>
    <w:p w14:paraId="3DCDB573">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本项目生产工艺简单，设备选型先进、合理，符合《中华人民共和国安</w:t>
      </w:r>
    </w:p>
    <w:p w14:paraId="357F9DE8">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ascii="宋体" w:hAnsi="宋体" w:eastAsia="宋体" w:cs="宋体"/>
          <w:spacing w:val="-1"/>
          <w:sz w:val="28"/>
          <w:szCs w:val="28"/>
        </w:rPr>
      </w:pPr>
      <w:r>
        <w:rPr>
          <w:rFonts w:hint="eastAsia" w:ascii="宋体" w:hAnsi="宋体" w:eastAsia="宋体" w:cs="宋体"/>
          <w:color w:val="000000"/>
          <w:kern w:val="0"/>
          <w:sz w:val="28"/>
          <w:szCs w:val="28"/>
          <w:lang w:val="en-US" w:eastAsia="zh-CN" w:bidi="ar"/>
        </w:rPr>
        <w:t>全生产法》、《生产设备安全卫生设计总则》（</w:t>
      </w:r>
      <w:r>
        <w:rPr>
          <w:rFonts w:hint="eastAsia" w:hAnsi="宋体" w:cs="宋体"/>
          <w:color w:val="000000"/>
          <w:kern w:val="0"/>
          <w:sz w:val="28"/>
          <w:szCs w:val="28"/>
          <w:lang w:val="en-US" w:eastAsia="zh-CN" w:bidi="ar"/>
        </w:rPr>
        <w:t>GB5083-2023</w:t>
      </w:r>
      <w:r>
        <w:rPr>
          <w:rFonts w:hint="eastAsia" w:ascii="宋体" w:hAnsi="宋体" w:eastAsia="宋体" w:cs="宋体"/>
          <w:color w:val="000000"/>
          <w:kern w:val="0"/>
          <w:sz w:val="28"/>
          <w:szCs w:val="28"/>
          <w:lang w:val="en-US" w:eastAsia="zh-CN" w:bidi="ar"/>
        </w:rPr>
        <w:t>）、《生产过程安全卫生要求总则》（GB/T12801-2008）、《手持式电动工具的管理、使用、检查和维修安全技术规程》（GB/T3787-2017）等标准规范中的相关内容规定，符合安全生产的基本要求。</w:t>
      </w:r>
    </w:p>
    <w:p w14:paraId="0BEAA029">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both"/>
        <w:textAlignment w:val="auto"/>
        <w:rPr>
          <w:rFonts w:hint="default" w:ascii="宋体" w:hAnsi="宋体" w:eastAsia="宋体" w:cs="宋体"/>
          <w:sz w:val="28"/>
          <w:szCs w:val="28"/>
          <w:lang w:val="en-US"/>
        </w:rPr>
      </w:pPr>
      <w:r>
        <w:rPr>
          <w:rFonts w:hint="eastAsia" w:ascii="宋体" w:hAnsi="宋体" w:eastAsia="宋体" w:cs="宋体"/>
          <w:color w:val="000000"/>
          <w:kern w:val="0"/>
          <w:sz w:val="28"/>
          <w:szCs w:val="28"/>
          <w:lang w:val="en-US" w:eastAsia="zh-CN" w:bidi="ar"/>
        </w:rPr>
        <w:t>（</w:t>
      </w:r>
      <w:r>
        <w:rPr>
          <w:rFonts w:hint="eastAsia" w:hAnsi="宋体" w:cs="宋体"/>
          <w:color w:val="000000"/>
          <w:kern w:val="0"/>
          <w:sz w:val="28"/>
          <w:szCs w:val="28"/>
          <w:lang w:val="en-US" w:eastAsia="zh-CN" w:bidi="ar"/>
        </w:rPr>
        <w:t>4</w:t>
      </w:r>
      <w:r>
        <w:rPr>
          <w:rFonts w:hint="eastAsia" w:ascii="宋体" w:hAnsi="宋体" w:eastAsia="宋体" w:cs="宋体"/>
          <w:color w:val="000000"/>
          <w:kern w:val="0"/>
          <w:sz w:val="28"/>
          <w:szCs w:val="28"/>
          <w:lang w:val="en-US" w:eastAsia="zh-CN" w:bidi="ar"/>
        </w:rPr>
        <w:t>）公用工程和辅助设施评价结论</w:t>
      </w:r>
    </w:p>
    <w:p w14:paraId="4A58647F">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本项目给排水、供配电系统、供气、消防设施、物料储存等符合《工业</w:t>
      </w:r>
    </w:p>
    <w:p w14:paraId="67441932">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企业总平面设计规范》（GB50187-2012）、《消防设施通用规范》（GB55036-2022）及《建筑灭火器配置设计规范》（GB50140-2005）、《用电安全导则》（GB/T13869－2017）等规范标准中的相关内容的规定，能满足安全生产要求。</w:t>
      </w:r>
    </w:p>
    <w:p w14:paraId="6540247B">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w:t>
      </w:r>
      <w:r>
        <w:rPr>
          <w:rFonts w:hint="eastAsia" w:hAnsi="宋体" w:cs="宋体"/>
          <w:color w:val="000000"/>
          <w:kern w:val="0"/>
          <w:sz w:val="28"/>
          <w:szCs w:val="28"/>
          <w:lang w:val="en-US" w:eastAsia="zh-CN" w:bidi="ar"/>
        </w:rPr>
        <w:t>5</w:t>
      </w:r>
      <w:r>
        <w:rPr>
          <w:rFonts w:hint="eastAsia" w:ascii="宋体" w:hAnsi="宋体" w:eastAsia="宋体" w:cs="宋体"/>
          <w:color w:val="000000"/>
          <w:kern w:val="0"/>
          <w:sz w:val="28"/>
          <w:szCs w:val="28"/>
          <w:lang w:val="en-US" w:eastAsia="zh-CN" w:bidi="ar"/>
        </w:rPr>
        <w:t>）安全管理评价结论</w:t>
      </w:r>
    </w:p>
    <w:p w14:paraId="09FE742D">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通过安全检查分析与企业整改，该企业安全管理现状符合《中华人民共</w:t>
      </w:r>
    </w:p>
    <w:p w14:paraId="2073A071">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和国安全生产法》、《云南省安全生产条例》和《生产安全事故应急预案管</w:t>
      </w:r>
    </w:p>
    <w:p w14:paraId="6D62E700">
      <w:pPr>
        <w:keepNext w:val="0"/>
        <w:keepLines w:val="0"/>
        <w:pageBreakBefore w:val="0"/>
        <w:widowControl/>
        <w:suppressLineNumbers w:val="0"/>
        <w:kinsoku/>
        <w:wordWrap/>
        <w:overflowPunct/>
        <w:topLinePunct w:val="0"/>
        <w:autoSpaceDE/>
        <w:autoSpaceDN/>
        <w:bidi w:val="0"/>
        <w:adjustRightInd/>
        <w:snapToGrid/>
        <w:spacing w:line="500" w:lineRule="exact"/>
        <w:ind w:left="0"/>
        <w:jc w:val="both"/>
        <w:textAlignment w:val="auto"/>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理办法》等法律法规、标准规范的要求。</w:t>
      </w:r>
    </w:p>
    <w:p w14:paraId="37D37540">
      <w:pPr>
        <w:keepNext w:val="0"/>
        <w:keepLines w:val="0"/>
        <w:pageBreakBefore w:val="0"/>
        <w:widowControl/>
        <w:suppressLineNumbers w:val="0"/>
        <w:kinsoku/>
        <w:wordWrap/>
        <w:overflowPunct/>
        <w:topLinePunct w:val="0"/>
        <w:autoSpaceDE/>
        <w:autoSpaceDN/>
        <w:bidi w:val="0"/>
        <w:adjustRightInd/>
        <w:snapToGrid/>
        <w:spacing w:line="500" w:lineRule="exact"/>
        <w:ind w:left="0" w:firstLine="560" w:firstLineChars="200"/>
        <w:jc w:val="both"/>
        <w:textAlignment w:val="auto"/>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（6）重大事故隐患检查单元</w:t>
      </w:r>
    </w:p>
    <w:p w14:paraId="7EDDE4D5">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9"/>
        <w:rPr>
          <w:rFonts w:hint="eastAsia" w:hAnsi="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根据《工贸企业重大事故隐患判定标准》（中华人民共和国应急管理部令第10号）及《工贸企业重大事故隐患判定标准》解读等文件，并结合现场踏勘情况</w:t>
      </w:r>
      <w:r>
        <w:rPr>
          <w:rFonts w:hint="eastAsia" w:hAnsi="宋体" w:cs="宋体"/>
          <w:color w:val="000000"/>
          <w:kern w:val="0"/>
          <w:sz w:val="28"/>
          <w:szCs w:val="28"/>
          <w:lang w:val="en-US" w:eastAsia="zh-CN" w:bidi="ar"/>
        </w:rPr>
        <w:t>，该企业无安全重大隐患。</w:t>
      </w:r>
    </w:p>
    <w:p w14:paraId="1B81B161">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9"/>
        <w:rPr>
          <w:rFonts w:hint="default" w:hAnsi="宋体" w:cs="宋体"/>
          <w:color w:val="000000"/>
          <w:kern w:val="0"/>
          <w:sz w:val="28"/>
          <w:szCs w:val="28"/>
          <w:lang w:val="en-US" w:eastAsia="zh-CN" w:bidi="ar"/>
        </w:rPr>
      </w:pPr>
    </w:p>
    <w:p w14:paraId="77E2BA19">
      <w:pPr>
        <w:keepNext w:val="0"/>
        <w:keepLines w:val="0"/>
        <w:pageBreakBefore w:val="0"/>
        <w:kinsoku/>
        <w:wordWrap/>
        <w:overflowPunct/>
        <w:topLinePunct w:val="0"/>
        <w:autoSpaceDE/>
        <w:autoSpaceDN/>
        <w:bidi w:val="0"/>
        <w:adjustRightInd/>
        <w:snapToGrid/>
        <w:spacing w:line="500" w:lineRule="exact"/>
        <w:ind w:left="0"/>
        <w:textAlignment w:val="auto"/>
        <w:outlineLvl w:val="1"/>
        <w:rPr>
          <w:rFonts w:ascii="宋体" w:hAnsi="宋体" w:eastAsia="宋体" w:cs="宋体"/>
          <w:b/>
          <w:bCs/>
          <w:spacing w:val="2"/>
          <w:sz w:val="28"/>
          <w:szCs w:val="28"/>
        </w:rPr>
      </w:pPr>
      <w:bookmarkStart w:id="886" w:name="_Toc30794"/>
      <w:bookmarkStart w:id="889" w:name="_GoBack"/>
      <w:bookmarkEnd w:id="889"/>
      <w:r>
        <w:rPr>
          <w:rFonts w:hint="eastAsia" w:ascii="宋体" w:hAnsi="宋体" w:eastAsia="宋体" w:cs="宋体"/>
          <w:b/>
          <w:bCs/>
          <w:spacing w:val="2"/>
          <w:sz w:val="28"/>
          <w:szCs w:val="28"/>
          <w:lang w:val="en-US" w:eastAsia="zh-CN"/>
        </w:rPr>
        <w:t>7</w:t>
      </w:r>
      <w:r>
        <w:rPr>
          <w:rFonts w:ascii="宋体" w:hAnsi="宋体" w:eastAsia="宋体" w:cs="宋体"/>
          <w:b/>
          <w:bCs/>
          <w:spacing w:val="2"/>
          <w:sz w:val="28"/>
          <w:szCs w:val="28"/>
        </w:rPr>
        <w:t>.2总体评价结论</w:t>
      </w:r>
      <w:bookmarkEnd w:id="886"/>
    </w:p>
    <w:p w14:paraId="6FB3282F">
      <w:pPr>
        <w:keepNext w:val="0"/>
        <w:keepLines w:val="0"/>
        <w:pageBreakBefore w:val="0"/>
        <w:widowControl w:val="0"/>
        <w:kinsoku/>
        <w:wordWrap/>
        <w:overflowPunct/>
        <w:topLinePunct w:val="0"/>
        <w:autoSpaceDE/>
        <w:autoSpaceDN/>
        <w:bidi w:val="0"/>
        <w:adjustRightInd/>
        <w:snapToGrid/>
        <w:spacing w:line="500" w:lineRule="exact"/>
        <w:ind w:firstLine="548" w:firstLineChars="200"/>
        <w:textAlignment w:val="auto"/>
        <w:rPr>
          <w:rFonts w:ascii="宋体" w:hAnsi="宋体" w:eastAsia="宋体" w:cs="宋体"/>
          <w:spacing w:val="-11"/>
          <w:sz w:val="28"/>
          <w:szCs w:val="28"/>
        </w:rPr>
      </w:pPr>
      <w:r>
        <w:rPr>
          <w:rFonts w:ascii="宋体" w:hAnsi="宋体" w:eastAsia="宋体" w:cs="宋体"/>
          <w:spacing w:val="-3"/>
          <w:sz w:val="28"/>
          <w:szCs w:val="28"/>
        </w:rPr>
        <w:t>受</w:t>
      </w:r>
      <w:r>
        <w:rPr>
          <w:rFonts w:hint="eastAsia" w:hAnsi="宋体" w:cs="宋体"/>
          <w:spacing w:val="-3"/>
          <w:sz w:val="28"/>
          <w:szCs w:val="28"/>
          <w:lang w:val="en-US" w:eastAsia="zh-CN"/>
        </w:rPr>
        <w:t>云南普菲特数控机械有限公司</w:t>
      </w:r>
      <w:r>
        <w:rPr>
          <w:rFonts w:ascii="宋体" w:hAnsi="宋体" w:eastAsia="宋体" w:cs="宋体"/>
          <w:spacing w:val="-3"/>
          <w:sz w:val="28"/>
          <w:szCs w:val="28"/>
        </w:rPr>
        <w:t>的委托，我们安全现状评价小组，</w:t>
      </w:r>
      <w:r>
        <w:rPr>
          <w:rFonts w:ascii="宋体" w:hAnsi="宋体" w:eastAsia="宋体" w:cs="宋体"/>
          <w:spacing w:val="-4"/>
          <w:sz w:val="28"/>
          <w:szCs w:val="28"/>
        </w:rPr>
        <w:t>首先辨识和分析了该项目存在的主要危险、有害因素种类、场所及事故发生的主要原因，并根据生产特点和危险有害因素的分布情况进行</w:t>
      </w:r>
      <w:r>
        <w:rPr>
          <w:rFonts w:ascii="宋体" w:hAnsi="宋体" w:eastAsia="宋体" w:cs="宋体"/>
          <w:spacing w:val="-1"/>
          <w:sz w:val="28"/>
          <w:szCs w:val="28"/>
        </w:rPr>
        <w:t>单元划分，选择较为合理的评价方法对划分的评价单元进行了评价，并根据评价中发现的问题，提出了有针对性的安全对策措施及建议。</w:t>
      </w:r>
      <w:r>
        <w:rPr>
          <w:rFonts w:ascii="宋体" w:hAnsi="宋体" w:eastAsia="宋体" w:cs="宋体"/>
          <w:spacing w:val="-10"/>
          <w:sz w:val="28"/>
          <w:szCs w:val="28"/>
        </w:rPr>
        <w:t>对公司内的生产设备、辅助公用设施、安全控制措施等方面进行评价，</w:t>
      </w:r>
      <w:r>
        <w:rPr>
          <w:rFonts w:ascii="宋体" w:hAnsi="宋体" w:eastAsia="宋体" w:cs="宋体"/>
          <w:spacing w:val="-11"/>
          <w:sz w:val="28"/>
          <w:szCs w:val="28"/>
        </w:rPr>
        <w:t>目前符合法律、法规和相关技术标准规范的要求，具备安全生产条件。</w:t>
      </w:r>
    </w:p>
    <w:p w14:paraId="20302CED">
      <w:pPr>
        <w:keepNext w:val="0"/>
        <w:keepLines w:val="0"/>
        <w:pageBreakBefore w:val="0"/>
        <w:widowControl/>
        <w:suppressLineNumbers w:val="0"/>
        <w:kinsoku/>
        <w:wordWrap/>
        <w:overflowPunct/>
        <w:topLinePunct w:val="0"/>
        <w:autoSpaceDE/>
        <w:autoSpaceDN/>
        <w:bidi w:val="0"/>
        <w:adjustRightInd/>
        <w:snapToGrid/>
        <w:spacing w:line="500" w:lineRule="exact"/>
        <w:ind w:firstLine="562" w:firstLineChars="200"/>
        <w:jc w:val="left"/>
        <w:textAlignment w:val="auto"/>
        <w:rPr>
          <w:sz w:val="28"/>
          <w:szCs w:val="28"/>
          <w:shd w:val="clear" w:color="auto" w:fill="auto"/>
        </w:rPr>
      </w:pPr>
      <w:r>
        <w:rPr>
          <w:rFonts w:hint="eastAsia" w:ascii="宋体" w:hAnsi="宋体" w:eastAsia="宋体" w:cs="宋体"/>
          <w:b/>
          <w:bCs/>
          <w:color w:val="000000"/>
          <w:kern w:val="0"/>
          <w:sz w:val="28"/>
          <w:szCs w:val="28"/>
          <w:shd w:val="clear" w:color="auto" w:fill="auto"/>
          <w:lang w:val="en-US" w:eastAsia="zh-CN" w:bidi="ar"/>
        </w:rPr>
        <w:t>经评价认为：</w:t>
      </w:r>
      <w:r>
        <w:rPr>
          <w:rFonts w:hint="eastAsia" w:hAnsi="宋体" w:cs="宋体"/>
          <w:b/>
          <w:bCs/>
          <w:color w:val="000000"/>
          <w:kern w:val="0"/>
          <w:sz w:val="28"/>
          <w:szCs w:val="28"/>
          <w:shd w:val="clear" w:color="auto" w:fill="auto"/>
          <w:lang w:val="en-US" w:eastAsia="zh-CN" w:bidi="ar"/>
        </w:rPr>
        <w:t>云南普菲特数控机械有限公司</w:t>
      </w:r>
      <w:r>
        <w:rPr>
          <w:rFonts w:hint="eastAsia" w:ascii="宋体" w:hAnsi="宋体" w:eastAsia="宋体" w:cs="宋体"/>
          <w:b/>
          <w:bCs/>
          <w:color w:val="000000"/>
          <w:kern w:val="0"/>
          <w:sz w:val="28"/>
          <w:szCs w:val="28"/>
          <w:shd w:val="clear" w:color="auto" w:fill="auto"/>
          <w:lang w:val="en-US" w:eastAsia="zh-CN" w:bidi="ar"/>
        </w:rPr>
        <w:t>项目从安全生产角度分析评价符合国家有关法律、法规、标准、规范的要求，现状安全条件满足安全生产要求。</w:t>
      </w:r>
    </w:p>
    <w:p w14:paraId="67B70FD4">
      <w:pPr>
        <w:keepNext w:val="0"/>
        <w:keepLines w:val="0"/>
        <w:pageBreakBefore w:val="0"/>
        <w:widowControl w:val="0"/>
        <w:kinsoku/>
        <w:wordWrap/>
        <w:overflowPunct/>
        <w:topLinePunct w:val="0"/>
        <w:autoSpaceDE/>
        <w:autoSpaceDN/>
        <w:bidi w:val="0"/>
        <w:adjustRightInd/>
        <w:snapToGrid/>
        <w:spacing w:line="500" w:lineRule="exact"/>
        <w:ind w:left="0" w:firstLine="560" w:firstLineChars="200"/>
        <w:textAlignment w:val="auto"/>
        <w:outlineLvl w:val="9"/>
        <w:rPr>
          <w:rFonts w:hint="eastAsia" w:ascii="宋体" w:hAnsi="宋体" w:eastAsia="宋体" w:cs="宋体"/>
          <w:spacing w:val="-11"/>
          <w:sz w:val="28"/>
          <w:szCs w:val="28"/>
        </w:rPr>
      </w:pPr>
      <w:r>
        <w:rPr>
          <w:rFonts w:hint="eastAsia" w:ascii="宋体" w:hAnsi="宋体" w:eastAsia="宋体" w:cs="宋体"/>
          <w:sz w:val="28"/>
          <w:szCs w:val="28"/>
          <w:lang w:val="en-US" w:eastAsia="zh-CN"/>
        </w:rPr>
        <w:t>总之，</w:t>
      </w:r>
      <w:r>
        <w:rPr>
          <w:rFonts w:hint="eastAsia" w:hAnsi="宋体" w:cs="宋体"/>
          <w:sz w:val="28"/>
          <w:szCs w:val="28"/>
          <w:lang w:val="en-US" w:eastAsia="zh-CN"/>
        </w:rPr>
        <w:t>安全</w:t>
      </w:r>
      <w:r>
        <w:rPr>
          <w:rFonts w:hint="eastAsia" w:ascii="宋体" w:hAnsi="宋体" w:eastAsia="宋体" w:cs="宋体"/>
          <w:sz w:val="28"/>
          <w:szCs w:val="28"/>
          <w:lang w:val="en-US" w:eastAsia="zh-CN"/>
        </w:rPr>
        <w:t>生产是一个动态的过程，该公司在今后的生产过程中，应根据条件的变化，把安全管理工作贯穿于生产的全过程，不断完善安全管理，依靠科技进步提升安全技术水平，防止安全事故的发生，实现本质化安全。</w:t>
      </w:r>
    </w:p>
    <w:p w14:paraId="2156FA6A">
      <w:pPr>
        <w:keepNext w:val="0"/>
        <w:keepLines w:val="0"/>
        <w:pageBreakBefore w:val="0"/>
        <w:widowControl w:val="0"/>
        <w:kinsoku/>
        <w:wordWrap/>
        <w:overflowPunct/>
        <w:topLinePunct w:val="0"/>
        <w:autoSpaceDE/>
        <w:autoSpaceDN/>
        <w:bidi w:val="0"/>
        <w:adjustRightInd/>
        <w:snapToGrid/>
        <w:spacing w:line="600" w:lineRule="exact"/>
        <w:textAlignment w:val="auto"/>
        <w:rPr>
          <w:rFonts w:ascii="宋体" w:hAnsi="宋体" w:eastAsia="宋体" w:cs="宋体"/>
          <w:sz w:val="28"/>
          <w:szCs w:val="28"/>
        </w:rPr>
      </w:pPr>
    </w:p>
    <w:p w14:paraId="1C7F7E92">
      <w:pPr>
        <w:keepNext w:val="0"/>
        <w:keepLines w:val="0"/>
        <w:pageBreakBefore w:val="0"/>
        <w:widowControl w:val="0"/>
        <w:kinsoku/>
        <w:wordWrap/>
        <w:overflowPunct/>
        <w:topLinePunct w:val="0"/>
        <w:autoSpaceDE/>
        <w:autoSpaceDN/>
        <w:bidi w:val="0"/>
        <w:adjustRightInd/>
        <w:snapToGrid/>
        <w:spacing w:line="600" w:lineRule="exact"/>
        <w:textAlignment w:val="auto"/>
        <w:rPr>
          <w:rFonts w:ascii="宋体" w:hAnsi="宋体" w:eastAsia="宋体" w:cs="宋体"/>
          <w:sz w:val="28"/>
          <w:szCs w:val="28"/>
        </w:rPr>
      </w:pPr>
    </w:p>
    <w:p w14:paraId="66574CEA">
      <w:pPr>
        <w:keepNext w:val="0"/>
        <w:keepLines w:val="0"/>
        <w:pageBreakBefore w:val="0"/>
        <w:widowControl w:val="0"/>
        <w:kinsoku/>
        <w:wordWrap/>
        <w:overflowPunct/>
        <w:topLinePunct w:val="0"/>
        <w:autoSpaceDE/>
        <w:autoSpaceDN/>
        <w:bidi w:val="0"/>
        <w:adjustRightInd/>
        <w:snapToGrid/>
        <w:spacing w:line="600" w:lineRule="exact"/>
        <w:textAlignment w:val="auto"/>
        <w:rPr>
          <w:rFonts w:ascii="宋体" w:hAnsi="宋体" w:eastAsia="宋体" w:cs="宋体"/>
          <w:sz w:val="28"/>
          <w:szCs w:val="28"/>
        </w:rPr>
      </w:pPr>
    </w:p>
    <w:p w14:paraId="120C0B0D">
      <w:pPr>
        <w:keepNext w:val="0"/>
        <w:keepLines w:val="0"/>
        <w:pageBreakBefore w:val="0"/>
        <w:widowControl w:val="0"/>
        <w:kinsoku/>
        <w:wordWrap/>
        <w:overflowPunct/>
        <w:topLinePunct w:val="0"/>
        <w:autoSpaceDE/>
        <w:autoSpaceDN/>
        <w:bidi w:val="0"/>
        <w:adjustRightInd/>
        <w:snapToGrid/>
        <w:spacing w:line="600" w:lineRule="exact"/>
        <w:textAlignment w:val="auto"/>
        <w:rPr>
          <w:rFonts w:ascii="宋体" w:hAnsi="宋体" w:eastAsia="宋体" w:cs="宋体"/>
          <w:sz w:val="28"/>
          <w:szCs w:val="28"/>
        </w:rPr>
      </w:pPr>
    </w:p>
    <w:p w14:paraId="48F7D867">
      <w:pPr>
        <w:keepNext w:val="0"/>
        <w:keepLines w:val="0"/>
        <w:pageBreakBefore w:val="0"/>
        <w:widowControl w:val="0"/>
        <w:kinsoku/>
        <w:wordWrap/>
        <w:overflowPunct/>
        <w:topLinePunct w:val="0"/>
        <w:autoSpaceDE/>
        <w:autoSpaceDN/>
        <w:bidi w:val="0"/>
        <w:adjustRightInd/>
        <w:snapToGrid/>
        <w:spacing w:line="600" w:lineRule="exact"/>
        <w:textAlignment w:val="auto"/>
        <w:rPr>
          <w:rFonts w:ascii="宋体" w:hAnsi="宋体" w:eastAsia="宋体" w:cs="宋体"/>
          <w:sz w:val="28"/>
          <w:szCs w:val="28"/>
        </w:rPr>
      </w:pPr>
    </w:p>
    <w:p w14:paraId="6C26ECB7">
      <w:pPr>
        <w:keepNext w:val="0"/>
        <w:keepLines w:val="0"/>
        <w:pageBreakBefore w:val="0"/>
        <w:widowControl w:val="0"/>
        <w:kinsoku/>
        <w:wordWrap/>
        <w:overflowPunct/>
        <w:topLinePunct w:val="0"/>
        <w:autoSpaceDE/>
        <w:autoSpaceDN/>
        <w:bidi w:val="0"/>
        <w:adjustRightInd/>
        <w:snapToGrid/>
        <w:spacing w:line="600" w:lineRule="exact"/>
        <w:textAlignment w:val="auto"/>
        <w:rPr>
          <w:rFonts w:ascii="宋体" w:hAnsi="宋体" w:eastAsia="宋体" w:cs="宋体"/>
          <w:sz w:val="28"/>
          <w:szCs w:val="28"/>
        </w:rPr>
      </w:pPr>
    </w:p>
    <w:p w14:paraId="68E1CED3">
      <w:pPr>
        <w:keepNext w:val="0"/>
        <w:keepLines w:val="0"/>
        <w:pageBreakBefore w:val="0"/>
        <w:widowControl w:val="0"/>
        <w:kinsoku/>
        <w:wordWrap/>
        <w:overflowPunct/>
        <w:topLinePunct w:val="0"/>
        <w:autoSpaceDE/>
        <w:autoSpaceDN/>
        <w:bidi w:val="0"/>
        <w:adjustRightInd/>
        <w:snapToGrid/>
        <w:spacing w:line="600" w:lineRule="exact"/>
        <w:textAlignment w:val="auto"/>
        <w:rPr>
          <w:rFonts w:ascii="宋体" w:hAnsi="宋体" w:eastAsia="宋体" w:cs="宋体"/>
          <w:sz w:val="28"/>
          <w:szCs w:val="28"/>
        </w:rPr>
      </w:pPr>
    </w:p>
    <w:p w14:paraId="30F5BE08">
      <w:pPr>
        <w:keepNext w:val="0"/>
        <w:keepLines w:val="0"/>
        <w:pageBreakBefore w:val="0"/>
        <w:widowControl w:val="0"/>
        <w:kinsoku/>
        <w:wordWrap/>
        <w:overflowPunct/>
        <w:topLinePunct w:val="0"/>
        <w:autoSpaceDE/>
        <w:autoSpaceDN/>
        <w:bidi w:val="0"/>
        <w:adjustRightInd/>
        <w:snapToGrid/>
        <w:spacing w:line="600" w:lineRule="exact"/>
        <w:textAlignment w:val="auto"/>
        <w:rPr>
          <w:rFonts w:ascii="宋体" w:hAnsi="宋体" w:eastAsia="宋体" w:cs="宋体"/>
          <w:sz w:val="28"/>
          <w:szCs w:val="28"/>
        </w:rPr>
      </w:pPr>
    </w:p>
    <w:p w14:paraId="16A854E5">
      <w:pPr>
        <w:keepNext w:val="0"/>
        <w:keepLines w:val="0"/>
        <w:pageBreakBefore w:val="0"/>
        <w:widowControl w:val="0"/>
        <w:kinsoku/>
        <w:wordWrap/>
        <w:overflowPunct/>
        <w:topLinePunct w:val="0"/>
        <w:autoSpaceDE/>
        <w:autoSpaceDN/>
        <w:bidi w:val="0"/>
        <w:adjustRightInd/>
        <w:snapToGrid/>
        <w:spacing w:line="600" w:lineRule="exact"/>
        <w:textAlignment w:val="auto"/>
        <w:rPr>
          <w:rFonts w:ascii="宋体" w:hAnsi="宋体" w:eastAsia="宋体" w:cs="宋体"/>
          <w:sz w:val="28"/>
          <w:szCs w:val="28"/>
        </w:rPr>
      </w:pPr>
    </w:p>
    <w:p w14:paraId="70ABFD05">
      <w:pPr>
        <w:keepNext w:val="0"/>
        <w:keepLines w:val="0"/>
        <w:pageBreakBefore w:val="0"/>
        <w:widowControl w:val="0"/>
        <w:kinsoku/>
        <w:wordWrap/>
        <w:overflowPunct/>
        <w:topLinePunct w:val="0"/>
        <w:autoSpaceDE/>
        <w:autoSpaceDN/>
        <w:bidi w:val="0"/>
        <w:adjustRightInd/>
        <w:snapToGrid/>
        <w:spacing w:line="600" w:lineRule="exact"/>
        <w:textAlignment w:val="auto"/>
        <w:rPr>
          <w:rFonts w:ascii="宋体" w:hAnsi="宋体" w:eastAsia="宋体" w:cs="宋体"/>
          <w:sz w:val="28"/>
          <w:szCs w:val="28"/>
        </w:rPr>
      </w:pPr>
    </w:p>
    <w:p w14:paraId="3EF88E03">
      <w:pPr>
        <w:keepNext w:val="0"/>
        <w:keepLines w:val="0"/>
        <w:pageBreakBefore w:val="0"/>
        <w:widowControl w:val="0"/>
        <w:kinsoku/>
        <w:wordWrap/>
        <w:overflowPunct/>
        <w:topLinePunct w:val="0"/>
        <w:autoSpaceDE/>
        <w:autoSpaceDN/>
        <w:bidi w:val="0"/>
        <w:adjustRightInd/>
        <w:snapToGrid/>
        <w:spacing w:line="600" w:lineRule="exact"/>
        <w:textAlignment w:val="auto"/>
        <w:rPr>
          <w:rFonts w:ascii="宋体" w:hAnsi="宋体" w:eastAsia="宋体" w:cs="宋体"/>
          <w:sz w:val="28"/>
          <w:szCs w:val="28"/>
        </w:rPr>
      </w:pPr>
    </w:p>
    <w:p w14:paraId="51B128D6">
      <w:pPr>
        <w:keepNext w:val="0"/>
        <w:keepLines w:val="0"/>
        <w:pageBreakBefore w:val="0"/>
        <w:widowControl w:val="0"/>
        <w:kinsoku/>
        <w:wordWrap/>
        <w:overflowPunct/>
        <w:topLinePunct w:val="0"/>
        <w:autoSpaceDE/>
        <w:autoSpaceDN/>
        <w:bidi w:val="0"/>
        <w:adjustRightInd/>
        <w:snapToGrid/>
        <w:spacing w:line="600" w:lineRule="exact"/>
        <w:textAlignment w:val="auto"/>
        <w:rPr>
          <w:rFonts w:ascii="宋体" w:hAnsi="宋体" w:eastAsia="宋体" w:cs="宋体"/>
          <w:sz w:val="28"/>
          <w:szCs w:val="28"/>
        </w:rPr>
      </w:pPr>
    </w:p>
    <w:p w14:paraId="75D294ED">
      <w:pPr>
        <w:keepNext w:val="0"/>
        <w:keepLines w:val="0"/>
        <w:pageBreakBefore w:val="0"/>
        <w:widowControl w:val="0"/>
        <w:kinsoku/>
        <w:wordWrap/>
        <w:overflowPunct/>
        <w:topLinePunct w:val="0"/>
        <w:autoSpaceDE/>
        <w:autoSpaceDN/>
        <w:bidi w:val="0"/>
        <w:adjustRightInd/>
        <w:snapToGrid/>
        <w:spacing w:line="600" w:lineRule="exact"/>
        <w:textAlignment w:val="auto"/>
        <w:rPr>
          <w:rFonts w:ascii="宋体" w:hAnsi="宋体" w:eastAsia="宋体" w:cs="宋体"/>
          <w:sz w:val="28"/>
          <w:szCs w:val="28"/>
        </w:rPr>
      </w:pPr>
    </w:p>
    <w:p w14:paraId="15B9F035">
      <w:pPr>
        <w:keepNext w:val="0"/>
        <w:keepLines w:val="0"/>
        <w:pageBreakBefore w:val="0"/>
        <w:widowControl w:val="0"/>
        <w:kinsoku/>
        <w:wordWrap/>
        <w:overflowPunct/>
        <w:topLinePunct w:val="0"/>
        <w:autoSpaceDE/>
        <w:autoSpaceDN/>
        <w:bidi w:val="0"/>
        <w:adjustRightInd/>
        <w:snapToGrid/>
        <w:spacing w:line="600" w:lineRule="exact"/>
        <w:textAlignment w:val="auto"/>
        <w:rPr>
          <w:rFonts w:ascii="宋体" w:hAnsi="宋体" w:eastAsia="宋体" w:cs="宋体"/>
          <w:sz w:val="28"/>
          <w:szCs w:val="28"/>
        </w:rPr>
      </w:pPr>
    </w:p>
    <w:p w14:paraId="416B03C6">
      <w:pPr>
        <w:keepNext w:val="0"/>
        <w:keepLines w:val="0"/>
        <w:pageBreakBefore w:val="0"/>
        <w:widowControl w:val="0"/>
        <w:kinsoku/>
        <w:wordWrap/>
        <w:overflowPunct/>
        <w:topLinePunct w:val="0"/>
        <w:autoSpaceDE/>
        <w:autoSpaceDN/>
        <w:bidi w:val="0"/>
        <w:adjustRightInd/>
        <w:snapToGrid/>
        <w:spacing w:line="600" w:lineRule="exact"/>
        <w:textAlignment w:val="auto"/>
        <w:rPr>
          <w:rFonts w:ascii="宋体" w:hAnsi="宋体" w:eastAsia="宋体" w:cs="宋体"/>
          <w:sz w:val="28"/>
          <w:szCs w:val="28"/>
        </w:rPr>
      </w:pPr>
    </w:p>
    <w:p w14:paraId="002F2FA1">
      <w:pPr>
        <w:keepNext w:val="0"/>
        <w:keepLines w:val="0"/>
        <w:pageBreakBefore w:val="0"/>
        <w:widowControl w:val="0"/>
        <w:kinsoku/>
        <w:wordWrap/>
        <w:overflowPunct/>
        <w:topLinePunct w:val="0"/>
        <w:autoSpaceDE/>
        <w:autoSpaceDN/>
        <w:bidi w:val="0"/>
        <w:adjustRightInd/>
        <w:snapToGrid/>
        <w:spacing w:line="600" w:lineRule="exact"/>
        <w:textAlignment w:val="auto"/>
        <w:rPr>
          <w:rFonts w:ascii="宋体" w:hAnsi="宋体" w:eastAsia="宋体" w:cs="宋体"/>
          <w:sz w:val="28"/>
          <w:szCs w:val="28"/>
        </w:rPr>
      </w:pPr>
    </w:p>
    <w:p w14:paraId="2B6644F3">
      <w:pPr>
        <w:keepNext w:val="0"/>
        <w:keepLines w:val="0"/>
        <w:pageBreakBefore w:val="0"/>
        <w:widowControl w:val="0"/>
        <w:kinsoku/>
        <w:wordWrap/>
        <w:overflowPunct/>
        <w:topLinePunct w:val="0"/>
        <w:autoSpaceDE/>
        <w:autoSpaceDN/>
        <w:bidi w:val="0"/>
        <w:adjustRightInd/>
        <w:snapToGrid/>
        <w:spacing w:line="600" w:lineRule="exact"/>
        <w:textAlignment w:val="auto"/>
        <w:rPr>
          <w:rFonts w:ascii="宋体" w:hAnsi="宋体" w:eastAsia="宋体" w:cs="宋体"/>
          <w:sz w:val="28"/>
          <w:szCs w:val="28"/>
        </w:rPr>
      </w:pPr>
    </w:p>
    <w:p w14:paraId="23940BDE">
      <w:pPr>
        <w:keepNext w:val="0"/>
        <w:keepLines w:val="0"/>
        <w:pageBreakBefore w:val="0"/>
        <w:widowControl w:val="0"/>
        <w:kinsoku/>
        <w:wordWrap/>
        <w:overflowPunct/>
        <w:topLinePunct w:val="0"/>
        <w:autoSpaceDE/>
        <w:autoSpaceDN/>
        <w:bidi w:val="0"/>
        <w:adjustRightInd/>
        <w:snapToGrid/>
        <w:spacing w:line="600" w:lineRule="exact"/>
        <w:textAlignment w:val="auto"/>
        <w:rPr>
          <w:rFonts w:ascii="宋体" w:hAnsi="宋体" w:eastAsia="宋体" w:cs="宋体"/>
          <w:sz w:val="28"/>
          <w:szCs w:val="28"/>
        </w:rPr>
      </w:pPr>
    </w:p>
    <w:p w14:paraId="6A7AC19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outlineLvl w:val="0"/>
        <w:rPr>
          <w:rFonts w:hint="eastAsia"/>
          <w:lang w:val="en-US" w:eastAsia="zh-CN"/>
        </w:rPr>
      </w:pPr>
      <w:bookmarkStart w:id="887" w:name="_Toc23011"/>
      <w:bookmarkStart w:id="888" w:name="_Toc16265"/>
      <w:r>
        <w:rPr>
          <w:rFonts w:hint="eastAsia" w:ascii="宋体" w:hAnsi="宋体" w:eastAsia="宋体" w:cs="宋体"/>
          <w:b/>
          <w:bCs/>
          <w:kern w:val="2"/>
          <w:sz w:val="36"/>
          <w:szCs w:val="36"/>
          <w:lang w:val="en-US" w:eastAsia="zh-CN" w:bidi="ar-SA"/>
        </w:rPr>
        <w:t>第8章与建设单位交换意见情况说明</w:t>
      </w:r>
      <w:bookmarkEnd w:id="887"/>
      <w:bookmarkEnd w:id="888"/>
    </w:p>
    <w:p w14:paraId="3EFDBA41">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通过对建设项目提供的资料认真分析及对现场实地勘查，就本项目各个方面的情况，本项目安全现状评价中各方面的情况及报告提出的安全对策措施及建议，与被评价单位进行了充分交流，并形成如下统一意见：</w:t>
      </w:r>
    </w:p>
    <w:p w14:paraId="09FC12AB">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1.公司编制的安全现状评价报告对项目的场址选择、总平面布置、主要建（构）筑物、</w:t>
      </w:r>
      <w:r>
        <w:rPr>
          <w:rFonts w:hint="eastAsia" w:ascii="宋体" w:hAnsi="宋体" w:eastAsia="宋体" w:cs="宋体"/>
          <w:sz w:val="28"/>
          <w:szCs w:val="28"/>
          <w:lang w:val="en-US" w:eastAsia="zh-CN"/>
        </w:rPr>
        <w:t>工艺系统及设备设施</w:t>
      </w:r>
      <w:r>
        <w:rPr>
          <w:rFonts w:hint="eastAsia" w:ascii="宋体" w:hAnsi="宋体" w:eastAsia="宋体" w:cs="宋体"/>
          <w:b w:val="0"/>
          <w:bCs w:val="0"/>
          <w:sz w:val="28"/>
          <w:szCs w:val="28"/>
          <w:lang w:val="en-US" w:eastAsia="zh-CN"/>
        </w:rPr>
        <w:t>、公用工程、特种设备、安全管理等各个方面进行了全面的检查、分析，安全现状评价结论符合项目实际。</w:t>
      </w:r>
    </w:p>
    <w:p w14:paraId="7FF73190">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2.被评价单位对报告的危险有害因素的分析和辨识、报告所提出的安全对策措施及建议、评价的结论等无异议。</w:t>
      </w:r>
    </w:p>
    <w:p w14:paraId="4562E140">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针对项目的相关资料文件及现场勘查情况，评价组提出了相应的安全对策措施及建议，建设单位对评价组提出的意见可以接受，并进行落实。</w:t>
      </w:r>
    </w:p>
    <w:p w14:paraId="60CFD2BC">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1.企业应按照</w:t>
      </w:r>
      <w:r>
        <w:rPr>
          <w:rFonts w:hint="eastAsia" w:ascii="宋体" w:hAnsi="宋体" w:eastAsia="宋体" w:cs="宋体"/>
          <w:color w:val="000000"/>
          <w:sz w:val="28"/>
          <w:szCs w:val="28"/>
        </w:rPr>
        <w:t>根据《中华人民共和国安全生产法》（中华人民共和国主席令第88号</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2021年9月1日实施）、《企业安全生产标准化建设定级办法》（应急</w:t>
      </w:r>
      <w:r>
        <w:rPr>
          <w:rFonts w:hint="eastAsia" w:ascii="宋体" w:hAnsi="宋体" w:eastAsia="宋体" w:cs="宋体"/>
          <w:color w:val="000000"/>
          <w:sz w:val="28"/>
          <w:szCs w:val="28"/>
          <w:lang w:val="en-US" w:eastAsia="zh-CN"/>
        </w:rPr>
        <w:t>〔</w:t>
      </w:r>
      <w:r>
        <w:rPr>
          <w:rFonts w:hint="eastAsia" w:ascii="宋体" w:hAnsi="宋体" w:eastAsia="宋体" w:cs="宋体"/>
          <w:color w:val="000000"/>
          <w:sz w:val="28"/>
          <w:szCs w:val="28"/>
        </w:rPr>
        <w:t>2021</w:t>
      </w:r>
      <w:r>
        <w:rPr>
          <w:rFonts w:hint="eastAsia" w:ascii="宋体" w:hAnsi="宋体" w:eastAsia="宋体" w:cs="宋体"/>
          <w:color w:val="000000"/>
          <w:sz w:val="28"/>
          <w:szCs w:val="28"/>
          <w:lang w:val="en-US" w:eastAsia="zh-CN"/>
        </w:rPr>
        <w:t>〕</w:t>
      </w:r>
      <w:r>
        <w:rPr>
          <w:rFonts w:hint="eastAsia" w:ascii="宋体" w:hAnsi="宋体" w:eastAsia="宋体" w:cs="宋体"/>
          <w:color w:val="000000"/>
          <w:sz w:val="28"/>
          <w:szCs w:val="28"/>
        </w:rPr>
        <w:t>83号</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2021年11月1日实施）</w:t>
      </w:r>
      <w:r>
        <w:rPr>
          <w:rFonts w:hint="eastAsia" w:ascii="宋体" w:hAnsi="宋体" w:eastAsia="宋体" w:cs="宋体"/>
          <w:color w:val="000000"/>
          <w:sz w:val="28"/>
          <w:szCs w:val="28"/>
          <w:lang w:eastAsia="zh-CN"/>
        </w:rPr>
        <w:t>、《企业安全生产标准化基本规范》（GB33000-2016）、《云南省企业安全生产标准化建设定级实施办法》（云应急〔2023〕6号）等</w:t>
      </w:r>
      <w:r>
        <w:rPr>
          <w:rFonts w:hint="eastAsia" w:ascii="宋体" w:hAnsi="宋体" w:eastAsia="宋体" w:cs="宋体"/>
          <w:b w:val="0"/>
          <w:bCs w:val="0"/>
          <w:sz w:val="28"/>
          <w:szCs w:val="28"/>
          <w:lang w:val="en-US" w:eastAsia="zh-CN"/>
        </w:rPr>
        <w:t>相关规定，深入开展安全生产标准化创建工作，建立科学、规范的安全管理工作机制，全面夯实安全生产工作基础，提高防范事故能力。</w:t>
      </w:r>
    </w:p>
    <w:p w14:paraId="3AF0F05D">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b w:val="0"/>
          <w:bCs w:val="0"/>
          <w:color w:val="000000" w:themeColor="text1"/>
          <w:sz w:val="28"/>
          <w:szCs w:val="28"/>
          <w:shd w:val="clear" w:color="auto" w:fill="auto"/>
          <w:lang w:val="en-US" w:eastAsia="zh-CN"/>
          <w14:textFill>
            <w14:solidFill>
              <w14:schemeClr w14:val="tx1"/>
            </w14:solidFill>
          </w14:textFill>
        </w:rPr>
      </w:pPr>
      <w:r>
        <w:rPr>
          <w:rFonts w:hint="eastAsia" w:hAnsi="宋体" w:cs="宋体"/>
          <w:b w:val="0"/>
          <w:bCs w:val="0"/>
          <w:color w:val="000000" w:themeColor="text1"/>
          <w:sz w:val="28"/>
          <w:szCs w:val="28"/>
          <w:shd w:val="clear" w:color="auto" w:fill="auto"/>
          <w:lang w:val="en-US" w:eastAsia="zh-CN"/>
          <w14:textFill>
            <w14:solidFill>
              <w14:schemeClr w14:val="tx1"/>
            </w14:solidFill>
          </w14:textFill>
        </w:rPr>
        <w:t>2.生产安全事故应急预案应尽快落实评审备案。</w:t>
      </w:r>
    </w:p>
    <w:p w14:paraId="1A546A01">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default" w:ascii="宋体" w:hAnsi="宋体" w:eastAsia="宋体" w:cs="宋体"/>
          <w:b w:val="0"/>
          <w:bCs w:val="0"/>
          <w:color w:val="000000" w:themeColor="text1"/>
          <w:sz w:val="28"/>
          <w:szCs w:val="28"/>
          <w:shd w:val="clear" w:color="auto" w:fill="auto"/>
          <w:lang w:val="en-US" w:eastAsia="zh-CN"/>
          <w14:textFill>
            <w14:solidFill>
              <w14:schemeClr w14:val="tx1"/>
            </w14:solidFill>
          </w14:textFill>
        </w:rPr>
      </w:pPr>
      <w:r>
        <w:rPr>
          <w:rFonts w:hint="eastAsia" w:hAnsi="宋体" w:cs="宋体"/>
          <w:b w:val="0"/>
          <w:bCs w:val="0"/>
          <w:color w:val="000000" w:themeColor="text1"/>
          <w:sz w:val="28"/>
          <w:szCs w:val="28"/>
          <w:shd w:val="clear" w:color="auto" w:fill="auto"/>
          <w:lang w:val="en-US" w:eastAsia="zh-CN"/>
          <w14:textFill>
            <w14:solidFill>
              <w14:schemeClr w14:val="tx1"/>
            </w14:solidFill>
          </w14:textFill>
        </w:rPr>
        <w:t>3</w:t>
      </w:r>
      <w:r>
        <w:rPr>
          <w:rFonts w:hint="eastAsia" w:ascii="宋体" w:hAnsi="宋体" w:eastAsia="宋体" w:cs="宋体"/>
          <w:b w:val="0"/>
          <w:bCs w:val="0"/>
          <w:color w:val="000000" w:themeColor="text1"/>
          <w:sz w:val="28"/>
          <w:szCs w:val="28"/>
          <w:shd w:val="clear" w:color="auto" w:fill="auto"/>
          <w:lang w:val="en-US" w:eastAsia="zh-CN"/>
          <w14:textFill>
            <w14:solidFill>
              <w14:schemeClr w14:val="tx1"/>
            </w14:solidFill>
          </w14:textFill>
        </w:rPr>
        <w:t>.</w:t>
      </w:r>
      <w:r>
        <w:rPr>
          <w:rFonts w:hint="eastAsia" w:hAnsi="宋体" w:cs="宋体"/>
          <w:b w:val="0"/>
          <w:bCs w:val="0"/>
          <w:color w:val="000000" w:themeColor="text1"/>
          <w:sz w:val="28"/>
          <w:szCs w:val="28"/>
          <w:shd w:val="clear" w:color="auto" w:fill="auto"/>
          <w:lang w:val="en-US" w:eastAsia="zh-CN"/>
          <w14:textFill>
            <w14:solidFill>
              <w14:schemeClr w14:val="tx1"/>
            </w14:solidFill>
          </w14:textFill>
        </w:rPr>
        <w:t>严格按照规范要求开展生产事故应急演练。</w:t>
      </w:r>
    </w:p>
    <w:p w14:paraId="2873146D">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hAnsi="宋体" w:cs="宋体"/>
          <w:b w:val="0"/>
          <w:bCs w:val="0"/>
          <w:color w:val="000000" w:themeColor="text1"/>
          <w:sz w:val="28"/>
          <w:szCs w:val="28"/>
          <w:shd w:val="clear" w:color="auto" w:fill="auto"/>
          <w:lang w:val="en-US" w:eastAsia="zh-CN"/>
          <w14:textFill>
            <w14:solidFill>
              <w14:schemeClr w14:val="tx1"/>
            </w14:solidFill>
          </w14:textFill>
        </w:rPr>
      </w:pPr>
      <w:r>
        <w:rPr>
          <w:rFonts w:hint="eastAsia" w:hAnsi="宋体" w:cs="宋体"/>
          <w:b w:val="0"/>
          <w:bCs w:val="0"/>
          <w:color w:val="000000" w:themeColor="text1"/>
          <w:sz w:val="28"/>
          <w:szCs w:val="28"/>
          <w:shd w:val="clear" w:color="auto" w:fill="auto"/>
          <w:lang w:val="en-US" w:eastAsia="zh-CN"/>
          <w14:textFill>
            <w14:solidFill>
              <w14:schemeClr w14:val="tx1"/>
            </w14:solidFill>
          </w14:textFill>
        </w:rPr>
        <w:t>4</w:t>
      </w:r>
      <w:r>
        <w:rPr>
          <w:rFonts w:hint="eastAsia" w:ascii="宋体" w:hAnsi="宋体" w:eastAsia="宋体" w:cs="宋体"/>
          <w:b w:val="0"/>
          <w:bCs w:val="0"/>
          <w:color w:val="000000" w:themeColor="text1"/>
          <w:sz w:val="28"/>
          <w:szCs w:val="28"/>
          <w:shd w:val="clear" w:color="auto" w:fill="auto"/>
          <w:lang w:val="en-US" w:eastAsia="zh-CN"/>
          <w14:textFill>
            <w14:solidFill>
              <w14:schemeClr w14:val="tx1"/>
            </w14:solidFill>
          </w14:textFill>
        </w:rPr>
        <w:t>.企业应</w:t>
      </w:r>
      <w:r>
        <w:rPr>
          <w:rFonts w:hint="eastAsia" w:hAnsi="宋体" w:cs="宋体"/>
          <w:b w:val="0"/>
          <w:bCs w:val="0"/>
          <w:color w:val="000000" w:themeColor="text1"/>
          <w:sz w:val="28"/>
          <w:szCs w:val="28"/>
          <w:shd w:val="clear" w:color="auto" w:fill="auto"/>
          <w:lang w:val="en-US" w:eastAsia="zh-CN"/>
          <w14:textFill>
            <w14:solidFill>
              <w14:schemeClr w14:val="tx1"/>
            </w14:solidFill>
          </w14:textFill>
        </w:rPr>
        <w:t>及时完善安全资金的投入台账记录。</w:t>
      </w:r>
    </w:p>
    <w:p w14:paraId="1F3397C8">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default" w:hAnsi="宋体" w:cs="宋体"/>
          <w:b w:val="0"/>
          <w:bCs w:val="0"/>
          <w:color w:val="000000" w:themeColor="text1"/>
          <w:sz w:val="28"/>
          <w:szCs w:val="28"/>
          <w:shd w:val="clear" w:color="auto" w:fill="auto"/>
          <w:lang w:val="en-US" w:eastAsia="zh-CN"/>
          <w14:textFill>
            <w14:solidFill>
              <w14:schemeClr w14:val="tx1"/>
            </w14:solidFill>
          </w14:textFill>
        </w:rPr>
      </w:pPr>
      <w:r>
        <w:rPr>
          <w:rFonts w:hint="eastAsia" w:hAnsi="宋体" w:cs="宋体"/>
          <w:b w:val="0"/>
          <w:bCs w:val="0"/>
          <w:color w:val="000000" w:themeColor="text1"/>
          <w:sz w:val="28"/>
          <w:szCs w:val="28"/>
          <w:shd w:val="clear" w:color="auto" w:fill="auto"/>
          <w:lang w:val="en-US" w:eastAsia="zh-CN"/>
          <w14:textFill>
            <w14:solidFill>
              <w14:schemeClr w14:val="tx1"/>
            </w14:solidFill>
          </w14:textFill>
        </w:rPr>
        <w:t>5.加强企业日常安全管理，夯实企业安全生产主体责任。</w:t>
      </w:r>
    </w:p>
    <w:p w14:paraId="04C8BB67">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宋体" w:hAnsi="宋体" w:eastAsia="宋体" w:cs="宋体"/>
          <w:b w:val="0"/>
          <w:bCs w:val="0"/>
          <w:color w:val="000000" w:themeColor="text1"/>
          <w:sz w:val="28"/>
          <w:szCs w:val="28"/>
          <w:shd w:val="clear" w:color="auto" w:fill="auto"/>
          <w:vertAlign w:val="baseline"/>
          <w:lang w:val="en-US" w:eastAsia="zh-CN"/>
          <w14:textFill>
            <w14:solidFill>
              <w14:schemeClr w14:val="tx1"/>
            </w14:solidFill>
          </w14:textFill>
        </w:rPr>
      </w:pPr>
    </w:p>
    <w:sectPr>
      <w:pgSz w:w="11906" w:h="16838"/>
      <w:pgMar w:top="1417" w:right="1134" w:bottom="1134" w:left="1587"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7ED1C">
    <w:pPr>
      <w:pStyle w:val="15"/>
      <w:rPr>
        <w:rFonts w:hint="default" w:eastAsia="宋体"/>
        <w:lang w:val="en-US" w:eastAsia="zh-CN"/>
      </w:rPr>
    </w:pPr>
    <w:r>
      <w:rPr>
        <w:rFonts w:hint="eastAsia"/>
        <w:lang w:val="en-US" w:eastAsia="zh-CN"/>
      </w:rPr>
      <w:t>昭通市鼎安科技有限公司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E32F4">
    <w:pPr>
      <w:pStyle w:val="15"/>
      <w:rPr>
        <w:rFonts w:hint="default" w:eastAsia="宋体"/>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DB48A7">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5DB48A7">
                    <w:pPr>
                      <w:pStyle w:val="15"/>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val="en-US" w:eastAsia="zh-CN"/>
      </w:rPr>
      <w:t>昭通市鼎安科技有限公司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9B115">
    <w:pPr>
      <w:pBdr>
        <w:bottom w:val="single" w:color="auto" w:sz="4" w:space="0"/>
      </w:pBdr>
      <w:jc w:val="center"/>
      <w:rPr>
        <w:rFonts w:hint="default" w:eastAsia="宋体"/>
        <w:lang w:val="en-US" w:eastAsia="zh-CN"/>
      </w:rPr>
    </w:pPr>
    <w:r>
      <w:rPr>
        <w:rFonts w:hint="eastAsia"/>
        <w:lang w:val="en-US" w:eastAsia="zh-CN"/>
      </w:rPr>
      <w:t>云南普菲特数控机械有限公司安全现状评价报告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978B95"/>
    <w:multiLevelType w:val="singleLevel"/>
    <w:tmpl w:val="AA978B95"/>
    <w:lvl w:ilvl="0" w:tentative="0">
      <w:start w:val="1"/>
      <w:numFmt w:val="decimal"/>
      <w:suff w:val="nothing"/>
      <w:lvlText w:val="%1、"/>
      <w:lvlJc w:val="left"/>
    </w:lvl>
  </w:abstractNum>
  <w:abstractNum w:abstractNumId="1">
    <w:nsid w:val="C6C0DB08"/>
    <w:multiLevelType w:val="singleLevel"/>
    <w:tmpl w:val="C6C0DB08"/>
    <w:lvl w:ilvl="0" w:tentative="0">
      <w:start w:val="1"/>
      <w:numFmt w:val="decimal"/>
      <w:suff w:val="nothing"/>
      <w:lvlText w:val="%1．"/>
      <w:lvlJc w:val="left"/>
      <w:pPr>
        <w:ind w:left="0" w:firstLine="400"/>
      </w:pPr>
      <w:rPr>
        <w:rFonts w:hint="default"/>
      </w:rPr>
    </w:lvl>
  </w:abstractNum>
  <w:abstractNum w:abstractNumId="2">
    <w:nsid w:val="D97E8FCE"/>
    <w:multiLevelType w:val="singleLevel"/>
    <w:tmpl w:val="D97E8FCE"/>
    <w:lvl w:ilvl="0" w:tentative="0">
      <w:start w:val="1"/>
      <w:numFmt w:val="decimal"/>
      <w:suff w:val="nothing"/>
      <w:lvlText w:val="%1．"/>
      <w:lvlJc w:val="left"/>
      <w:pPr>
        <w:ind w:left="0" w:firstLine="400"/>
      </w:pPr>
      <w:rPr>
        <w:rFonts w:hint="default"/>
      </w:rPr>
    </w:lvl>
  </w:abstractNum>
  <w:abstractNum w:abstractNumId="3">
    <w:nsid w:val="DE7DA408"/>
    <w:multiLevelType w:val="multilevel"/>
    <w:tmpl w:val="DE7DA408"/>
    <w:lvl w:ilvl="0" w:tentative="0">
      <w:start w:val="1"/>
      <w:numFmt w:val="decimal"/>
      <w:suff w:val="nothing"/>
      <w:lvlText w:val="%1"/>
      <w:lvlJc w:val="left"/>
      <w:pPr>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DF5FF309"/>
    <w:multiLevelType w:val="singleLevel"/>
    <w:tmpl w:val="DF5FF309"/>
    <w:lvl w:ilvl="0" w:tentative="0">
      <w:start w:val="1"/>
      <w:numFmt w:val="decimal"/>
      <w:suff w:val="nothing"/>
      <w:lvlText w:val="%1、"/>
      <w:lvlJc w:val="left"/>
    </w:lvl>
  </w:abstractNum>
  <w:abstractNum w:abstractNumId="5">
    <w:nsid w:val="0000000B"/>
    <w:multiLevelType w:val="singleLevel"/>
    <w:tmpl w:val="0000000B"/>
    <w:lvl w:ilvl="0" w:tentative="0">
      <w:start w:val="1"/>
      <w:numFmt w:val="decimal"/>
      <w:suff w:val="nothing"/>
      <w:lvlText w:val="%1"/>
      <w:lvlJc w:val="left"/>
      <w:pPr>
        <w:ind w:left="425" w:hanging="425"/>
      </w:pPr>
      <w:rPr>
        <w:rFonts w:hint="default"/>
      </w:rPr>
    </w:lvl>
  </w:abstractNum>
  <w:abstractNum w:abstractNumId="6">
    <w:nsid w:val="00000021"/>
    <w:multiLevelType w:val="multilevel"/>
    <w:tmpl w:val="00000021"/>
    <w:lvl w:ilvl="0" w:tentative="0">
      <w:start w:val="1"/>
      <w:numFmt w:val="decimal"/>
      <w:suff w:val="nothing"/>
      <w:lvlText w:val="%1"/>
      <w:lvlJc w:val="left"/>
      <w:pPr>
        <w:ind w:left="846" w:hanging="420"/>
      </w:pPr>
      <w:rPr>
        <w:rFonts w:hint="eastAsia"/>
      </w:rPr>
    </w:lvl>
    <w:lvl w:ilvl="1" w:tentative="0">
      <w:start w:val="1"/>
      <w:numFmt w:val="lowerLetter"/>
      <w:lvlText w:val="%2)"/>
      <w:lvlJc w:val="left"/>
      <w:pPr>
        <w:tabs>
          <w:tab w:val="left" w:pos="937"/>
        </w:tabs>
        <w:ind w:left="937" w:hanging="420"/>
      </w:pPr>
      <w:rPr>
        <w:rFonts w:hint="eastAsia"/>
      </w:rPr>
    </w:lvl>
    <w:lvl w:ilvl="2" w:tentative="0">
      <w:start w:val="1"/>
      <w:numFmt w:val="lowerRoman"/>
      <w:lvlText w:val="%3."/>
      <w:lvlJc w:val="right"/>
      <w:pPr>
        <w:tabs>
          <w:tab w:val="left" w:pos="1357"/>
        </w:tabs>
        <w:ind w:left="1357" w:hanging="420"/>
      </w:pPr>
      <w:rPr>
        <w:rFonts w:hint="eastAsia"/>
      </w:rPr>
    </w:lvl>
    <w:lvl w:ilvl="3" w:tentative="0">
      <w:start w:val="1"/>
      <w:numFmt w:val="decimal"/>
      <w:lvlText w:val="%4."/>
      <w:lvlJc w:val="left"/>
      <w:pPr>
        <w:tabs>
          <w:tab w:val="left" w:pos="1777"/>
        </w:tabs>
        <w:ind w:left="1777" w:hanging="420"/>
      </w:pPr>
      <w:rPr>
        <w:rFonts w:hint="eastAsia"/>
      </w:rPr>
    </w:lvl>
    <w:lvl w:ilvl="4" w:tentative="0">
      <w:start w:val="1"/>
      <w:numFmt w:val="lowerLetter"/>
      <w:lvlText w:val="%5)"/>
      <w:lvlJc w:val="left"/>
      <w:pPr>
        <w:tabs>
          <w:tab w:val="left" w:pos="2197"/>
        </w:tabs>
        <w:ind w:left="2197" w:hanging="420"/>
      </w:pPr>
      <w:rPr>
        <w:rFonts w:hint="eastAsia"/>
      </w:rPr>
    </w:lvl>
    <w:lvl w:ilvl="5" w:tentative="0">
      <w:start w:val="1"/>
      <w:numFmt w:val="lowerRoman"/>
      <w:lvlText w:val="%6."/>
      <w:lvlJc w:val="right"/>
      <w:pPr>
        <w:tabs>
          <w:tab w:val="left" w:pos="2617"/>
        </w:tabs>
        <w:ind w:left="2617" w:hanging="420"/>
      </w:pPr>
      <w:rPr>
        <w:rFonts w:hint="eastAsia"/>
      </w:rPr>
    </w:lvl>
    <w:lvl w:ilvl="6" w:tentative="0">
      <w:start w:val="1"/>
      <w:numFmt w:val="decimal"/>
      <w:lvlText w:val="%7."/>
      <w:lvlJc w:val="left"/>
      <w:pPr>
        <w:tabs>
          <w:tab w:val="left" w:pos="3037"/>
        </w:tabs>
        <w:ind w:left="3037" w:hanging="420"/>
      </w:pPr>
      <w:rPr>
        <w:rFonts w:hint="eastAsia"/>
      </w:rPr>
    </w:lvl>
    <w:lvl w:ilvl="7" w:tentative="0">
      <w:start w:val="1"/>
      <w:numFmt w:val="lowerLetter"/>
      <w:lvlText w:val="%8)"/>
      <w:lvlJc w:val="left"/>
      <w:pPr>
        <w:tabs>
          <w:tab w:val="left" w:pos="3457"/>
        </w:tabs>
        <w:ind w:left="3457" w:hanging="420"/>
      </w:pPr>
      <w:rPr>
        <w:rFonts w:hint="eastAsia"/>
      </w:rPr>
    </w:lvl>
    <w:lvl w:ilvl="8" w:tentative="0">
      <w:start w:val="1"/>
      <w:numFmt w:val="lowerRoman"/>
      <w:lvlText w:val="%9."/>
      <w:lvlJc w:val="right"/>
      <w:pPr>
        <w:tabs>
          <w:tab w:val="left" w:pos="3877"/>
        </w:tabs>
        <w:ind w:left="3877" w:hanging="420"/>
      </w:pPr>
      <w:rPr>
        <w:rFonts w:hint="eastAsia"/>
      </w:rPr>
    </w:lvl>
  </w:abstractNum>
  <w:abstractNum w:abstractNumId="7">
    <w:nsid w:val="1B44BF0B"/>
    <w:multiLevelType w:val="singleLevel"/>
    <w:tmpl w:val="1B44BF0B"/>
    <w:lvl w:ilvl="0" w:tentative="0">
      <w:start w:val="1"/>
      <w:numFmt w:val="decimal"/>
      <w:suff w:val="nothing"/>
      <w:lvlText w:val="%1．"/>
      <w:lvlJc w:val="left"/>
      <w:pPr>
        <w:ind w:left="0" w:firstLine="400"/>
      </w:pPr>
      <w:rPr>
        <w:rFonts w:hint="default" w:ascii="宋体" w:hAnsi="宋体" w:eastAsia="宋体" w:cs="宋体"/>
        <w:sz w:val="28"/>
        <w:szCs w:val="28"/>
      </w:rPr>
    </w:lvl>
  </w:abstractNum>
  <w:abstractNum w:abstractNumId="8">
    <w:nsid w:val="58160016"/>
    <w:multiLevelType w:val="singleLevel"/>
    <w:tmpl w:val="58160016"/>
    <w:lvl w:ilvl="0" w:tentative="0">
      <w:start w:val="1"/>
      <w:numFmt w:val="decimal"/>
      <w:suff w:val="nothing"/>
      <w:lvlText w:val="%1．"/>
      <w:lvlJc w:val="left"/>
      <w:pPr>
        <w:ind w:left="0" w:firstLine="400"/>
      </w:pPr>
      <w:rPr>
        <w:rFonts w:hint="default"/>
      </w:rPr>
    </w:lvl>
  </w:abstractNum>
  <w:abstractNum w:abstractNumId="9">
    <w:nsid w:val="5DD447EA"/>
    <w:multiLevelType w:val="multilevel"/>
    <w:tmpl w:val="5DD447EA"/>
    <w:lvl w:ilvl="0" w:tentative="0">
      <w:start w:val="1"/>
      <w:numFmt w:val="decimal"/>
      <w:lvlText w:val="%1."/>
      <w:lvlJc w:val="left"/>
      <w:pPr>
        <w:tabs>
          <w:tab w:val="left" w:pos="420"/>
        </w:tabs>
        <w:ind w:left="420" w:hanging="420"/>
      </w:pPr>
      <w:rPr>
        <w:rFonts w:hint="default" w:ascii="Times New Roman" w:hAnsi="Times New Roman" w:cs="Times New Roman"/>
        <w:sz w:val="28"/>
        <w:szCs w:val="28"/>
      </w:rPr>
    </w:lvl>
    <w:lvl w:ilvl="1" w:tentative="0">
      <w:start w:val="1"/>
      <w:numFmt w:val="decimal"/>
      <w:lvlText w:val="%2．"/>
      <w:lvlJc w:val="left"/>
      <w:pPr>
        <w:tabs>
          <w:tab w:val="left" w:pos="780"/>
        </w:tabs>
        <w:ind w:left="780" w:hanging="360"/>
      </w:pPr>
      <w:rPr>
        <w:rFonts w:hint="default"/>
      </w:rPr>
    </w:lvl>
    <w:lvl w:ilvl="2" w:tentative="0">
      <w:start w:val="1"/>
      <w:numFmt w:val="decimal"/>
      <w:lvlText w:val="%3、"/>
      <w:lvlJc w:val="left"/>
      <w:pPr>
        <w:tabs>
          <w:tab w:val="left" w:pos="1560"/>
        </w:tabs>
        <w:ind w:left="1560" w:hanging="720"/>
      </w:pPr>
      <w:rPr>
        <w:rFonts w:hint="default"/>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0">
    <w:nsid w:val="5F47610E"/>
    <w:multiLevelType w:val="singleLevel"/>
    <w:tmpl w:val="5F47610E"/>
    <w:lvl w:ilvl="0" w:tentative="0">
      <w:start w:val="1"/>
      <w:numFmt w:val="decimal"/>
      <w:suff w:val="nothing"/>
      <w:lvlText w:val="%1．"/>
      <w:lvlJc w:val="left"/>
      <w:pPr>
        <w:ind w:left="0" w:firstLine="400"/>
      </w:pPr>
      <w:rPr>
        <w:rFonts w:hint="default" w:ascii="宋体" w:hAnsi="宋体" w:eastAsia="宋体" w:cstheme="minorEastAsia"/>
        <w:sz w:val="28"/>
        <w:szCs w:val="28"/>
      </w:rPr>
    </w:lvl>
  </w:abstractNum>
  <w:abstractNum w:abstractNumId="11">
    <w:nsid w:val="64293BCC"/>
    <w:multiLevelType w:val="multilevel"/>
    <w:tmpl w:val="64293BCC"/>
    <w:lvl w:ilvl="0" w:tentative="0">
      <w:start w:val="1"/>
      <w:numFmt w:val="decimal"/>
      <w:suff w:val="nothing"/>
      <w:lvlText w:val="%1"/>
      <w:lvlJc w:val="left"/>
      <w:pPr>
        <w:ind w:left="0" w:firstLine="0"/>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2">
    <w:nsid w:val="6BE6238A"/>
    <w:multiLevelType w:val="multilevel"/>
    <w:tmpl w:val="6BE6238A"/>
    <w:lvl w:ilvl="0" w:tentative="0">
      <w:start w:val="1"/>
      <w:numFmt w:val="decimal"/>
      <w:suff w:val="nothing"/>
      <w:lvlText w:val="%1"/>
      <w:lvlJc w:val="left"/>
      <w:pPr>
        <w:ind w:left="0" w:firstLine="0"/>
      </w:pPr>
      <w:rPr>
        <w:rFonts w:hint="eastAsia"/>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7"/>
  </w:num>
  <w:num w:numId="2">
    <w:abstractNumId w:val="10"/>
  </w:num>
  <w:num w:numId="3">
    <w:abstractNumId w:val="4"/>
  </w:num>
  <w:num w:numId="4">
    <w:abstractNumId w:val="9"/>
  </w:num>
  <w:num w:numId="5">
    <w:abstractNumId w:val="0"/>
  </w:num>
  <w:num w:numId="6">
    <w:abstractNumId w:val="6"/>
  </w:num>
  <w:num w:numId="7">
    <w:abstractNumId w:val="5"/>
  </w:num>
  <w:num w:numId="8">
    <w:abstractNumId w:val="12"/>
  </w:num>
  <w:num w:numId="9">
    <w:abstractNumId w:val="3"/>
  </w:num>
  <w:num w:numId="10">
    <w:abstractNumId w:val="11"/>
  </w:num>
  <w:num w:numId="11">
    <w:abstractNumId w:val="1"/>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172A27"/>
    <w:rsid w:val="004615F6"/>
    <w:rsid w:val="00557AD6"/>
    <w:rsid w:val="008058AF"/>
    <w:rsid w:val="00977B14"/>
    <w:rsid w:val="00EA058C"/>
    <w:rsid w:val="00F52A8D"/>
    <w:rsid w:val="01307B36"/>
    <w:rsid w:val="01390BCC"/>
    <w:rsid w:val="013E49EB"/>
    <w:rsid w:val="01F84F88"/>
    <w:rsid w:val="01FD42EF"/>
    <w:rsid w:val="021C76E8"/>
    <w:rsid w:val="026305F6"/>
    <w:rsid w:val="026D18C9"/>
    <w:rsid w:val="02F318A5"/>
    <w:rsid w:val="030D282F"/>
    <w:rsid w:val="031E62CB"/>
    <w:rsid w:val="036208AE"/>
    <w:rsid w:val="0399607E"/>
    <w:rsid w:val="043F299D"/>
    <w:rsid w:val="04BF3ADE"/>
    <w:rsid w:val="057E74F5"/>
    <w:rsid w:val="05DE7F94"/>
    <w:rsid w:val="062C7B3B"/>
    <w:rsid w:val="066F6E3E"/>
    <w:rsid w:val="06C21663"/>
    <w:rsid w:val="075B5D40"/>
    <w:rsid w:val="07797F74"/>
    <w:rsid w:val="078A2181"/>
    <w:rsid w:val="07CB31E6"/>
    <w:rsid w:val="07F952C4"/>
    <w:rsid w:val="08171985"/>
    <w:rsid w:val="08574795"/>
    <w:rsid w:val="08597DA5"/>
    <w:rsid w:val="088F5575"/>
    <w:rsid w:val="08B17BE1"/>
    <w:rsid w:val="08D12032"/>
    <w:rsid w:val="08EC29C7"/>
    <w:rsid w:val="0917312A"/>
    <w:rsid w:val="09216B15"/>
    <w:rsid w:val="097A7FD3"/>
    <w:rsid w:val="09905A49"/>
    <w:rsid w:val="0A665FDA"/>
    <w:rsid w:val="0AA62FCB"/>
    <w:rsid w:val="0B060DD8"/>
    <w:rsid w:val="0B1F0CD8"/>
    <w:rsid w:val="0BA8707A"/>
    <w:rsid w:val="0C2A143F"/>
    <w:rsid w:val="0C3C0CD9"/>
    <w:rsid w:val="0C547201"/>
    <w:rsid w:val="0C6236CC"/>
    <w:rsid w:val="0CBE246E"/>
    <w:rsid w:val="0CF14A50"/>
    <w:rsid w:val="0CF626F0"/>
    <w:rsid w:val="0D0F4ED6"/>
    <w:rsid w:val="0D3E26CF"/>
    <w:rsid w:val="0D841421"/>
    <w:rsid w:val="0DA970D9"/>
    <w:rsid w:val="0DAD0977"/>
    <w:rsid w:val="0DC957B2"/>
    <w:rsid w:val="0DD57ECE"/>
    <w:rsid w:val="0E373772"/>
    <w:rsid w:val="0F841BAC"/>
    <w:rsid w:val="10DD5A17"/>
    <w:rsid w:val="11012E9F"/>
    <w:rsid w:val="11292A0B"/>
    <w:rsid w:val="11382FB5"/>
    <w:rsid w:val="11567578"/>
    <w:rsid w:val="118E0AC0"/>
    <w:rsid w:val="11A82B18"/>
    <w:rsid w:val="1210334B"/>
    <w:rsid w:val="124F46F3"/>
    <w:rsid w:val="125A6BF4"/>
    <w:rsid w:val="126F0B5E"/>
    <w:rsid w:val="12777B92"/>
    <w:rsid w:val="129B1208"/>
    <w:rsid w:val="129F29E8"/>
    <w:rsid w:val="129F3029"/>
    <w:rsid w:val="1306399B"/>
    <w:rsid w:val="139E0D62"/>
    <w:rsid w:val="13B93BBD"/>
    <w:rsid w:val="13CE2B9A"/>
    <w:rsid w:val="149363ED"/>
    <w:rsid w:val="149D5E73"/>
    <w:rsid w:val="150B2B6F"/>
    <w:rsid w:val="15152803"/>
    <w:rsid w:val="15916DD0"/>
    <w:rsid w:val="15B62B6C"/>
    <w:rsid w:val="15BB3E4D"/>
    <w:rsid w:val="15F5110D"/>
    <w:rsid w:val="16AD19E8"/>
    <w:rsid w:val="16BD6872"/>
    <w:rsid w:val="1770692D"/>
    <w:rsid w:val="17D17958"/>
    <w:rsid w:val="186B3909"/>
    <w:rsid w:val="18A5219C"/>
    <w:rsid w:val="18BA0FA4"/>
    <w:rsid w:val="18C4126B"/>
    <w:rsid w:val="18CB25F9"/>
    <w:rsid w:val="196B7938"/>
    <w:rsid w:val="19EF4B51"/>
    <w:rsid w:val="1A08459F"/>
    <w:rsid w:val="1A587DDE"/>
    <w:rsid w:val="1A891583"/>
    <w:rsid w:val="1A8E444A"/>
    <w:rsid w:val="1A9A2283"/>
    <w:rsid w:val="1AF17443"/>
    <w:rsid w:val="1B302BE8"/>
    <w:rsid w:val="1B4F7934"/>
    <w:rsid w:val="1B59213E"/>
    <w:rsid w:val="1B7F1479"/>
    <w:rsid w:val="1BDE2644"/>
    <w:rsid w:val="1C6C7C4F"/>
    <w:rsid w:val="1CFB0616"/>
    <w:rsid w:val="1D102CD1"/>
    <w:rsid w:val="1DE5415D"/>
    <w:rsid w:val="1DE877AA"/>
    <w:rsid w:val="1E601A36"/>
    <w:rsid w:val="1E636E30"/>
    <w:rsid w:val="1E6B7089"/>
    <w:rsid w:val="1F176598"/>
    <w:rsid w:val="1F8B2AE2"/>
    <w:rsid w:val="1F973235"/>
    <w:rsid w:val="1FCD0CAE"/>
    <w:rsid w:val="204D1B46"/>
    <w:rsid w:val="222114DC"/>
    <w:rsid w:val="22572F61"/>
    <w:rsid w:val="22E22A19"/>
    <w:rsid w:val="23546987"/>
    <w:rsid w:val="23D9206E"/>
    <w:rsid w:val="24852F89"/>
    <w:rsid w:val="25396B3D"/>
    <w:rsid w:val="253F23A5"/>
    <w:rsid w:val="25551BC9"/>
    <w:rsid w:val="257F27A2"/>
    <w:rsid w:val="258437D0"/>
    <w:rsid w:val="2584425C"/>
    <w:rsid w:val="258A1146"/>
    <w:rsid w:val="25951FC5"/>
    <w:rsid w:val="25EB42DB"/>
    <w:rsid w:val="26622A21"/>
    <w:rsid w:val="267F67D1"/>
    <w:rsid w:val="26E22EBB"/>
    <w:rsid w:val="272A498F"/>
    <w:rsid w:val="274E4B21"/>
    <w:rsid w:val="277D71B5"/>
    <w:rsid w:val="2780282B"/>
    <w:rsid w:val="27B506FD"/>
    <w:rsid w:val="27D16514"/>
    <w:rsid w:val="281A6B8D"/>
    <w:rsid w:val="28B906C0"/>
    <w:rsid w:val="28FC56D6"/>
    <w:rsid w:val="295757E3"/>
    <w:rsid w:val="29B843B4"/>
    <w:rsid w:val="29DA08EE"/>
    <w:rsid w:val="2A571F3F"/>
    <w:rsid w:val="2A832D34"/>
    <w:rsid w:val="2AE9690F"/>
    <w:rsid w:val="2B7D7783"/>
    <w:rsid w:val="2BB4516F"/>
    <w:rsid w:val="2BDB6BA0"/>
    <w:rsid w:val="2C02412C"/>
    <w:rsid w:val="2C1F5C2D"/>
    <w:rsid w:val="2C567FD4"/>
    <w:rsid w:val="2C7F577D"/>
    <w:rsid w:val="2DD32161"/>
    <w:rsid w:val="2E4C78E1"/>
    <w:rsid w:val="2E7110F5"/>
    <w:rsid w:val="2EAB35E9"/>
    <w:rsid w:val="2F52229C"/>
    <w:rsid w:val="2F882B9B"/>
    <w:rsid w:val="308E5F8F"/>
    <w:rsid w:val="30A10AD0"/>
    <w:rsid w:val="30FF7C03"/>
    <w:rsid w:val="310444A3"/>
    <w:rsid w:val="31501496"/>
    <w:rsid w:val="31804A78"/>
    <w:rsid w:val="3193376C"/>
    <w:rsid w:val="32087FC3"/>
    <w:rsid w:val="32285F6F"/>
    <w:rsid w:val="327D275F"/>
    <w:rsid w:val="328C29A2"/>
    <w:rsid w:val="32C77B0E"/>
    <w:rsid w:val="33574D5E"/>
    <w:rsid w:val="33820877"/>
    <w:rsid w:val="33CA08A1"/>
    <w:rsid w:val="33FE24D0"/>
    <w:rsid w:val="34203A14"/>
    <w:rsid w:val="343E7CCC"/>
    <w:rsid w:val="34533777"/>
    <w:rsid w:val="350121BB"/>
    <w:rsid w:val="35A4250B"/>
    <w:rsid w:val="35D97CAC"/>
    <w:rsid w:val="35EF74CF"/>
    <w:rsid w:val="35F44AE6"/>
    <w:rsid w:val="36277F21"/>
    <w:rsid w:val="36FF3742"/>
    <w:rsid w:val="37C56452"/>
    <w:rsid w:val="37C624B2"/>
    <w:rsid w:val="37FA215C"/>
    <w:rsid w:val="380F3E59"/>
    <w:rsid w:val="382A599F"/>
    <w:rsid w:val="384358B1"/>
    <w:rsid w:val="393873DF"/>
    <w:rsid w:val="39581830"/>
    <w:rsid w:val="39D0586A"/>
    <w:rsid w:val="3A2160C5"/>
    <w:rsid w:val="3A4A1178"/>
    <w:rsid w:val="3AA0523C"/>
    <w:rsid w:val="3AAF1923"/>
    <w:rsid w:val="3AB94550"/>
    <w:rsid w:val="3AF235BE"/>
    <w:rsid w:val="3B4D1D67"/>
    <w:rsid w:val="3B4E14F1"/>
    <w:rsid w:val="3BEB24E7"/>
    <w:rsid w:val="3C1A101E"/>
    <w:rsid w:val="3C485B8B"/>
    <w:rsid w:val="3DD35929"/>
    <w:rsid w:val="3DDC47DD"/>
    <w:rsid w:val="3E1F46CA"/>
    <w:rsid w:val="3E4B4E68"/>
    <w:rsid w:val="3E4E3201"/>
    <w:rsid w:val="3E9121E4"/>
    <w:rsid w:val="3ED62C86"/>
    <w:rsid w:val="3F27799F"/>
    <w:rsid w:val="3F9F3D14"/>
    <w:rsid w:val="3FAA090B"/>
    <w:rsid w:val="3FD31C10"/>
    <w:rsid w:val="3FD61700"/>
    <w:rsid w:val="40A84E4B"/>
    <w:rsid w:val="411918A4"/>
    <w:rsid w:val="41D81760"/>
    <w:rsid w:val="42034F6B"/>
    <w:rsid w:val="42770F78"/>
    <w:rsid w:val="427D1638"/>
    <w:rsid w:val="42CA4AC4"/>
    <w:rsid w:val="42D812EB"/>
    <w:rsid w:val="434D333C"/>
    <w:rsid w:val="438831B3"/>
    <w:rsid w:val="43996CCD"/>
    <w:rsid w:val="43D451DF"/>
    <w:rsid w:val="442A5B77"/>
    <w:rsid w:val="4473751E"/>
    <w:rsid w:val="44A21BB1"/>
    <w:rsid w:val="44B67678"/>
    <w:rsid w:val="45036AF3"/>
    <w:rsid w:val="454E2BF1"/>
    <w:rsid w:val="45B72C10"/>
    <w:rsid w:val="46236D21"/>
    <w:rsid w:val="46317690"/>
    <w:rsid w:val="46333408"/>
    <w:rsid w:val="46722AEC"/>
    <w:rsid w:val="46750719"/>
    <w:rsid w:val="46E93AC7"/>
    <w:rsid w:val="46F56910"/>
    <w:rsid w:val="47065BC0"/>
    <w:rsid w:val="470E79D1"/>
    <w:rsid w:val="471274C2"/>
    <w:rsid w:val="473E2065"/>
    <w:rsid w:val="47B62FF4"/>
    <w:rsid w:val="47CD6D4D"/>
    <w:rsid w:val="47D06A35"/>
    <w:rsid w:val="47E63590"/>
    <w:rsid w:val="48455675"/>
    <w:rsid w:val="48587156"/>
    <w:rsid w:val="48621D83"/>
    <w:rsid w:val="48C742DC"/>
    <w:rsid w:val="49974E90"/>
    <w:rsid w:val="49BA37A8"/>
    <w:rsid w:val="49F20EE5"/>
    <w:rsid w:val="49FE3D2D"/>
    <w:rsid w:val="4A5E3AB1"/>
    <w:rsid w:val="4A965D14"/>
    <w:rsid w:val="4A995804"/>
    <w:rsid w:val="4B2477C4"/>
    <w:rsid w:val="4B50680B"/>
    <w:rsid w:val="4B771FE9"/>
    <w:rsid w:val="4BBC17AA"/>
    <w:rsid w:val="4CF80F08"/>
    <w:rsid w:val="4D2770F7"/>
    <w:rsid w:val="4D326C0A"/>
    <w:rsid w:val="4D4C4DB0"/>
    <w:rsid w:val="4D5325E2"/>
    <w:rsid w:val="4DCF7EBB"/>
    <w:rsid w:val="4E6A373F"/>
    <w:rsid w:val="4F7F146C"/>
    <w:rsid w:val="50D157DE"/>
    <w:rsid w:val="51714DE5"/>
    <w:rsid w:val="51D83E65"/>
    <w:rsid w:val="52330C8E"/>
    <w:rsid w:val="52972F71"/>
    <w:rsid w:val="52EF3DF8"/>
    <w:rsid w:val="52EF6909"/>
    <w:rsid w:val="5325232B"/>
    <w:rsid w:val="53DB6F19"/>
    <w:rsid w:val="53E27730"/>
    <w:rsid w:val="542645AC"/>
    <w:rsid w:val="54884EDD"/>
    <w:rsid w:val="5495528E"/>
    <w:rsid w:val="54CB0CB0"/>
    <w:rsid w:val="54F16968"/>
    <w:rsid w:val="55110DB9"/>
    <w:rsid w:val="55371802"/>
    <w:rsid w:val="55B77639"/>
    <w:rsid w:val="55D15645"/>
    <w:rsid w:val="55D63DB0"/>
    <w:rsid w:val="560C7C45"/>
    <w:rsid w:val="564A3F4D"/>
    <w:rsid w:val="56535401"/>
    <w:rsid w:val="56AF17FC"/>
    <w:rsid w:val="56F84EEE"/>
    <w:rsid w:val="57A60DD0"/>
    <w:rsid w:val="57EC0DF5"/>
    <w:rsid w:val="57FF139C"/>
    <w:rsid w:val="58591489"/>
    <w:rsid w:val="587B49A6"/>
    <w:rsid w:val="58BF6D7E"/>
    <w:rsid w:val="58D81BED"/>
    <w:rsid w:val="58FF717A"/>
    <w:rsid w:val="59301A29"/>
    <w:rsid w:val="594A0B22"/>
    <w:rsid w:val="594C6863"/>
    <w:rsid w:val="5A3A490E"/>
    <w:rsid w:val="5B062A42"/>
    <w:rsid w:val="5B4A6DD2"/>
    <w:rsid w:val="5BD20B76"/>
    <w:rsid w:val="5BD7618C"/>
    <w:rsid w:val="5BE10DB9"/>
    <w:rsid w:val="5C1E6167"/>
    <w:rsid w:val="5C6E6AF1"/>
    <w:rsid w:val="5C8C6810"/>
    <w:rsid w:val="5CB65CF2"/>
    <w:rsid w:val="5D600B2F"/>
    <w:rsid w:val="5DBE2757"/>
    <w:rsid w:val="5E766130"/>
    <w:rsid w:val="5F30008D"/>
    <w:rsid w:val="5FB041E9"/>
    <w:rsid w:val="5FFF0712"/>
    <w:rsid w:val="60235E44"/>
    <w:rsid w:val="603242D9"/>
    <w:rsid w:val="608F0407"/>
    <w:rsid w:val="609615E6"/>
    <w:rsid w:val="61087543"/>
    <w:rsid w:val="61271964"/>
    <w:rsid w:val="61F555BE"/>
    <w:rsid w:val="62061579"/>
    <w:rsid w:val="623E51B7"/>
    <w:rsid w:val="62742987"/>
    <w:rsid w:val="629E7A04"/>
    <w:rsid w:val="63193A32"/>
    <w:rsid w:val="632048BD"/>
    <w:rsid w:val="63D25BB7"/>
    <w:rsid w:val="64BE438D"/>
    <w:rsid w:val="652A08E5"/>
    <w:rsid w:val="654C1999"/>
    <w:rsid w:val="65817895"/>
    <w:rsid w:val="65A74E21"/>
    <w:rsid w:val="65F00576"/>
    <w:rsid w:val="666F1DE3"/>
    <w:rsid w:val="668802AE"/>
    <w:rsid w:val="669B4986"/>
    <w:rsid w:val="66C11F13"/>
    <w:rsid w:val="66EA1469"/>
    <w:rsid w:val="66EF24F5"/>
    <w:rsid w:val="672229B1"/>
    <w:rsid w:val="67430B73"/>
    <w:rsid w:val="675E59B4"/>
    <w:rsid w:val="67991C5A"/>
    <w:rsid w:val="684B5F38"/>
    <w:rsid w:val="68915F2A"/>
    <w:rsid w:val="68E36170"/>
    <w:rsid w:val="69216C99"/>
    <w:rsid w:val="696B2DB0"/>
    <w:rsid w:val="69821E2D"/>
    <w:rsid w:val="69E71F70"/>
    <w:rsid w:val="69F30635"/>
    <w:rsid w:val="6AD246EE"/>
    <w:rsid w:val="6ADC731B"/>
    <w:rsid w:val="6BC04E8F"/>
    <w:rsid w:val="6BC229B5"/>
    <w:rsid w:val="6BC77FCB"/>
    <w:rsid w:val="6BE566A3"/>
    <w:rsid w:val="6C3F7B62"/>
    <w:rsid w:val="6C5C0714"/>
    <w:rsid w:val="6C700663"/>
    <w:rsid w:val="6CC87B57"/>
    <w:rsid w:val="6CEE46A5"/>
    <w:rsid w:val="6D8A7502"/>
    <w:rsid w:val="6D8D0DA1"/>
    <w:rsid w:val="6DE52B8F"/>
    <w:rsid w:val="6E1A6AD8"/>
    <w:rsid w:val="6E42746F"/>
    <w:rsid w:val="6E5D0773"/>
    <w:rsid w:val="6F685621"/>
    <w:rsid w:val="6F6A75EB"/>
    <w:rsid w:val="6FA9351D"/>
    <w:rsid w:val="71125845"/>
    <w:rsid w:val="71D30A5A"/>
    <w:rsid w:val="71D469C8"/>
    <w:rsid w:val="72BF1310"/>
    <w:rsid w:val="733F1239"/>
    <w:rsid w:val="7407365B"/>
    <w:rsid w:val="74730CF0"/>
    <w:rsid w:val="74AA4CE6"/>
    <w:rsid w:val="74DD260E"/>
    <w:rsid w:val="74DF3C86"/>
    <w:rsid w:val="750870CF"/>
    <w:rsid w:val="750D2EF3"/>
    <w:rsid w:val="755328D0"/>
    <w:rsid w:val="755B17B7"/>
    <w:rsid w:val="757C1E26"/>
    <w:rsid w:val="75880FDA"/>
    <w:rsid w:val="759A405B"/>
    <w:rsid w:val="76714D02"/>
    <w:rsid w:val="76C27D0D"/>
    <w:rsid w:val="76E5121D"/>
    <w:rsid w:val="7735228D"/>
    <w:rsid w:val="77543600"/>
    <w:rsid w:val="77974CF6"/>
    <w:rsid w:val="779F77C8"/>
    <w:rsid w:val="77AD276B"/>
    <w:rsid w:val="77C005B0"/>
    <w:rsid w:val="77CC6C00"/>
    <w:rsid w:val="780332D0"/>
    <w:rsid w:val="78680440"/>
    <w:rsid w:val="78D7409D"/>
    <w:rsid w:val="78FE2B52"/>
    <w:rsid w:val="79091C23"/>
    <w:rsid w:val="79646E59"/>
    <w:rsid w:val="79885EBA"/>
    <w:rsid w:val="79C142AC"/>
    <w:rsid w:val="79F30795"/>
    <w:rsid w:val="7A291341"/>
    <w:rsid w:val="7A7867EF"/>
    <w:rsid w:val="7ACD6C80"/>
    <w:rsid w:val="7AFE32DE"/>
    <w:rsid w:val="7AFE508C"/>
    <w:rsid w:val="7BA619AB"/>
    <w:rsid w:val="7BCE579E"/>
    <w:rsid w:val="7BFD5489"/>
    <w:rsid w:val="7C2E374F"/>
    <w:rsid w:val="7C58175D"/>
    <w:rsid w:val="7CAD6D69"/>
    <w:rsid w:val="7CB400F8"/>
    <w:rsid w:val="7CF90201"/>
    <w:rsid w:val="7D20753B"/>
    <w:rsid w:val="7D697134"/>
    <w:rsid w:val="7DAD2FE1"/>
    <w:rsid w:val="7E002EC9"/>
    <w:rsid w:val="7E301A00"/>
    <w:rsid w:val="7E660BD9"/>
    <w:rsid w:val="7E6671D0"/>
    <w:rsid w:val="7EA877E8"/>
    <w:rsid w:val="7EB50157"/>
    <w:rsid w:val="7EC63A9C"/>
    <w:rsid w:val="7EEC09D3"/>
    <w:rsid w:val="7F1107B0"/>
    <w:rsid w:val="7F517E80"/>
    <w:rsid w:val="7F8A5140"/>
    <w:rsid w:val="7F8F27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Times New Roman" w:eastAsia="宋体" w:cs="Times New Roman"/>
      <w:sz w:val="24"/>
      <w:lang w:val="en-US" w:eastAsia="zh-CN" w:bidi="ar-SA"/>
    </w:rPr>
  </w:style>
  <w:style w:type="paragraph" w:styleId="2">
    <w:name w:val="heading 1"/>
    <w:basedOn w:val="1"/>
    <w:next w:val="1"/>
    <w:qFormat/>
    <w:uiPriority w:val="0"/>
    <w:pPr>
      <w:keepNext/>
      <w:keepLines/>
      <w:snapToGrid w:val="0"/>
      <w:spacing w:beforeLines="50" w:afterLines="50" w:line="520" w:lineRule="exact"/>
      <w:jc w:val="center"/>
      <w:outlineLvl w:val="0"/>
    </w:pPr>
    <w:rPr>
      <w:rFonts w:ascii="黑体" w:hAnsi="黑体" w:eastAsia="黑体"/>
      <w:b/>
      <w:bCs/>
      <w:kern w:val="44"/>
      <w:sz w:val="36"/>
      <w:szCs w:val="36"/>
    </w:rPr>
  </w:style>
  <w:style w:type="paragraph" w:styleId="3">
    <w:name w:val="heading 2"/>
    <w:basedOn w:val="1"/>
    <w:next w:val="1"/>
    <w:qFormat/>
    <w:uiPriority w:val="0"/>
    <w:pPr>
      <w:keepNext/>
      <w:keepLines/>
      <w:spacing w:before="260" w:after="260" w:line="415" w:lineRule="auto"/>
      <w:jc w:val="left"/>
      <w:outlineLvl w:val="1"/>
    </w:pPr>
    <w:rPr>
      <w:rFonts w:ascii="Arial" w:hAnsi="Arial"/>
      <w:b/>
      <w:bCs/>
      <w:kern w:val="2"/>
      <w:sz w:val="32"/>
      <w:szCs w:val="32"/>
    </w:rPr>
  </w:style>
  <w:style w:type="paragraph" w:styleId="4">
    <w:name w:val="heading 3"/>
    <w:basedOn w:val="1"/>
    <w:next w:val="1"/>
    <w:qFormat/>
    <w:uiPriority w:val="0"/>
    <w:pPr>
      <w:keepNext/>
      <w:keepLines/>
      <w:spacing w:before="260" w:after="260" w:line="360" w:lineRule="auto"/>
      <w:ind w:leftChars="200"/>
      <w:jc w:val="left"/>
      <w:outlineLvl w:val="2"/>
    </w:pPr>
    <w:rPr>
      <w:b/>
      <w:bCs/>
      <w:kern w:val="2"/>
      <w:sz w:val="30"/>
      <w:szCs w:val="32"/>
    </w:rPr>
  </w:style>
  <w:style w:type="paragraph" w:styleId="5">
    <w:name w:val="heading 4"/>
    <w:basedOn w:val="1"/>
    <w:next w:val="1"/>
    <w:qFormat/>
    <w:uiPriority w:val="0"/>
    <w:pPr>
      <w:snapToGrid w:val="0"/>
      <w:spacing w:line="360" w:lineRule="auto"/>
      <w:jc w:val="left"/>
      <w:outlineLvl w:val="3"/>
    </w:pPr>
    <w:rPr>
      <w:rFonts w:ascii="黑体" w:hAnsi="黑体" w:eastAsia="黑体"/>
      <w:b/>
      <w:bCs/>
      <w:kern w:val="2"/>
      <w:sz w:val="28"/>
      <w:szCs w:val="28"/>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snapToGrid w:val="0"/>
      <w:spacing w:line="360" w:lineRule="auto"/>
      <w:ind w:firstLine="420" w:firstLineChars="200"/>
    </w:pPr>
    <w:rPr>
      <w:rFonts w:ascii="Times New Roman" w:hAnsi="Times New Roman" w:eastAsia="宋体" w:cs="Times New Roman"/>
      <w:sz w:val="28"/>
      <w:szCs w:val="28"/>
    </w:rPr>
  </w:style>
  <w:style w:type="paragraph" w:styleId="7">
    <w:name w:val="caption"/>
    <w:basedOn w:val="1"/>
    <w:next w:val="1"/>
    <w:qFormat/>
    <w:uiPriority w:val="0"/>
    <w:rPr>
      <w:rFonts w:ascii="Arial" w:hAnsi="Arial" w:eastAsia="黑体" w:cs="Arial"/>
      <w:sz w:val="15"/>
    </w:rPr>
  </w:style>
  <w:style w:type="paragraph" w:styleId="8">
    <w:name w:val="Document Map"/>
    <w:basedOn w:val="1"/>
    <w:semiHidden/>
    <w:qFormat/>
    <w:uiPriority w:val="0"/>
    <w:pPr>
      <w:shd w:val="clear" w:color="auto" w:fill="000080"/>
    </w:pPr>
  </w:style>
  <w:style w:type="paragraph" w:styleId="9">
    <w:name w:val="annotation text"/>
    <w:basedOn w:val="1"/>
    <w:semiHidden/>
    <w:qFormat/>
    <w:uiPriority w:val="0"/>
    <w:pPr>
      <w:jc w:val="left"/>
    </w:pPr>
  </w:style>
  <w:style w:type="paragraph" w:styleId="10">
    <w:name w:val="Body Text"/>
    <w:basedOn w:val="1"/>
    <w:semiHidden/>
    <w:qFormat/>
    <w:uiPriority w:val="0"/>
    <w:rPr>
      <w:rFonts w:ascii="Arial" w:hAnsi="Arial" w:eastAsia="Arial" w:cs="Arial"/>
      <w:sz w:val="21"/>
      <w:szCs w:val="21"/>
      <w:lang w:val="en-US" w:eastAsia="en-US" w:bidi="ar-SA"/>
    </w:rPr>
  </w:style>
  <w:style w:type="paragraph" w:styleId="11">
    <w:name w:val="Body Text Indent"/>
    <w:basedOn w:val="1"/>
    <w:qFormat/>
    <w:uiPriority w:val="0"/>
    <w:pPr>
      <w:ind w:left="420" w:leftChars="200"/>
    </w:pPr>
  </w:style>
  <w:style w:type="paragraph" w:styleId="12">
    <w:name w:val="toc 3"/>
    <w:basedOn w:val="1"/>
    <w:next w:val="1"/>
    <w:qFormat/>
    <w:uiPriority w:val="0"/>
    <w:pPr>
      <w:ind w:left="840" w:leftChars="400"/>
    </w:pPr>
  </w:style>
  <w:style w:type="paragraph" w:styleId="13">
    <w:name w:val="Plain Text"/>
    <w:basedOn w:val="1"/>
    <w:qFormat/>
    <w:uiPriority w:val="0"/>
    <w:rPr>
      <w:rFonts w:ascii="宋体" w:hAnsi="Consolas"/>
      <w:szCs w:val="21"/>
    </w:rPr>
  </w:style>
  <w:style w:type="paragraph" w:styleId="14">
    <w:name w:val="Body Text Indent 2"/>
    <w:basedOn w:val="1"/>
    <w:qFormat/>
    <w:uiPriority w:val="0"/>
    <w:pPr>
      <w:spacing w:after="120" w:line="480" w:lineRule="auto"/>
      <w:ind w:left="420" w:leftChars="200"/>
    </w:pPr>
  </w:style>
  <w:style w:type="paragraph" w:styleId="15">
    <w:name w:val="footer"/>
    <w:basedOn w:val="1"/>
    <w:qFormat/>
    <w:uiPriority w:val="0"/>
    <w:pPr>
      <w:tabs>
        <w:tab w:val="center" w:pos="4153"/>
        <w:tab w:val="right" w:pos="8306"/>
      </w:tabs>
      <w:snapToGrid w:val="0"/>
      <w:jc w:val="left"/>
    </w:pPr>
    <w:rPr>
      <w:sz w:val="18"/>
      <w:szCs w:val="18"/>
    </w:rPr>
  </w:style>
  <w:style w:type="paragraph" w:styleId="16">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0"/>
  </w:style>
  <w:style w:type="paragraph" w:styleId="18">
    <w:name w:val="index heading"/>
    <w:basedOn w:val="1"/>
    <w:next w:val="19"/>
    <w:qFormat/>
    <w:uiPriority w:val="0"/>
  </w:style>
  <w:style w:type="paragraph" w:styleId="19">
    <w:name w:val="index 1"/>
    <w:basedOn w:val="1"/>
    <w:next w:val="1"/>
    <w:qFormat/>
    <w:uiPriority w:val="0"/>
  </w:style>
  <w:style w:type="paragraph" w:styleId="20">
    <w:name w:val="toc 2"/>
    <w:basedOn w:val="1"/>
    <w:next w:val="1"/>
    <w:qFormat/>
    <w:uiPriority w:val="0"/>
    <w:pPr>
      <w:ind w:left="420" w:leftChars="200"/>
    </w:pPr>
  </w:style>
  <w:style w:type="paragraph" w:styleId="21">
    <w:name w:val="Normal (Web)"/>
    <w:basedOn w:val="1"/>
    <w:qFormat/>
    <w:uiPriority w:val="0"/>
    <w:pPr>
      <w:widowControl/>
      <w:spacing w:before="100" w:beforeAutospacing="1" w:after="100" w:afterAutospacing="1"/>
      <w:jc w:val="left"/>
    </w:pPr>
    <w:rPr>
      <w:rFonts w:ascii="宋体" w:hAnsi="宋体"/>
      <w:kern w:val="0"/>
      <w:sz w:val="24"/>
    </w:rPr>
  </w:style>
  <w:style w:type="paragraph" w:styleId="22">
    <w:name w:val="Body Text First Indent"/>
    <w:basedOn w:val="1"/>
    <w:next w:val="1"/>
    <w:qFormat/>
    <w:uiPriority w:val="0"/>
    <w:pPr>
      <w:ind w:firstLine="420" w:firstLineChars="100"/>
    </w:pPr>
  </w:style>
  <w:style w:type="paragraph" w:styleId="23">
    <w:name w:val="Body Text First Indent 2"/>
    <w:basedOn w:val="11"/>
    <w:qFormat/>
    <w:uiPriority w:val="0"/>
    <w:pPr>
      <w:ind w:left="0" w:leftChars="0" w:firstLine="420"/>
    </w:pPr>
    <w:rPr>
      <w:rFonts w:ascii="宋体" w:hAnsi="宋体" w:cs="宋体"/>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rPr>
      <w:b/>
    </w:rPr>
  </w:style>
  <w:style w:type="character" w:styleId="28">
    <w:name w:val="page number"/>
    <w:basedOn w:val="26"/>
    <w:qFormat/>
    <w:uiPriority w:val="0"/>
  </w:style>
  <w:style w:type="paragraph" w:customStyle="1" w:styleId="29">
    <w:name w:val="默认段落字体 Para Char Char Char Char Char Char Char Char Char1 Char Char Char Char Char Char Char"/>
    <w:basedOn w:val="8"/>
    <w:qFormat/>
    <w:uiPriority w:val="0"/>
    <w:pPr>
      <w:snapToGrid w:val="0"/>
    </w:pPr>
    <w:rPr>
      <w:rFonts w:ascii="Times New Roman"/>
      <w:kern w:val="2"/>
      <w:sz w:val="21"/>
      <w:szCs w:val="24"/>
      <w:shd w:val="clear" w:color="auto" w:fill="000080"/>
    </w:rPr>
  </w:style>
  <w:style w:type="paragraph" w:customStyle="1" w:styleId="30">
    <w:name w:val="表格"/>
    <w:basedOn w:val="31"/>
    <w:qFormat/>
    <w:uiPriority w:val="0"/>
    <w:pPr>
      <w:jc w:val="center"/>
    </w:pPr>
    <w:rPr>
      <w:rFonts w:ascii="宋体" w:hAnsi="Calibri"/>
    </w:rPr>
  </w:style>
  <w:style w:type="paragraph" w:customStyle="1" w:styleId="31">
    <w:name w:val="表格标题"/>
    <w:basedOn w:val="1"/>
    <w:autoRedefine/>
    <w:qFormat/>
    <w:uiPriority w:val="0"/>
    <w:pPr>
      <w:keepNext/>
      <w:widowControl/>
      <w:overflowPunct w:val="0"/>
      <w:adjustRightInd w:val="0"/>
      <w:snapToGrid w:val="0"/>
      <w:spacing w:line="480" w:lineRule="exact"/>
      <w:jc w:val="center"/>
      <w:textAlignment w:val="baseline"/>
    </w:pPr>
    <w:rPr>
      <w:rFonts w:ascii="Arial" w:hAnsi="Arial" w:eastAsia="黑体"/>
    </w:rPr>
  </w:style>
  <w:style w:type="paragraph" w:customStyle="1" w:styleId="32">
    <w:name w:val="Table Text"/>
    <w:basedOn w:val="1"/>
    <w:semiHidden/>
    <w:qFormat/>
    <w:uiPriority w:val="0"/>
    <w:rPr>
      <w:rFonts w:ascii="宋体" w:hAnsi="宋体" w:eastAsia="宋体" w:cs="宋体"/>
      <w:sz w:val="24"/>
      <w:szCs w:val="24"/>
      <w:lang w:val="en-US" w:eastAsia="en-US" w:bidi="ar-SA"/>
    </w:rPr>
  </w:style>
  <w:style w:type="table" w:customStyle="1" w:styleId="33">
    <w:name w:val="Table Normal"/>
    <w:semiHidden/>
    <w:unhideWhenUsed/>
    <w:qFormat/>
    <w:uiPriority w:val="0"/>
    <w:tblPr>
      <w:tblCellMar>
        <w:top w:w="0" w:type="dxa"/>
        <w:left w:w="0" w:type="dxa"/>
        <w:bottom w:w="0" w:type="dxa"/>
        <w:right w:w="0" w:type="dxa"/>
      </w:tblCellMar>
    </w:tblPr>
  </w:style>
  <w:style w:type="paragraph" w:customStyle="1" w:styleId="34">
    <w:name w:val="Default"/>
    <w:basedOn w:val="35"/>
    <w:qFormat/>
    <w:uiPriority w:val="0"/>
    <w:pPr>
      <w:widowControl w:val="0"/>
      <w:autoSpaceDE w:val="0"/>
      <w:autoSpaceDN w:val="0"/>
      <w:adjustRightInd w:val="0"/>
    </w:pPr>
    <w:rPr>
      <w:rFonts w:hint="eastAsia" w:ascii="宋体" w:hAnsi="宋体" w:eastAsia="宋体" w:cs="Times New Roman"/>
      <w:color w:val="000000"/>
      <w:sz w:val="24"/>
      <w:lang w:val="en-US" w:eastAsia="zh-CN" w:bidi="ar-SA"/>
    </w:rPr>
  </w:style>
  <w:style w:type="paragraph" w:customStyle="1" w:styleId="35">
    <w:name w:val="纯文本1"/>
    <w:basedOn w:val="1"/>
    <w:qFormat/>
    <w:uiPriority w:val="0"/>
    <w:pPr>
      <w:adjustRightInd w:val="0"/>
    </w:pPr>
    <w:rPr>
      <w:rFonts w:hAnsi="Courier New"/>
    </w:rPr>
  </w:style>
  <w:style w:type="paragraph" w:customStyle="1" w:styleId="36">
    <w:name w:val="WPSOffice手动目录 1"/>
    <w:qFormat/>
    <w:uiPriority w:val="0"/>
    <w:pPr>
      <w:ind w:leftChars="0"/>
    </w:pPr>
    <w:rPr>
      <w:rFonts w:ascii="Times New Roman" w:hAnsi="Times New Roman" w:eastAsia="宋体" w:cs="Times New Roman"/>
      <w:sz w:val="20"/>
      <w:szCs w:val="20"/>
    </w:rPr>
  </w:style>
  <w:style w:type="paragraph" w:customStyle="1" w:styleId="37">
    <w:name w:val="WPSOffice手动目录 2"/>
    <w:qFormat/>
    <w:uiPriority w:val="0"/>
    <w:pPr>
      <w:ind w:leftChars="200"/>
    </w:pPr>
    <w:rPr>
      <w:rFonts w:ascii="Times New Roman" w:hAnsi="Times New Roman" w:eastAsia="宋体" w:cs="Times New Roman"/>
      <w:sz w:val="20"/>
      <w:szCs w:val="20"/>
    </w:rPr>
  </w:style>
  <w:style w:type="paragraph" w:customStyle="1" w:styleId="38">
    <w:name w:val="WPSOffice手动目录 3"/>
    <w:qFormat/>
    <w:uiPriority w:val="0"/>
    <w:pPr>
      <w:ind w:leftChars="400"/>
    </w:pPr>
    <w:rPr>
      <w:rFonts w:ascii="Times New Roman" w:hAnsi="Times New Roman" w:eastAsia="宋体" w:cs="Times New Roman"/>
      <w:sz w:val="20"/>
      <w:szCs w:val="20"/>
    </w:rPr>
  </w:style>
  <w:style w:type="paragraph" w:styleId="39">
    <w:name w:val="List Paragraph"/>
    <w:basedOn w:val="1"/>
    <w:unhideWhenUsed/>
    <w:qFormat/>
    <w:uiPriority w:val="99"/>
    <w:pPr>
      <w:ind w:firstLine="420" w:firstLineChars="200"/>
    </w:pPr>
  </w:style>
  <w:style w:type="paragraph" w:customStyle="1" w:styleId="40">
    <w:name w:val="中文报告书"/>
    <w:basedOn w:val="1"/>
    <w:autoRedefine/>
    <w:qFormat/>
    <w:uiPriority w:val="0"/>
    <w:pPr>
      <w:adjustRightInd w:val="0"/>
      <w:spacing w:after="80" w:line="420" w:lineRule="atLeast"/>
      <w:jc w:val="left"/>
      <w:textAlignment w:val="baseline"/>
    </w:pPr>
    <w:rPr>
      <w:rFonts w:ascii="Times New Roman"/>
      <w:kern w:val="2"/>
    </w:rPr>
  </w:style>
  <w:style w:type="character" w:customStyle="1" w:styleId="41">
    <w:name w:val="正文6"/>
    <w:autoRedefine/>
    <w:qFormat/>
    <w:uiPriority w:val="0"/>
    <w:rPr>
      <w:rFonts w:ascii="Times New Roman" w:hAnsi="Times New Roman" w:eastAsia="宋体"/>
      <w:spacing w:val="0"/>
      <w:w w:val="100"/>
      <w:position w:val="0"/>
      <w:sz w:val="28"/>
      <w:szCs w:val="28"/>
    </w:rPr>
  </w:style>
  <w:style w:type="paragraph" w:customStyle="1" w:styleId="42">
    <w:name w:val="正文2"/>
    <w:basedOn w:val="1"/>
    <w:autoRedefine/>
    <w:qFormat/>
    <w:uiPriority w:val="0"/>
    <w:pPr>
      <w:spacing w:line="500" w:lineRule="exact"/>
      <w:ind w:firstLine="560" w:firstLineChars="200"/>
    </w:pPr>
    <w:rPr>
      <w:rFonts w:cs="宋体"/>
      <w:kern w:val="2"/>
      <w:sz w:val="28"/>
      <w:szCs w:val="28"/>
    </w:rPr>
  </w:style>
  <w:style w:type="paragraph" w:customStyle="1" w:styleId="43">
    <w:name w:val="Table Paragraph"/>
    <w:basedOn w:val="1"/>
    <w:qFormat/>
    <w:uiPriority w:val="1"/>
    <w:pPr>
      <w:jc w:val="left"/>
    </w:pPr>
    <w:rPr>
      <w:rFonts w:ascii="Calibri" w:hAnsi="Calibri" w:eastAsia="宋体" w:cs="Times New Roman"/>
      <w:kern w:val="0"/>
      <w:sz w:val="22"/>
      <w:szCs w:val="22"/>
      <w:lang w:eastAsia="en-US"/>
    </w:rPr>
  </w:style>
  <w:style w:type="paragraph" w:customStyle="1" w:styleId="44">
    <w:name w:val="表格1"/>
    <w:autoRedefine/>
    <w:qFormat/>
    <w:uiPriority w:val="0"/>
    <w:pPr>
      <w:adjustRightInd w:val="0"/>
      <w:spacing w:line="360" w:lineRule="auto"/>
      <w:jc w:val="center"/>
      <w:textAlignment w:val="center"/>
    </w:pPr>
    <w:rPr>
      <w:rFonts w:ascii="Times New Roman" w:hAnsi="Times New Roman" w:eastAsia="宋体" w:cs="Times New Roman"/>
      <w:sz w:val="21"/>
      <w:lang w:val="en-US" w:eastAsia="zh-CN" w:bidi="ar-SA"/>
    </w:rPr>
  </w:style>
  <w:style w:type="paragraph" w:customStyle="1" w:styleId="45">
    <w:name w:val="填表5"/>
    <w:basedOn w:val="1"/>
    <w:next w:val="1"/>
    <w:qFormat/>
    <w:uiPriority w:val="0"/>
    <w:pPr>
      <w:spacing w:line="300" w:lineRule="exact"/>
      <w:jc w:val="left"/>
    </w:pPr>
    <w:rPr>
      <w:rFonts w:ascii="宋体"/>
      <w:sz w:val="24"/>
      <w:szCs w:val="21"/>
    </w:rPr>
  </w:style>
  <w:style w:type="paragraph" w:customStyle="1" w:styleId="46">
    <w:name w:val="填表5行距12磅"/>
    <w:basedOn w:val="45"/>
    <w:qFormat/>
    <w:uiPriority w:val="0"/>
    <w:pPr>
      <w:spacing w:line="240" w:lineRule="exact"/>
    </w:pPr>
    <w:rPr>
      <w:rFonts w:cs="宋体"/>
      <w:sz w:val="21"/>
      <w:szCs w:val="20"/>
    </w:rPr>
  </w:style>
  <w:style w:type="paragraph" w:customStyle="1" w:styleId="47">
    <w:name w:val="表格内容"/>
    <w:basedOn w:val="1"/>
    <w:autoRedefine/>
    <w:qFormat/>
    <w:uiPriority w:val="0"/>
    <w:pPr>
      <w:overflowPunct w:val="0"/>
      <w:adjustRightInd w:val="0"/>
      <w:spacing w:line="200" w:lineRule="atLeast"/>
      <w:textAlignment w:val="baseline"/>
    </w:pPr>
    <w:rPr>
      <w:rFonts w:ascii="Arial" w:hAnsi="Arial" w:eastAsia="仿宋_GB231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6.emf"/><Relationship Id="rId24" Type="http://schemas.openxmlformats.org/officeDocument/2006/relationships/oleObject" Target="embeddings/oleObject3.bin"/><Relationship Id="rId23" Type="http://schemas.openxmlformats.org/officeDocument/2006/relationships/image" Target="media/image15.emf"/><Relationship Id="rId22" Type="http://schemas.openxmlformats.org/officeDocument/2006/relationships/oleObject" Target="embeddings/oleObject2.bin"/><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emf"/><Relationship Id="rId17" Type="http://schemas.openxmlformats.org/officeDocument/2006/relationships/oleObject" Target="embeddings/oleObject1.bin"/><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1033"/>
    <customShpInfo spid="_x0000_s1031"/>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109</Pages>
  <Words>10379</Words>
  <Characters>12367</Characters>
  <Lines>0</Lines>
  <Paragraphs>0</Paragraphs>
  <TotalTime>1</TotalTime>
  <ScaleCrop>false</ScaleCrop>
  <LinksUpToDate>false</LinksUpToDate>
  <CharactersWithSpaces>12719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2024-11-05T06:34:00Z</dcterms:created>
  <dc:creator>jjjyyy</dc:creator>
  <cp:lastModifiedBy>秋夜</cp:lastModifiedBy>
  <dcterms:modified xsi:type="dcterms:W3CDTF">2025-09-01T02:19:51Z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967600DCBF3049CD8D0EBEFB25042E73_13</vt:lpwstr>
  </property>
  <property fmtid="{D5CDD505-2E9C-101B-9397-08002B2CF9AE}" pid="4" name="KSOTemplateDocerSaveRecord">
    <vt:lpwstr>eyJoZGlkIjoiZjFmZWIzNDg2MmIzZjExOTIzMmViNTBmYTMwYTk0ZWYiLCJ1c2VySWQiOiI4MDAwNTQ5MTIifQ==</vt:lpwstr>
  </property>
</Properties>
</file>