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bCs/>
          <w:color w:val="000000" w:themeColor="text1"/>
          <w:sz w:val="32"/>
          <w:szCs w:val="32"/>
          <w14:textFill>
            <w14:solidFill>
              <w14:schemeClr w14:val="tx1"/>
            </w14:solidFill>
          </w14:textFill>
        </w:rPr>
      </w:pPr>
      <w:bookmarkStart w:id="0" w:name="_Toc443400391"/>
      <w:bookmarkStart w:id="1" w:name="_Toc419377672"/>
      <w:bookmarkStart w:id="2" w:name="_Toc451175986"/>
      <w:r>
        <w:rPr>
          <w:rFonts w:hint="eastAsia"/>
          <w:b/>
          <w:bCs/>
          <w:color w:val="000000" w:themeColor="text1"/>
          <w:sz w:val="32"/>
          <w:szCs w:val="32"/>
          <w14:textFill>
            <w14:solidFill>
              <w14:schemeClr w14:val="tx1"/>
            </w14:solidFill>
          </w14:textFill>
        </w:rPr>
        <w:t>前</w:t>
      </w:r>
      <w:r>
        <w:rPr>
          <w:rFonts w:hint="eastAsia"/>
          <w:b/>
          <w:bCs/>
          <w:color w:val="000000" w:themeColor="text1"/>
          <w:sz w:val="32"/>
          <w:szCs w:val="32"/>
          <w:lang w:val="en-US" w:eastAsia="zh-CN"/>
          <w14:textFill>
            <w14:solidFill>
              <w14:schemeClr w14:val="tx1"/>
            </w14:solidFill>
          </w14:textFill>
        </w:rPr>
        <w:t xml:space="preserve">  </w:t>
      </w:r>
      <w:r>
        <w:rPr>
          <w:rFonts w:hint="eastAsia"/>
          <w:b/>
          <w:bCs/>
          <w:color w:val="000000" w:themeColor="text1"/>
          <w:sz w:val="32"/>
          <w:szCs w:val="32"/>
          <w14:textFill>
            <w14:solidFill>
              <w14:schemeClr w14:val="tx1"/>
            </w14:solidFill>
          </w14:textFill>
        </w:rPr>
        <w:t>言</w:t>
      </w:r>
      <w:bookmarkEnd w:id="0"/>
      <w:bookmarkEnd w:id="1"/>
      <w:bookmarkEnd w:id="2"/>
    </w:p>
    <w:p>
      <w:pPr>
        <w:keepNext w:val="0"/>
        <w:keepLines w:val="0"/>
        <w:pageBreakBefore w:val="0"/>
        <w:kinsoku/>
        <w:wordWrap/>
        <w:overflowPunct/>
        <w:topLinePunct w:val="0"/>
        <w:autoSpaceDE/>
        <w:autoSpaceDN/>
        <w:bidi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为了贯彻落实以人为本，坚持安全发展，坚持“安全第一、预防为主、综合治理”的方针，</w:t>
      </w:r>
      <w:r>
        <w:rPr>
          <w:color w:val="000000" w:themeColor="text1"/>
          <w14:textFill>
            <w14:solidFill>
              <w14:schemeClr w14:val="tx1"/>
            </w14:solidFill>
          </w14:textFill>
        </w:rPr>
        <w:t>加强对危险化学品的安全管理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保证安全生产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保障人民生命财产的安全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保护环境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中华人民共和国安全生产法》、《</w:t>
      </w:r>
      <w:r>
        <w:rPr>
          <w:color w:val="000000" w:themeColor="text1"/>
          <w14:textFill>
            <w14:solidFill>
              <w14:schemeClr w14:val="tx1"/>
            </w14:solidFill>
          </w14:textFill>
        </w:rPr>
        <w:t>危险化学品安全管理条例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危险化学品经营许可证管理办法》</w:t>
      </w:r>
      <w:r>
        <w:rPr>
          <w:rFonts w:hint="eastAsia"/>
          <w:color w:val="000000" w:themeColor="text1"/>
          <w14:textFill>
            <w14:solidFill>
              <w14:schemeClr w14:val="tx1"/>
            </w14:solidFill>
          </w14:textFill>
        </w:rPr>
        <w:t>及《</w:t>
      </w:r>
      <w:r>
        <w:rPr>
          <w:rFonts w:hint="eastAsia"/>
          <w:color w:val="000000" w:themeColor="text1"/>
          <w:szCs w:val="28"/>
          <w14:textFill>
            <w14:solidFill>
              <w14:schemeClr w14:val="tx1"/>
            </w14:solidFill>
          </w14:textFill>
        </w:rPr>
        <w:t>汽车加油加气加氢站技术标准》</w:t>
      </w:r>
      <w:r>
        <w:rPr>
          <w:rFonts w:hint="eastAsia"/>
          <w:color w:val="000000" w:themeColor="text1"/>
          <w14:textFill>
            <w14:solidFill>
              <w14:schemeClr w14:val="tx1"/>
            </w14:solidFill>
          </w14:textFill>
        </w:rPr>
        <w:t>的有关规定。受</w:t>
      </w:r>
      <w:r>
        <w:rPr>
          <w:rFonts w:hint="eastAsia"/>
          <w:color w:val="000000" w:themeColor="text1"/>
          <w:szCs w:val="44"/>
          <w:lang w:eastAsia="zh-CN"/>
          <w14:textFill>
            <w14:solidFill>
              <w14:schemeClr w14:val="tx1"/>
            </w14:solidFill>
          </w14:textFill>
        </w:rPr>
        <w:t>丘北县树皮路顺加油站</w:t>
      </w:r>
      <w:r>
        <w:rPr>
          <w:rFonts w:hint="eastAsia"/>
          <w:bCs/>
          <w:color w:val="000000" w:themeColor="text1"/>
          <w14:textFill>
            <w14:solidFill>
              <w14:schemeClr w14:val="tx1"/>
            </w14:solidFill>
          </w14:textFill>
        </w:rPr>
        <w:t>的</w:t>
      </w:r>
      <w:r>
        <w:rPr>
          <w:rFonts w:hint="eastAsia"/>
          <w:color w:val="000000" w:themeColor="text1"/>
          <w14:textFill>
            <w14:solidFill>
              <w14:schemeClr w14:val="tx1"/>
            </w14:solidFill>
          </w14:textFill>
        </w:rPr>
        <w:t>委托，</w:t>
      </w:r>
      <w:bookmarkStart w:id="3" w:name="_Hlk162335947"/>
      <w:r>
        <w:rPr>
          <w:rFonts w:hint="eastAsia"/>
          <w:color w:val="000000" w:themeColor="text1"/>
          <w14:textFill>
            <w14:solidFill>
              <w14:schemeClr w14:val="tx1"/>
            </w14:solidFill>
          </w14:textFill>
        </w:rPr>
        <w:t>昭通市鼎安科技有限公司</w:t>
      </w:r>
      <w:bookmarkEnd w:id="3"/>
      <w:r>
        <w:rPr>
          <w:rFonts w:hint="eastAsia"/>
          <w:color w:val="000000" w:themeColor="text1"/>
          <w14:textFill>
            <w14:solidFill>
              <w14:schemeClr w14:val="tx1"/>
            </w14:solidFill>
          </w14:textFill>
        </w:rPr>
        <w:t>对</w:t>
      </w:r>
      <w:r>
        <w:rPr>
          <w:rFonts w:hint="eastAsia"/>
          <w:color w:val="000000" w:themeColor="text1"/>
          <w:szCs w:val="44"/>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进行安全现状评价。</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自接受委托后，公司成立了项目安全评价组，通过对相关法律、法规、规程和行业标准的收集以及对同类企业的调研后，于</w:t>
      </w:r>
      <w:r>
        <w:rPr>
          <w:rFonts w:hint="eastAsia"/>
          <w:color w:val="000000" w:themeColor="text1"/>
          <w:lang w:eastAsia="zh-CN"/>
          <w14:textFill>
            <w14:solidFill>
              <w14:schemeClr w14:val="tx1"/>
            </w14:solidFill>
          </w14:textFill>
        </w:rPr>
        <w:t>2025年4月17日</w:t>
      </w:r>
      <w:r>
        <w:rPr>
          <w:rFonts w:hint="eastAsia"/>
          <w:color w:val="000000" w:themeColor="text1"/>
          <w14:textFill>
            <w14:solidFill>
              <w14:schemeClr w14:val="tx1"/>
            </w14:solidFill>
          </w14:textFill>
        </w:rPr>
        <w:t>组织有关评价人员到该企业进行现场勘查、调研和资料收集，通过对该加油站安全经营条件和安全管理进行全面的调查、分析，运用安全系统工程的方法，进行危险、有害因素的识别及其危险度评价，查找该系统中存在的事故隐患并判定其危害程度，并提出相应的安全对策措施和建议，运用科学的评价方法，得出客观、公正的评价结论，最后参照《安全评价通则》（</w:t>
      </w:r>
      <w:r>
        <w:rPr>
          <w:color w:val="000000" w:themeColor="text1"/>
          <w14:textFill>
            <w14:solidFill>
              <w14:schemeClr w14:val="tx1"/>
            </w14:solidFill>
          </w14:textFill>
        </w:rPr>
        <w:t>AQ8001-2007</w:t>
      </w:r>
      <w:r>
        <w:rPr>
          <w:rFonts w:hint="eastAsia"/>
          <w:color w:val="000000" w:themeColor="text1"/>
          <w14:textFill>
            <w14:solidFill>
              <w14:schemeClr w14:val="tx1"/>
            </w14:solidFill>
          </w14:textFill>
        </w:rPr>
        <w:t>）的要求编制完成安全现状评价报告。</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通过安全评价，可为企业事故隐患治理提供依据；可为企业的安全投入与资金使用提供参考；可促进经营单位的安全管理。通过发现、整改和减少事故隐患，提高企业经营的本质安全度。</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在评价的过程中得到了业主的积极配合，同时引用了前人的一些研究成果和技术资料，在此一并表示感谢。</w:t>
      </w: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ind w:left="560" w:firstLine="0" w:firstLineChars="0"/>
        <w:rPr>
          <w:color w:val="000000" w:themeColor="text1"/>
          <w14:textFill>
            <w14:solidFill>
              <w14:schemeClr w14:val="tx1"/>
            </w14:solidFill>
          </w14:textFill>
        </w:rPr>
      </w:pPr>
    </w:p>
    <w:p>
      <w:pPr>
        <w:pageBreakBefore/>
        <w:snapToGrid/>
        <w:spacing w:line="240" w:lineRule="atLeast"/>
        <w:ind w:firstLine="643"/>
        <w:jc w:val="center"/>
        <w:rPr>
          <w:color w:val="000000" w:themeColor="text1"/>
          <w14:textFill>
            <w14:solidFill>
              <w14:schemeClr w14:val="tx1"/>
            </w14:solidFill>
          </w14:textFill>
        </w:rPr>
      </w:pPr>
      <w:r>
        <w:rPr>
          <w:rFonts w:hint="eastAsia"/>
          <w:b/>
          <w:bCs/>
          <w:color w:val="000000" w:themeColor="text1"/>
          <w:sz w:val="32"/>
          <w:szCs w:val="32"/>
          <w14:textFill>
            <w14:solidFill>
              <w14:schemeClr w14:val="tx1"/>
            </w14:solidFill>
          </w14:textFill>
        </w:rPr>
        <w:t>企业现场照片</w:t>
      </w:r>
    </w:p>
    <w:tbl>
      <w:tblPr>
        <w:tblStyle w:val="33"/>
        <w:tblW w:w="0" w:type="auto"/>
        <w:jc w:val="center"/>
        <w:tblLayout w:type="fixed"/>
        <w:tblCellMar>
          <w:top w:w="0" w:type="dxa"/>
          <w:left w:w="108" w:type="dxa"/>
          <w:bottom w:w="0" w:type="dxa"/>
          <w:right w:w="108" w:type="dxa"/>
        </w:tblCellMar>
      </w:tblPr>
      <w:tblGrid>
        <w:gridCol w:w="4518"/>
        <w:gridCol w:w="4518"/>
      </w:tblGrid>
      <w:tr>
        <w:tblPrEx>
          <w:tblCellMar>
            <w:top w:w="0" w:type="dxa"/>
            <w:left w:w="108" w:type="dxa"/>
            <w:bottom w:w="0" w:type="dxa"/>
            <w:right w:w="108" w:type="dxa"/>
          </w:tblCellMar>
        </w:tblPrEx>
        <w:trPr>
          <w:jc w:val="center"/>
        </w:trPr>
        <w:tc>
          <w:tcPr>
            <w:tcW w:w="9036" w:type="dxa"/>
            <w:gridSpan w:val="2"/>
          </w:tcPr>
          <w:p>
            <w:pPr>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549265" cy="3426460"/>
                  <wp:effectExtent l="0" t="0" r="0" b="0"/>
                  <wp:docPr id="11" name="图片 11" descr="20250418-0904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0418-090438(74)"/>
                          <pic:cNvPicPr>
                            <a:picLocks noChangeAspect="1"/>
                          </pic:cNvPicPr>
                        </pic:nvPicPr>
                        <pic:blipFill>
                          <a:blip r:embed="rId14">
                            <a:lum bright="24000"/>
                          </a:blip>
                          <a:srcRect t="9321" b="8360"/>
                          <a:stretch>
                            <a:fillRect/>
                          </a:stretch>
                        </pic:blipFill>
                        <pic:spPr>
                          <a:xfrm>
                            <a:off x="0" y="0"/>
                            <a:ext cx="5549265" cy="342646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036" w:type="dxa"/>
            <w:gridSpan w:val="2"/>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照片1评价人员现场勘验</w:t>
            </w:r>
            <w:bookmarkStart w:id="497" w:name="_GoBack"/>
            <w:bookmarkEnd w:id="497"/>
            <w:r>
              <w:rPr>
                <w:rFonts w:hint="eastAsia"/>
                <w:color w:val="000000" w:themeColor="text1"/>
                <w:sz w:val="24"/>
                <w:szCs w:val="24"/>
                <w14:textFill>
                  <w14:solidFill>
                    <w14:schemeClr w14:val="tx1"/>
                  </w14:solidFill>
                </w14:textFill>
              </w:rPr>
              <w:t>照片</w:t>
            </w:r>
          </w:p>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左：</w:t>
            </w:r>
            <w:r>
              <w:rPr>
                <w:rFonts w:hint="eastAsia"/>
                <w:color w:val="000000" w:themeColor="text1"/>
                <w:sz w:val="24"/>
                <w:szCs w:val="24"/>
                <w:lang w:val="en-US" w:eastAsia="zh-CN"/>
                <w14:textFill>
                  <w14:solidFill>
                    <w14:schemeClr w14:val="tx1"/>
                  </w14:solidFill>
                </w14:textFill>
              </w:rPr>
              <w:t>三级</w:t>
            </w:r>
            <w:r>
              <w:rPr>
                <w:rFonts w:hint="eastAsia"/>
                <w:color w:val="000000" w:themeColor="text1"/>
                <w:sz w:val="24"/>
                <w:szCs w:val="24"/>
                <w14:textFill>
                  <w14:solidFill>
                    <w14:schemeClr w14:val="tx1"/>
                  </w14:solidFill>
                </w14:textFill>
              </w:rPr>
              <w:t>评价师-季凯光；中：</w:t>
            </w:r>
            <w:r>
              <w:rPr>
                <w:rFonts w:hint="eastAsia"/>
                <w:color w:val="000000" w:themeColor="text1"/>
                <w:sz w:val="24"/>
                <w:szCs w:val="24"/>
                <w:lang w:val="en-US" w:eastAsia="zh-CN"/>
                <w14:textFill>
                  <w14:solidFill>
                    <w14:schemeClr w14:val="tx1"/>
                  </w14:solidFill>
                </w14:textFill>
              </w:rPr>
              <w:t>业主</w:t>
            </w:r>
            <w:r>
              <w:rPr>
                <w:rFonts w:hint="eastAsia"/>
                <w:color w:val="000000" w:themeColor="text1"/>
                <w:sz w:val="24"/>
                <w:szCs w:val="24"/>
                <w14:textFill>
                  <w14:solidFill>
                    <w14:schemeClr w14:val="tx1"/>
                  </w14:solidFill>
                </w14:textFill>
              </w:rPr>
              <w:t>-朱洪贵；右：</w:t>
            </w:r>
            <w:r>
              <w:rPr>
                <w:rFonts w:hint="eastAsia"/>
                <w:color w:val="000000" w:themeColor="text1"/>
                <w:sz w:val="24"/>
                <w:szCs w:val="24"/>
                <w:lang w:val="en-US" w:eastAsia="zh-CN"/>
                <w14:textFill>
                  <w14:solidFill>
                    <w14:schemeClr w14:val="tx1"/>
                  </w14:solidFill>
                </w14:textFill>
              </w:rPr>
              <w:t>二级</w:t>
            </w:r>
            <w:r>
              <w:rPr>
                <w:rFonts w:hint="eastAsia"/>
                <w:color w:val="000000" w:themeColor="text1"/>
                <w:sz w:val="24"/>
                <w:szCs w:val="24"/>
                <w14:textFill>
                  <w14:solidFill>
                    <w14:schemeClr w14:val="tx1"/>
                  </w14:solidFill>
                </w14:textFill>
              </w:rPr>
              <w:t>评价师-黄义敏</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 name="图片 3" descr="20250418-0904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418-090438(62)"/>
                          <pic:cNvPicPr>
                            <a:picLocks noChangeAspect="1"/>
                          </pic:cNvPicPr>
                        </pic:nvPicPr>
                        <pic:blipFill>
                          <a:blip r:embed="rId15">
                            <a:lum bright="18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5" name="图片 5" descr="20250418-0904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418-090438(63)"/>
                          <pic:cNvPicPr>
                            <a:picLocks noChangeAspect="1"/>
                          </pic:cNvPicPr>
                        </pic:nvPicPr>
                        <pic:blipFill>
                          <a:blip r:embed="rId16">
                            <a:lum bright="12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加油站全景</w:t>
            </w:r>
          </w:p>
        </w:tc>
        <w:tc>
          <w:tcPr>
            <w:tcW w:w="4518" w:type="dxa"/>
          </w:tcPr>
          <w:p>
            <w:pPr>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照片3</w:t>
            </w:r>
            <w:r>
              <w:rPr>
                <w:rFonts w:hint="eastAsia"/>
                <w:color w:val="000000" w:themeColor="text1"/>
                <w:sz w:val="24"/>
                <w:szCs w:val="24"/>
                <w:lang w:val="en-US" w:eastAsia="zh-CN"/>
                <w14:textFill>
                  <w14:solidFill>
                    <w14:schemeClr w14:val="tx1"/>
                  </w14:solidFill>
                </w14:textFill>
              </w:rPr>
              <w:t>加油机</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12" name="图片 12" descr="20250418-0904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0418-090438(48)"/>
                          <pic:cNvPicPr>
                            <a:picLocks noChangeAspect="1"/>
                          </pic:cNvPicPr>
                        </pic:nvPicPr>
                        <pic:blipFill>
                          <a:blip r:embed="rId17">
                            <a:lum bright="12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13" name="图片 13" descr="20250418-0904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0418-090438(52)"/>
                          <pic:cNvPicPr>
                            <a:picLocks noChangeAspect="1"/>
                          </pic:cNvPicPr>
                        </pic:nvPicPr>
                        <pic:blipFill>
                          <a:blip r:embed="rId18">
                            <a:lum bright="12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汽油加油机内部</w:t>
            </w:r>
          </w:p>
        </w:tc>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柴油加油机内部</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14" name="图片 14" descr="20250418-0904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50418-090438(35)"/>
                          <pic:cNvPicPr>
                            <a:picLocks noChangeAspect="1"/>
                          </pic:cNvPicPr>
                        </pic:nvPicPr>
                        <pic:blipFill>
                          <a:blip r:embed="rId19">
                            <a:lum bright="18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15" name="图片 15" descr="20250418-0904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0418-090438(32)"/>
                          <pic:cNvPicPr>
                            <a:picLocks noChangeAspect="1"/>
                          </pic:cNvPicPr>
                        </pic:nvPicPr>
                        <pic:blipFill>
                          <a:blip r:embed="rId20">
                            <a:lum bright="18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6油罐区</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7通气管</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18" name="图片 18" descr="20250418-090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0418-090438(24)"/>
                          <pic:cNvPicPr>
                            <a:picLocks noChangeAspect="1"/>
                          </pic:cNvPicPr>
                        </pic:nvPicPr>
                        <pic:blipFill>
                          <a:blip r:embed="rId21">
                            <a:lum bright="12000"/>
                          </a:blip>
                          <a:stretch>
                            <a:fillRect/>
                          </a:stretch>
                        </pic:blipFill>
                        <pic:spPr>
                          <a:xfrm>
                            <a:off x="0" y="0"/>
                            <a:ext cx="2684145" cy="201295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16" name="图片 16" descr="20250418-0904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0418-090438(27)"/>
                          <pic:cNvPicPr>
                            <a:picLocks noChangeAspect="1"/>
                          </pic:cNvPicPr>
                        </pic:nvPicPr>
                        <pic:blipFill>
                          <a:blip r:embed="rId22">
                            <a:lum bright="12000"/>
                          </a:blip>
                          <a:stretch>
                            <a:fillRect/>
                          </a:stretch>
                        </pic:blipFill>
                        <pic:spPr>
                          <a:xfrm>
                            <a:off x="0" y="0"/>
                            <a:ext cx="2684145" cy="20129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汽油人孔操作井</w:t>
            </w:r>
          </w:p>
        </w:tc>
        <w:tc>
          <w:tcPr>
            <w:tcW w:w="4518" w:type="dxa"/>
            <w:vAlign w:val="top"/>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柴油人孔操作井</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19" name="图片 19" descr="20250418-0904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0418-090438(30)"/>
                          <pic:cNvPicPr>
                            <a:picLocks noChangeAspect="1"/>
                          </pic:cNvPicPr>
                        </pic:nvPicPr>
                        <pic:blipFill>
                          <a:blip r:embed="rId23"/>
                          <a:stretch>
                            <a:fillRect/>
                          </a:stretch>
                        </pic:blipFill>
                        <pic:spPr>
                          <a:xfrm>
                            <a:off x="0" y="0"/>
                            <a:ext cx="2684145" cy="2012950"/>
                          </a:xfrm>
                          <a:prstGeom prst="rect">
                            <a:avLst/>
                          </a:prstGeom>
                        </pic:spPr>
                      </pic:pic>
                    </a:graphicData>
                  </a:graphic>
                </wp:inline>
              </w:drawing>
            </w:r>
          </w:p>
        </w:tc>
        <w:tc>
          <w:tcPr>
            <w:tcW w:w="4518" w:type="dxa"/>
          </w:tcPr>
          <w:p>
            <w:pPr>
              <w:spacing w:line="240" w:lineRule="auto"/>
              <w:ind w:firstLine="0" w:firstLineChars="0"/>
              <w:jc w:val="both"/>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21" name="图片 21" descr="20250418-0904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50418-090438(16)"/>
                          <pic:cNvPicPr>
                            <a:picLocks noChangeAspect="1"/>
                          </pic:cNvPicPr>
                        </pic:nvPicPr>
                        <pic:blipFill>
                          <a:blip r:embed="rId24"/>
                          <a:stretch>
                            <a:fillRect/>
                          </a:stretch>
                        </pic:blipFill>
                        <pic:spPr>
                          <a:xfrm>
                            <a:off x="0" y="0"/>
                            <a:ext cx="2684145" cy="20129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bookmarkStart w:id="4" w:name="OLE_LINK13" w:colFirst="0" w:colLast="1"/>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10雨水观测井</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11卸油口</w:t>
            </w:r>
          </w:p>
        </w:tc>
      </w:tr>
      <w:bookmarkEnd w:id="4"/>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0" name="图片 20" descr="20250418-090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0418-090438(40)"/>
                          <pic:cNvPicPr>
                            <a:picLocks noChangeAspect="1"/>
                          </pic:cNvPicPr>
                        </pic:nvPicPr>
                        <pic:blipFill>
                          <a:blip r:embed="rId25"/>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2" name="图片 22" descr="20250418-0904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50418-090438(41)"/>
                          <pic:cNvPicPr>
                            <a:picLocks noChangeAspect="1"/>
                          </pic:cNvPicPr>
                        </pic:nvPicPr>
                        <pic:blipFill>
                          <a:blip r:embed="rId26">
                            <a:lum bright="18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12消防沙箱</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13卸油区应急物资</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3" name="图片 23" descr="20250418-0904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50418-090438(45)"/>
                          <pic:cNvPicPr>
                            <a:picLocks noChangeAspect="1"/>
                          </pic:cNvPicPr>
                        </pic:nvPicPr>
                        <pic:blipFill>
                          <a:blip r:embed="rId27">
                            <a:lum bright="12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4" name="图片 24" descr="20250418-0904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50418-090438(44)"/>
                          <pic:cNvPicPr>
                            <a:picLocks noChangeAspect="1"/>
                          </pic:cNvPicPr>
                        </pic:nvPicPr>
                        <pic:blipFill>
                          <a:blip r:embed="rId28">
                            <a:lum bright="12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14移动式静电接地夹</w:t>
            </w:r>
          </w:p>
        </w:tc>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15静电释放桩</w:t>
            </w:r>
          </w:p>
        </w:tc>
      </w:tr>
      <w:tr>
        <w:tblPrEx>
          <w:tblCellMar>
            <w:top w:w="0" w:type="dxa"/>
            <w:left w:w="108" w:type="dxa"/>
            <w:bottom w:w="0" w:type="dxa"/>
            <w:right w:w="108" w:type="dxa"/>
          </w:tblCellMar>
        </w:tblPrEx>
        <w:trPr>
          <w:trHeight w:val="3300" w:hRule="atLeast"/>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25" name="图片 25" descr="20250418-0904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50418-090438(53)"/>
                          <pic:cNvPicPr>
                            <a:picLocks noChangeAspect="1"/>
                          </pic:cNvPicPr>
                        </pic:nvPicPr>
                        <pic:blipFill>
                          <a:blip r:embed="rId29">
                            <a:lum bright="12000"/>
                          </a:blip>
                          <a:stretch>
                            <a:fillRect/>
                          </a:stretch>
                        </pic:blipFill>
                        <pic:spPr>
                          <a:xfrm>
                            <a:off x="0" y="0"/>
                            <a:ext cx="2684145" cy="201295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6" name="图片 26" descr="20250418-0904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50418-090438(60)"/>
                          <pic:cNvPicPr>
                            <a:picLocks noChangeAspect="1"/>
                          </pic:cNvPicPr>
                        </pic:nvPicPr>
                        <pic:blipFill>
                          <a:blip r:embed="rId30">
                            <a:lum bright="12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16汽油</w:t>
            </w:r>
            <w:r>
              <w:rPr>
                <w:rFonts w:hint="eastAsia"/>
                <w:color w:val="000000" w:themeColor="text1"/>
                <w:sz w:val="24"/>
                <w:szCs w:val="24"/>
                <w14:textFill>
                  <w14:solidFill>
                    <w14:schemeClr w14:val="tx1"/>
                  </w14:solidFill>
                </w14:textFill>
              </w:rPr>
              <w:t>发电机</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17配电柜</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7" name="图片 27" descr="20250418-090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0418-090438(4)"/>
                          <pic:cNvPicPr>
                            <a:picLocks noChangeAspect="1"/>
                          </pic:cNvPicPr>
                        </pic:nvPicPr>
                        <pic:blipFill>
                          <a:blip r:embed="rId31">
                            <a:lum bright="12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8" name="图片 28" descr="20250418-090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0418-090438(6)"/>
                          <pic:cNvPicPr>
                            <a:picLocks noChangeAspect="1"/>
                          </pic:cNvPicPr>
                        </pic:nvPicPr>
                        <pic:blipFill>
                          <a:blip r:embed="rId32">
                            <a:lum bright="12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18急停按钮</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19视频监控画面</w:t>
            </w:r>
          </w:p>
        </w:tc>
      </w:tr>
      <w:tr>
        <w:tblPrEx>
          <w:tblCellMar>
            <w:top w:w="0" w:type="dxa"/>
            <w:left w:w="108" w:type="dxa"/>
            <w:bottom w:w="0" w:type="dxa"/>
            <w:right w:w="108" w:type="dxa"/>
          </w:tblCellMar>
        </w:tblPrEx>
        <w:trPr>
          <w:trHeight w:val="90" w:hRule="atLeast"/>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29" name="图片 29" descr="20250418-090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0418-090438(7)"/>
                          <pic:cNvPicPr>
                            <a:picLocks noChangeAspect="1"/>
                          </pic:cNvPicPr>
                        </pic:nvPicPr>
                        <pic:blipFill>
                          <a:blip r:embed="rId33"/>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0" name="图片 30" descr="20250418-090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50418-090438(43)"/>
                          <pic:cNvPicPr>
                            <a:picLocks noChangeAspect="1"/>
                          </pic:cNvPicPr>
                        </pic:nvPicPr>
                        <pic:blipFill>
                          <a:blip r:embed="rId34"/>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20油罐液位仪</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21卸油区安全标识</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1" name="图片 31" descr="20250418-090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50418-090438(1)"/>
                          <pic:cNvPicPr>
                            <a:picLocks noChangeAspect="1"/>
                          </pic:cNvPicPr>
                        </pic:nvPicPr>
                        <pic:blipFill>
                          <a:blip r:embed="rId35">
                            <a:lum bright="12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5" name="图片 35" descr="20250418-090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50418-090438(5)"/>
                          <pic:cNvPicPr>
                            <a:picLocks noChangeAspect="1"/>
                          </pic:cNvPicPr>
                        </pic:nvPicPr>
                        <pic:blipFill>
                          <a:blip r:embed="rId36">
                            <a:lum bright="6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照片2</w:t>
            </w:r>
            <w:r>
              <w:rPr>
                <w:rFonts w:hint="eastAsia"/>
                <w:color w:val="000000" w:themeColor="text1"/>
                <w:sz w:val="24"/>
                <w:szCs w:val="24"/>
                <w:lang w:val="en-US" w:eastAsia="zh-CN"/>
                <w14:textFill>
                  <w14:solidFill>
                    <w14:schemeClr w14:val="tx1"/>
                  </w14:solidFill>
                </w14:textFill>
              </w:rPr>
              <w:t>2管理制度</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照片2</w:t>
            </w:r>
            <w:r>
              <w:rPr>
                <w:rFonts w:hint="eastAsia"/>
                <w:color w:val="000000" w:themeColor="text1"/>
                <w:sz w:val="24"/>
                <w:szCs w:val="24"/>
                <w:lang w:val="en-US" w:eastAsia="zh-CN"/>
                <w14:textFill>
                  <w14:solidFill>
                    <w14:schemeClr w14:val="tx1"/>
                  </w14:solidFill>
                </w14:textFill>
              </w:rPr>
              <w:t>3安全职责、操作规程</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6" name="图片 36" descr="20250418-0904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50418-090438(10)"/>
                          <pic:cNvPicPr>
                            <a:picLocks noChangeAspect="1"/>
                          </pic:cNvPicPr>
                        </pic:nvPicPr>
                        <pic:blipFill>
                          <a:blip r:embed="rId37">
                            <a:lum bright="18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7" name="图片 37" descr="20250418-0904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50418-090438(78)"/>
                          <pic:cNvPicPr>
                            <a:picLocks noChangeAspect="1"/>
                          </pic:cNvPicPr>
                        </pic:nvPicPr>
                        <pic:blipFill>
                          <a:blip r:embed="rId38">
                            <a:lum bright="12000"/>
                          </a:blip>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照片2</w:t>
            </w:r>
            <w:r>
              <w:rPr>
                <w:rFonts w:hint="eastAsia"/>
                <w:color w:val="000000" w:themeColor="text1"/>
                <w:sz w:val="24"/>
                <w:szCs w:val="24"/>
                <w:lang w:val="en-US" w:eastAsia="zh-CN"/>
                <w14:textFill>
                  <w14:solidFill>
                    <w14:schemeClr w14:val="tx1"/>
                  </w14:solidFill>
                </w14:textFill>
              </w:rPr>
              <w:t>4加油站北面耕地</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照2</w:t>
            </w:r>
            <w:r>
              <w:rPr>
                <w:rFonts w:hint="eastAsia"/>
                <w:color w:val="000000" w:themeColor="text1"/>
                <w:sz w:val="24"/>
                <w:szCs w:val="24"/>
                <w:lang w:val="en-US" w:eastAsia="zh-CN"/>
                <w14:textFill>
                  <w14:solidFill>
                    <w14:schemeClr w14:val="tx1"/>
                  </w14:solidFill>
                </w14:textFill>
              </w:rPr>
              <w:t>5</w:t>
            </w:r>
            <w:bookmarkStart w:id="5" w:name="OLE_LINK14"/>
            <w:r>
              <w:rPr>
                <w:rFonts w:hint="eastAsia"/>
                <w:color w:val="000000" w:themeColor="text1"/>
                <w:sz w:val="24"/>
                <w:szCs w:val="24"/>
                <w:lang w:val="en-US" w:eastAsia="zh-CN"/>
                <w14:textFill>
                  <w14:solidFill>
                    <w14:schemeClr w14:val="tx1"/>
                  </w14:solidFill>
                </w14:textFill>
              </w:rPr>
              <w:t>加油站南面</w:t>
            </w:r>
            <w:bookmarkEnd w:id="5"/>
            <w:r>
              <w:rPr>
                <w:rFonts w:hint="eastAsia"/>
                <w:color w:val="000000" w:themeColor="text1"/>
                <w:sz w:val="24"/>
                <w:szCs w:val="24"/>
                <w:lang w:val="en-US" w:eastAsia="zh-CN"/>
                <w14:textFill>
                  <w14:solidFill>
                    <w14:schemeClr w14:val="tx1"/>
                  </w14:solidFill>
                </w14:textFill>
              </w:rPr>
              <w:t>公路</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39" name="图片 39" descr="20250418-0904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50418-090438(80)"/>
                          <pic:cNvPicPr>
                            <a:picLocks noChangeAspect="1"/>
                          </pic:cNvPicPr>
                        </pic:nvPicPr>
                        <pic:blipFill>
                          <a:blip r:embed="rId39">
                            <a:lum bright="24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6690" cy="2045335"/>
                  <wp:effectExtent l="0" t="0" r="16510" b="12065"/>
                  <wp:docPr id="43" name="图片 43" descr="20250418-0904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50418-090438(82)"/>
                          <pic:cNvPicPr>
                            <a:picLocks noChangeAspect="1"/>
                          </pic:cNvPicPr>
                        </pic:nvPicPr>
                        <pic:blipFill>
                          <a:blip r:embed="rId40">
                            <a:lum bright="18000"/>
                          </a:blip>
                          <a:stretch>
                            <a:fillRect/>
                          </a:stretch>
                        </pic:blipFill>
                        <pic:spPr>
                          <a:xfrm>
                            <a:off x="0" y="0"/>
                            <a:ext cx="2726690" cy="204533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26加油站南面架空电力线、通信线</w:t>
            </w:r>
          </w:p>
        </w:tc>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27加油站东南面厂房</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45" name="图片 45" descr="20250418-0904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50418-090438(13)"/>
                          <pic:cNvPicPr>
                            <a:picLocks noChangeAspect="1"/>
                          </pic:cNvPicPr>
                        </pic:nvPicPr>
                        <pic:blipFill>
                          <a:blip r:embed="rId41">
                            <a:lum bright="6000"/>
                          </a:blip>
                          <a:stretch>
                            <a:fillRect/>
                          </a:stretch>
                        </pic:blipFill>
                        <pic:spPr>
                          <a:xfrm>
                            <a:off x="0" y="0"/>
                            <a:ext cx="2720340" cy="2040255"/>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0340" cy="2040255"/>
                  <wp:effectExtent l="0" t="0" r="3810" b="17145"/>
                  <wp:docPr id="44" name="图片 44" descr="20250418-0904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50418-090438(83)"/>
                          <pic:cNvPicPr>
                            <a:picLocks noChangeAspect="1"/>
                          </pic:cNvPicPr>
                        </pic:nvPicPr>
                        <pic:blipFill>
                          <a:blip r:embed="rId42"/>
                          <a:stretch>
                            <a:fillRect/>
                          </a:stretch>
                        </pic:blipFill>
                        <pic:spPr>
                          <a:xfrm>
                            <a:off x="0" y="0"/>
                            <a:ext cx="2720340"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28加油站西面取水点</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29加油站东面耕地</w:t>
            </w:r>
          </w:p>
        </w:tc>
      </w:tr>
    </w:tbl>
    <w:p>
      <w:pPr>
        <w:pStyle w:val="42"/>
        <w:ind w:firstLine="0" w:firstLineChars="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5" w:h="16838"/>
          <w:pgMar w:top="1417" w:right="1134" w:bottom="1134" w:left="1587" w:header="850" w:footer="850" w:gutter="0"/>
          <w:pgNumType w:start="1"/>
          <w:cols w:space="0" w:num="1"/>
          <w:docGrid w:type="linesAndChars" w:linePitch="386" w:charSpace="0"/>
        </w:sectPr>
      </w:pPr>
    </w:p>
    <w:p>
      <w:pPr>
        <w:pStyle w:val="59"/>
        <w:spacing w:line="276" w:lineRule="auto"/>
        <w:ind w:firstLine="643"/>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目</w:t>
      </w:r>
      <w:r>
        <w:rPr>
          <w:rFonts w:hint="eastAsia" w:eastAsia="宋体"/>
          <w:bCs/>
          <w:color w:val="000000" w:themeColor="text1"/>
          <w:szCs w:val="32"/>
          <w:lang w:val="en-US" w:eastAsia="zh-CN"/>
          <w14:textFill>
            <w14:solidFill>
              <w14:schemeClr w14:val="tx1"/>
            </w14:solidFill>
          </w14:textFill>
        </w:rPr>
        <w:t xml:space="preserve">  </w:t>
      </w:r>
      <w:r>
        <w:rPr>
          <w:rFonts w:hint="eastAsia" w:eastAsia="宋体"/>
          <w:bCs/>
          <w:color w:val="000000" w:themeColor="text1"/>
          <w:szCs w:val="32"/>
          <w14:textFill>
            <w14:solidFill>
              <w14:schemeClr w14:val="tx1"/>
            </w14:solidFill>
          </w14:textFill>
        </w:rPr>
        <w:t>录</w:t>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val="0"/>
          <w:color w:val="000000" w:themeColor="text1"/>
          <w:szCs w:val="24"/>
          <w14:textFill>
            <w14:solidFill>
              <w14:schemeClr w14:val="tx1"/>
            </w14:solidFill>
          </w14:textFill>
        </w:rPr>
        <w:fldChar w:fldCharType="begin"/>
      </w:r>
      <w:r>
        <w:rPr>
          <w:rFonts w:hint="eastAsia" w:ascii="宋体" w:hAnsi="宋体" w:eastAsia="宋体" w:cs="宋体"/>
          <w:bCs w:val="0"/>
          <w:color w:val="000000" w:themeColor="text1"/>
          <w:szCs w:val="24"/>
          <w14:textFill>
            <w14:solidFill>
              <w14:schemeClr w14:val="tx1"/>
            </w14:solidFill>
          </w14:textFill>
        </w:rPr>
        <w:instrText xml:space="preserve"> TOC \o "1-3" \h \z \u </w:instrText>
      </w:r>
      <w:r>
        <w:rPr>
          <w:rFonts w:hint="eastAsia" w:ascii="宋体" w:hAnsi="宋体" w:eastAsia="宋体" w:cs="宋体"/>
          <w:bCs w:val="0"/>
          <w:color w:val="000000" w:themeColor="text1"/>
          <w:szCs w:val="24"/>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fldChar w:fldCharType="begin"/>
      </w:r>
      <w:r>
        <w:rPr>
          <w:rFonts w:hint="eastAsia" w:ascii="宋体" w:hAnsi="宋体" w:eastAsia="宋体" w:cs="宋体"/>
          <w:bCs w:val="0"/>
          <w:color w:val="000000" w:themeColor="text1"/>
          <w:szCs w:val="24"/>
          <w14:textFill>
            <w14:solidFill>
              <w14:schemeClr w14:val="tx1"/>
            </w14:solidFill>
          </w14:textFill>
        </w:rPr>
        <w:instrText xml:space="preserve"> HYPERLINK \l _Toc23334 </w:instrText>
      </w:r>
      <w:r>
        <w:rPr>
          <w:rFonts w:hint="eastAsia" w:ascii="宋体" w:hAnsi="宋体" w:eastAsia="宋体" w:cs="宋体"/>
          <w:bCs w:val="0"/>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第1章 安全评价工作经过</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_Toc23334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val="0"/>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_Toc1493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 前期准备情况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_Toc1493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_Toc25093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1.1.1 任务来源</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_Toc25093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_Toc31154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1.1.2 收集资料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_Toc31154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_Toc11041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1.1.3 评价目的</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_Toc11041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_Toc30175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1.1.4 评价原则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_Toc30175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_Toc24374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1.2 评价对象及范围</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_Toc24374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_Toc21098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 评价依据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_Toc21098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_Toc1874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1.3.1 国家法律</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_Toc1874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_Toc10367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1.3.2 行政法规</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_Toc10367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_Toc764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1.3.3 部门规章及规范性文件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_Toc764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1.3.4 地方性法规及规定</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_Toc19636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1.3.5 国家标准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_Toc19636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_Toc6294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1.3.6 安全标准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_Toc6294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_Toc26434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1.3.7 行业标准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_Toc26434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_Toc22068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1.4 工作经过和程序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_Toc22068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_Toc25264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 评价基准日</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_Toc25264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_Toc12981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第2章 加油站概况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_Toc12981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_Toc7654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 加油站基本概况简介</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_Toc7654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_Toc22407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2.2 地理位置及交通条件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_Toc22407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_Toc21047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2.3 自然条件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_Toc21047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_Toc24543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2.3.1 地质地貌</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_Toc24543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_Toc8301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2.3.2 气象条件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_Toc8301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_Toc14883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2.3.3 地震条件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_Toc14883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_Toc21263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2.4 加油站周边情况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_Toc21263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_Toc11664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2.5 平面布置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_Toc11664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_Toc26613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 加油站工艺流程</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_Toc26613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_Toc28158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 主要设施、设备及建构筑物</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_Toc28158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_Toc17258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2.7.1 建、构筑物</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_Toc17258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_Toc14077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2.7.2 主要设备</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_Toc14077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_Toc16746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 公用工程及辅助设施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_Toc16746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_Toc28831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2.8.1 供配电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_Toc28831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_Toc15805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2.8.2 给排水</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_Toc15805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_Toc13214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2.9 安全设施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_Toc13214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_Toc12797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2.9.1 预防事故设施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_Toc12797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_Toc28619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2.9.2 控制事故设施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_Toc28619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_Toc16591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2.9.3 减少与消除影响事故设施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_Toc16591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_Toc20202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 安全管理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_Toc20202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_Toc32722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2.10.1 组织机构及人员</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_Toc32722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_Toc32608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2.10.2 安全生产责任制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_Toc32608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_Toc7697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2.10.3 安全管理制度</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_Toc7697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_Toc11618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2.10.4 安全操作规程</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_Toc11618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_Toc13049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2.10.5 工作制度</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_Toc13049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_Toc26241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2.10.6 安全管理台账</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_Toc26241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_Toc8749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2.10.7 人员培训情况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_Toc8749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_Toc17104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2.10.8 从业人员保险</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_Toc17104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_Toc8864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2.10.9 安全投入情况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_Toc8864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_Toc18419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2.11 应急管理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_Toc18419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_Toc11233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2.11.1 应急预案</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_Toc11233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_Toc24017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2.11.2 应急救援组织</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_Toc24017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_Toc25223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2.11.3 器材配备</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_Toc25223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_Toc10695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2.11.4 演练情况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_Toc10695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_Toc9486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2.12 安全生产标准化情况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_Toc9486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_Toc3217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2.13 取证以来的情况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_Toc3217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_Toc9396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第3章 危险、有害因素的辨识结果及依据说明</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_Toc9396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_Toc8250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 危险、有害因素辨识与分析的依据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_Toc8250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_Toc4620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 危险化学品特性</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_Toc4620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_Toc16086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3.2.1 汽油危险特性</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_Toc16086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_Toc25447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3.2.2 柴油的危险特性</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_Toc25447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_Toc8153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3.3 危险、有害因素分析</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_Toc8153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_Toc11073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3.3.1 危险产生的原因</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_Toc11073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_Toc18752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3.3.2 加油站运行过程中危险、有害因素分析</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_Toc18752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_Toc26448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3.4 危险、有害因素的辨识结果</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_Toc26448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_Toc15081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3.5 重大危险源辨识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_Toc15081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_Toc13554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3.5.1 方法介绍</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_Toc13554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_Toc11727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3.5.2 物质的临界量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_Toc11727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_Toc32256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3.5.3 重大危险源辨识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_Toc32256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_Toc19973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3.6 重点监管的危险化学品辨识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_Toc19973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_Toc2392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3.7 特别管控危险化学品辨识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_Toc2392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_Toc19877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3.8 易制毒化学品辨识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_Toc19877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_Toc29854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3.9 易制爆危险化学品辨识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_Toc29854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_Toc24585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3.10 剧毒化学品辨识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_Toc24585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_Toc2295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3.11 淘汰落后工艺、设备辨识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_Toc2295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_Toc26637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3.12 本章小结</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_Toc26637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_Toc10971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第4章 安全评价单元的划分及评价方法介绍</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_Toc10971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_Toc14639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4.1 安全评价单元划分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_Toc14639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_Toc25899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4.1.1 安全评价单元的划分结果</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_Toc25899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_Toc2749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4.1.2 安全评价单元划分说明</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_Toc2749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_Toc21031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4.2 评价方法选用</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_Toc21031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_Toc30072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4.2.1 评价方法选用结果</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_Toc30072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_Toc30980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4.2.2 评价方法选用说明</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_Toc30980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_Toc22360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4.3 各评价单元采用的评价方法</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_Toc22360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_Toc11558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第5章 定性分析评价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_Toc11558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_Toc5710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5.1 定性分析危险、有害程度</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_Toc5710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_Toc9299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5.2 事故案例</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_Toc9299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_Toc16951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5.3 本章小结</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_Toc16951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_Toc25437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第6章 各单元分析评价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_Toc25437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_Toc22375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6.1 外部安全条件分析评价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_Toc22375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_Toc23813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6.1.1 站址选择分析评价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_Toc23813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_Toc11881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6.1.2 加油站对周边环境的影响分析评价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_Toc11881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_Toc15666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6.1.3 加油站周边环境对加油站运行的影响</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_Toc15666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_Toc19180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6.1.4 所在地自然条件对加油站运行的影响</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_Toc19180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_Toc27312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6.2 平面布置分析评价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_Toc27312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_Toc2808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6.3 工艺及设施分析评价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_Toc2808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_Toc23571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6.4 公用工程分析评价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_Toc23571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6.5 安全设施分析评价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6.6 安全管理分析评价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_Toc21870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6.7 重大事故隐患分析评价</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_Toc21870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_Toc17141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6.8 各单元评价小结</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_Toc17141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_Toc15786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第7章 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_Toc15786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_Toc10468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7.1 存在问题及整改建议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_Toc10468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_Toc9624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7.1.1 存在问题</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_Toc9624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_Toc17152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7.1.2 存在问题的整改建议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_Toc17152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_Toc1069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7.1.3 存在问题整改情况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_Toc1069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_Toc14509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 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_Toc14509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_Toc9866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7.2.1 防火、防爆安全对策措施及建议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_Toc9866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_Toc8328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7.2.2 电气系统安全对策措施及建议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_Toc8328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_Toc30393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7.2.3 防雷、防静电安全对策措施及建议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_Toc30393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_Toc15062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7.2.4 特殊作业安全对策措施及建议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_Toc15062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_Toc8419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7.2.5 加油站油品卸油对策措施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_Toc8419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_Toc1088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7.2.6 加油站油品储存对策措施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_Toc1088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_Toc21386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7.2.7 加油站油品计量对策措施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_Toc21386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_Toc3008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7.2.8 加油站加油对策措施</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_Toc3008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_Toc31315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7.2.9 劳动防护用品配备和使用建议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_Toc31315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_Toc3242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7.2.10 安全管理对策措施及建议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_Toc3242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_Toc4194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7.2.11 加油站设备设施安全对策措施和建议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_Toc4194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_Toc5679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7.2.12 重点监管及特别管控危险化学品对策措施和建议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_Toc5679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_Toc20058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第8章 评价结论</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_Toc20058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_Toc5074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8.1 加油站存在的危险、有害因素及其危险危害程度</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_Toc5074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_Toc22899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8.2 各单元评价综述</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_Toc22899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_Toc26274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8.3 应重视的危险有害因素</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_Toc26274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_Toc1106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8.4 应重视的安全对策措施及建议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_Toc1106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_Toc32060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8.5 评价结论</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_Toc32060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color w:val="000000" w:themeColor="text1"/>
          <w:szCs w:val="24"/>
          <w14:textFill>
            <w14:solidFill>
              <w14:schemeClr w14:val="tx1"/>
            </w14:solidFill>
          </w14:textFill>
        </w:rPr>
        <w:instrText xml:space="preserve"> HYPERLINK \l _Toc30591 </w:instrText>
      </w:r>
      <w:r>
        <w:rPr>
          <w:rFonts w:hint="eastAsia" w:ascii="宋体" w:hAnsi="宋体" w:eastAsia="宋体" w:cs="宋体"/>
          <w:bCs/>
          <w:color w:val="000000" w:themeColor="text1"/>
          <w:szCs w:val="24"/>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第9章 与建设单位交换意见的情况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_Toc30591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95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rPr>
          <w:color w:val="000000" w:themeColor="text1"/>
          <w:sz w:val="24"/>
          <w:szCs w:val="24"/>
          <w14:textFill>
            <w14:solidFill>
              <w14:schemeClr w14:val="tx1"/>
            </w14:solidFill>
          </w14:textFill>
        </w:rPr>
        <w:sectPr>
          <w:pgSz w:w="11905" w:h="16838"/>
          <w:pgMar w:top="1417" w:right="1134" w:bottom="1134" w:left="1587" w:header="850" w:footer="850" w:gutter="0"/>
          <w:pgNumType w:start="1"/>
          <w:cols w:space="0" w:num="1"/>
          <w:docGrid w:type="linesAndChars" w:linePitch="386" w:charSpace="0"/>
        </w:sectPr>
      </w:pPr>
      <w:r>
        <w:rPr>
          <w:rFonts w:hint="eastAsia" w:ascii="宋体" w:hAnsi="宋体" w:eastAsia="宋体" w:cs="宋体"/>
          <w:bCs/>
          <w:color w:val="000000" w:themeColor="text1"/>
          <w:szCs w:val="24"/>
          <w14:textFill>
            <w14:solidFill>
              <w14:schemeClr w14:val="tx1"/>
            </w14:solidFill>
          </w14:textFill>
        </w:rPr>
        <w:fldChar w:fldCharType="end"/>
      </w:r>
    </w:p>
    <w:p>
      <w:pPr>
        <w:pStyle w:val="2"/>
        <w:spacing w:before="193" w:after="193"/>
        <w:rPr>
          <w:color w:val="000000" w:themeColor="text1"/>
          <w14:textFill>
            <w14:solidFill>
              <w14:schemeClr w14:val="tx1"/>
            </w14:solidFill>
          </w14:textFill>
        </w:rPr>
      </w:pPr>
      <w:bookmarkStart w:id="6" w:name="_Toc195176695"/>
      <w:bookmarkStart w:id="7" w:name="_Toc258574821"/>
      <w:bookmarkStart w:id="8" w:name="_Toc23334"/>
      <w:bookmarkStart w:id="9" w:name="_Toc109564936"/>
      <w:bookmarkStart w:id="10" w:name="_Toc109564191"/>
      <w:bookmarkStart w:id="11" w:name="_Toc109559443"/>
      <w:bookmarkStart w:id="12" w:name="_Toc187699871"/>
      <w:bookmarkStart w:id="13" w:name="_Toc151881368"/>
      <w:bookmarkStart w:id="14" w:name="_Toc187780641"/>
      <w:bookmarkStart w:id="15" w:name="_Toc108344543"/>
      <w:bookmarkStart w:id="16" w:name="_Toc134710959"/>
      <w:bookmarkStart w:id="17" w:name="_Toc109564554"/>
      <w:bookmarkStart w:id="18" w:name="_Toc134875856"/>
      <w:bookmarkStart w:id="19" w:name="_Toc108697367"/>
      <w:bookmarkStart w:id="20" w:name="_Toc135136992"/>
      <w:bookmarkStart w:id="21" w:name="_Toc156661637"/>
      <w:r>
        <w:rPr>
          <w:rFonts w:hint="eastAsia"/>
          <w:color w:val="000000" w:themeColor="text1"/>
          <w14:textFill>
            <w14:solidFill>
              <w14:schemeClr w14:val="tx1"/>
            </w14:solidFill>
          </w14:textFill>
        </w:rPr>
        <w:t>安全评价工作经过</w:t>
      </w:r>
      <w:bookmarkEnd w:id="6"/>
      <w:bookmarkEnd w:id="7"/>
      <w:bookmarkEnd w:id="8"/>
    </w:p>
    <w:p>
      <w:pPr>
        <w:pStyle w:val="3"/>
        <w:rPr>
          <w:color w:val="000000" w:themeColor="text1"/>
          <w14:textFill>
            <w14:solidFill>
              <w14:schemeClr w14:val="tx1"/>
            </w14:solidFill>
          </w14:textFill>
        </w:rPr>
      </w:pPr>
      <w:bookmarkStart w:id="22" w:name="_Toc195176696"/>
      <w:bookmarkStart w:id="23" w:name="_Toc258574822"/>
      <w:bookmarkStart w:id="24" w:name="_Toc1493"/>
      <w:bookmarkStart w:id="25" w:name="_Toc189986303"/>
      <w:bookmarkStart w:id="26" w:name="_Toc188337766"/>
      <w:r>
        <w:rPr>
          <w:rFonts w:hint="eastAsia"/>
          <w:color w:val="000000" w:themeColor="text1"/>
          <w14:textFill>
            <w14:solidFill>
              <w14:schemeClr w14:val="tx1"/>
            </w14:solidFill>
          </w14:textFill>
        </w:rPr>
        <w:t>前期准备情况</w:t>
      </w:r>
      <w:bookmarkEnd w:id="22"/>
      <w:bookmarkEnd w:id="23"/>
      <w:bookmarkEnd w:id="24"/>
    </w:p>
    <w:p>
      <w:pPr>
        <w:pStyle w:val="4"/>
        <w:ind w:firstLine="562"/>
        <w:rPr>
          <w:color w:val="000000" w:themeColor="text1"/>
          <w14:textFill>
            <w14:solidFill>
              <w14:schemeClr w14:val="tx1"/>
            </w14:solidFill>
          </w14:textFill>
        </w:rPr>
      </w:pPr>
      <w:bookmarkStart w:id="27" w:name="_Toc195176697"/>
      <w:bookmarkStart w:id="28" w:name="_Toc25093"/>
      <w:r>
        <w:rPr>
          <w:rFonts w:hint="eastAsia"/>
          <w:color w:val="000000" w:themeColor="text1"/>
          <w14:textFill>
            <w14:solidFill>
              <w14:schemeClr w14:val="tx1"/>
            </w14:solidFill>
          </w14:textFill>
        </w:rPr>
        <w:t>任务来源</w:t>
      </w:r>
      <w:bookmarkEnd w:id="25"/>
      <w:bookmarkEnd w:id="26"/>
      <w:bookmarkEnd w:id="27"/>
      <w:bookmarkEnd w:id="28"/>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受</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委托，由昭通市鼎安科技有限公司承担</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的安全现状评价工作。</w:t>
      </w:r>
      <w:r>
        <w:rPr>
          <w:color w:val="000000" w:themeColor="text1"/>
          <w14:textFill>
            <w14:solidFill>
              <w14:schemeClr w14:val="tx1"/>
            </w14:solidFill>
          </w14:textFill>
        </w:rPr>
        <w:t>合同签订后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w:t>
      </w:r>
      <w:r>
        <w:rPr>
          <w:rFonts w:hint="eastAsia"/>
          <w:color w:val="000000" w:themeColor="text1"/>
          <w14:textFill>
            <w14:solidFill>
              <w14:schemeClr w14:val="tx1"/>
            </w14:solidFill>
          </w14:textFill>
        </w:rPr>
        <w:t>公司签发（或授权签发）《安全评价项目任务书》，收到《安全评价项目任务书》后</w:t>
      </w:r>
      <w:r>
        <w:rPr>
          <w:color w:val="000000" w:themeColor="text1"/>
          <w14:textFill>
            <w14:solidFill>
              <w14:schemeClr w14:val="tx1"/>
            </w14:solidFill>
          </w14:textFill>
        </w:rPr>
        <w:t>组建评价项目组并任命项目组长。</w:t>
      </w:r>
    </w:p>
    <w:p>
      <w:pPr>
        <w:pStyle w:val="4"/>
        <w:ind w:firstLine="562"/>
        <w:rPr>
          <w:color w:val="000000" w:themeColor="text1"/>
          <w14:textFill>
            <w14:solidFill>
              <w14:schemeClr w14:val="tx1"/>
            </w14:solidFill>
          </w14:textFill>
        </w:rPr>
      </w:pPr>
      <w:bookmarkStart w:id="29" w:name="_Toc31154"/>
      <w:bookmarkStart w:id="30" w:name="_Toc195176698"/>
      <w:r>
        <w:rPr>
          <w:rFonts w:hint="eastAsia"/>
          <w:color w:val="000000" w:themeColor="text1"/>
          <w14:textFill>
            <w14:solidFill>
              <w14:schemeClr w14:val="tx1"/>
            </w14:solidFill>
          </w14:textFill>
        </w:rPr>
        <w:t>收集资料</w:t>
      </w:r>
      <w:bookmarkEnd w:id="29"/>
      <w:bookmarkEnd w:id="30"/>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员根据评价目的的需要，在充分调查研究安全评价对象和范围相关情况后，现场考察被评价项目选用地址的周边环境，收集、整理安全评价所需要的各种文件、资料和数据。收集与被评价项目有关的法律法规、技术标准、气象、水文、地质等资料，为实施评价做好准备。</w:t>
      </w:r>
    </w:p>
    <w:p>
      <w:pPr>
        <w:pStyle w:val="45"/>
        <w:ind w:firstLine="560"/>
        <w:rPr>
          <w:color w:val="000000" w:themeColor="text1"/>
          <w14:textFill>
            <w14:solidFill>
              <w14:schemeClr w14:val="tx1"/>
            </w14:solidFill>
          </w14:textFill>
        </w:rPr>
      </w:pPr>
      <w:r>
        <w:rPr>
          <w:color w:val="000000" w:themeColor="text1"/>
          <w14:textFill>
            <w14:solidFill>
              <w14:schemeClr w14:val="tx1"/>
            </w14:solidFill>
          </w14:textFill>
        </w:rPr>
        <w:t>安全评价资料、数据收集应遵循的原则：</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应保证满足全面、客观、具体、准确的要求</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应尽量避免索取不必要的资料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避免给企业带来</w:t>
      </w:r>
      <w:r>
        <w:rPr>
          <w:rFonts w:hint="eastAsia"/>
          <w:color w:val="000000" w:themeColor="text1"/>
          <w14:textFill>
            <w14:solidFill>
              <w14:schemeClr w14:val="tx1"/>
            </w14:solidFill>
          </w14:textFill>
        </w:rPr>
        <w:t>麻烦；</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收集的资料数据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要对其真实性和可信度进行评估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必要时可要求资料提供方书面说明资料来源</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对用作类比推理的资料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要注意类比双方的相关程度和资料获得的条件</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代表性不强的资料不能用于评价</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引用反映现状的资料数据必须是有效数据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一般采用法定的检测检验机构或者通过省级或国家级计量认证的机构出具的数据。</w:t>
      </w:r>
    </w:p>
    <w:p>
      <w:pPr>
        <w:pStyle w:val="4"/>
        <w:ind w:firstLine="562"/>
        <w:rPr>
          <w:color w:val="000000" w:themeColor="text1"/>
          <w14:textFill>
            <w14:solidFill>
              <w14:schemeClr w14:val="tx1"/>
            </w14:solidFill>
          </w14:textFill>
        </w:rPr>
      </w:pPr>
      <w:bookmarkStart w:id="31" w:name="_Toc11041"/>
      <w:bookmarkStart w:id="32" w:name="_Toc195176699"/>
      <w:r>
        <w:rPr>
          <w:rFonts w:hint="eastAsia"/>
          <w:color w:val="000000" w:themeColor="text1"/>
          <w14:textFill>
            <w14:solidFill>
              <w14:schemeClr w14:val="tx1"/>
            </w14:solidFill>
          </w14:textFill>
        </w:rPr>
        <w:t>评价目的</w:t>
      </w:r>
      <w:bookmarkEnd w:id="31"/>
      <w:bookmarkEnd w:id="32"/>
    </w:p>
    <w:p>
      <w:pPr>
        <w:numPr>
          <w:ilvl w:val="0"/>
          <w:numId w:val="5"/>
        </w:numPr>
        <w:ind w:firstLine="560"/>
        <w:rPr>
          <w:color w:val="000000" w:themeColor="text1"/>
          <w14:textFill>
            <w14:solidFill>
              <w14:schemeClr w14:val="tx1"/>
            </w14:solidFill>
          </w14:textFill>
        </w:rPr>
      </w:pPr>
      <w:r>
        <w:rPr>
          <w:rFonts w:hint="eastAsia"/>
          <w:color w:val="000000" w:themeColor="text1"/>
          <w:kern w:val="0"/>
          <w:szCs w:val="28"/>
          <w14:textFill>
            <w14:solidFill>
              <w14:schemeClr w14:val="tx1"/>
            </w14:solidFill>
          </w14:textFill>
        </w:rPr>
        <w:t>安全生产工作坚持中国共产党的领导。为了贯彻落实以人为本，坚持人民至上、生命至上，把保护人民生命安全摆在首位，树牢安全发展理念，坚持</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安全第一、预防为主、综合治理</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的方针，从源头上防范化解重大安全风险；</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查找、分析和预测成品油经营企业存在的危险、有害因素及危险、危害程度，提出合理可行的安全对策措施，指导危险源监控和事故预防；</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对经营用设备、设施、仓储、管理机构和管理制度等进行评价，作为成品油经营企业持续改进、提高服务质量、保证安全经营的依据；</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为经营运行及日常管理提供依据，为应急管理部门实行安全监察提供依据。</w:t>
      </w:r>
    </w:p>
    <w:p>
      <w:pPr>
        <w:pStyle w:val="4"/>
        <w:ind w:firstLine="562"/>
        <w:rPr>
          <w:color w:val="000000" w:themeColor="text1"/>
          <w14:textFill>
            <w14:solidFill>
              <w14:schemeClr w14:val="tx1"/>
            </w14:solidFill>
          </w14:textFill>
        </w:rPr>
      </w:pPr>
      <w:bookmarkStart w:id="33" w:name="_Toc195176700"/>
      <w:bookmarkStart w:id="34" w:name="_Toc30175"/>
      <w:r>
        <w:rPr>
          <w:rFonts w:hint="eastAsia"/>
          <w:color w:val="000000" w:themeColor="text1"/>
          <w14:textFill>
            <w14:solidFill>
              <w14:schemeClr w14:val="tx1"/>
            </w14:solidFill>
          </w14:textFill>
        </w:rPr>
        <w:t>评价原则</w:t>
      </w:r>
      <w:bookmarkEnd w:id="33"/>
      <w:bookmarkEnd w:id="34"/>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本着严肃的科学态度，认真负责的精神，强烈的责任感和事业心，全面、仔细、深入地开展和完成评价任务。在安全评价工作中始终遵循科学性、公正性、合法性和针对性原则。</w:t>
      </w:r>
    </w:p>
    <w:p>
      <w:pPr>
        <w:pStyle w:val="3"/>
        <w:rPr>
          <w:color w:val="000000" w:themeColor="text1"/>
          <w14:textFill>
            <w14:solidFill>
              <w14:schemeClr w14:val="tx1"/>
            </w14:solidFill>
          </w14:textFill>
        </w:rPr>
      </w:pPr>
      <w:bookmarkStart w:id="35" w:name="_Toc195176701"/>
      <w:bookmarkStart w:id="36" w:name="_Toc24374"/>
      <w:bookmarkStart w:id="37" w:name="_Toc258574823"/>
      <w:r>
        <w:rPr>
          <w:rFonts w:hint="eastAsia"/>
          <w:color w:val="000000" w:themeColor="text1"/>
          <w14:textFill>
            <w14:solidFill>
              <w14:schemeClr w14:val="tx1"/>
            </w14:solidFill>
          </w14:textFill>
        </w:rPr>
        <w:t>评价对象及范围</w:t>
      </w:r>
      <w:bookmarkEnd w:id="35"/>
      <w:bookmarkEnd w:id="36"/>
      <w:bookmarkEnd w:id="37"/>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根据加油站的实际情况，与委托单位协商确定本次安全现状评价的对象是</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，评价的范围为</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、工艺及设备、安全设施、</w:t>
      </w:r>
      <w:r>
        <w:rPr>
          <w:color w:val="000000" w:themeColor="text1"/>
          <w14:textFill>
            <w14:solidFill>
              <w14:schemeClr w14:val="tx1"/>
            </w14:solidFill>
          </w14:textFill>
        </w:rPr>
        <w:t>公用工程及辅助设施</w:t>
      </w:r>
      <w:r>
        <w:rPr>
          <w:rFonts w:hint="eastAsia"/>
          <w:color w:val="000000" w:themeColor="text1"/>
          <w14:textFill>
            <w14:solidFill>
              <w14:schemeClr w14:val="tx1"/>
            </w14:solidFill>
          </w14:textFill>
        </w:rPr>
        <w:t>、安全管理</w:t>
      </w:r>
      <w:r>
        <w:rPr>
          <w:color w:val="000000" w:themeColor="text1"/>
          <w14:textFill>
            <w14:solidFill>
              <w14:schemeClr w14:val="tx1"/>
            </w14:solidFill>
          </w14:textFill>
        </w:rPr>
        <w:t>。</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站外油品运输不在本次评价范围内</w:t>
      </w:r>
      <w:bookmarkStart w:id="38" w:name="OLE_LINK1"/>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39" w:name="_Toc21098"/>
      <w:bookmarkStart w:id="40" w:name="_Toc456527659"/>
      <w:r>
        <w:rPr>
          <w:rFonts w:hint="eastAsia"/>
          <w:color w:val="000000" w:themeColor="text1"/>
          <w14:textFill>
            <w14:solidFill>
              <w14:schemeClr w14:val="tx1"/>
            </w14:solidFill>
          </w14:textFill>
        </w:rPr>
        <w:t>评价依据</w:t>
      </w:r>
      <w:bookmarkEnd w:id="39"/>
      <w:bookmarkEnd w:id="40"/>
    </w:p>
    <w:p>
      <w:pPr>
        <w:pStyle w:val="4"/>
        <w:ind w:firstLine="562"/>
        <w:rPr>
          <w:color w:val="000000" w:themeColor="text1"/>
          <w14:textFill>
            <w14:solidFill>
              <w14:schemeClr w14:val="tx1"/>
            </w14:solidFill>
          </w14:textFill>
        </w:rPr>
      </w:pPr>
      <w:bookmarkStart w:id="41" w:name="_Toc187780644"/>
      <w:bookmarkStart w:id="42" w:name="_Toc28299808"/>
      <w:bookmarkStart w:id="43" w:name="_Toc1874"/>
      <w:bookmarkStart w:id="44" w:name="_Toc456527660"/>
      <w:bookmarkStart w:id="45" w:name="_Toc258574824"/>
      <w:bookmarkStart w:id="46" w:name="_Toc195176702"/>
      <w:r>
        <w:rPr>
          <w:color w:val="000000" w:themeColor="text1"/>
          <w14:textFill>
            <w14:solidFill>
              <w14:schemeClr w14:val="tx1"/>
            </w14:solidFill>
          </w14:textFill>
        </w:rPr>
        <w:t>国家法律</w:t>
      </w:r>
      <w:bookmarkEnd w:id="41"/>
      <w:bookmarkEnd w:id="42"/>
      <w:bookmarkEnd w:id="43"/>
      <w:bookmarkEnd w:id="44"/>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《中华人民共和国安全生产法》（中华人民共和国主席令第88号，2021年9月1日起施行）；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《中华人民共和国劳动法》（中华人民共和国主席令第</w:t>
      </w:r>
      <w:r>
        <w:rPr>
          <w:rFonts w:ascii="新宋体" w:hAnsi="新宋体" w:eastAsia="新宋体"/>
          <w:color w:val="000000" w:themeColor="text1"/>
          <w14:textFill>
            <w14:solidFill>
              <w14:schemeClr w14:val="tx1"/>
            </w14:solidFill>
          </w14:textFill>
        </w:rPr>
        <w:t>28</w:t>
      </w:r>
      <w:r>
        <w:rPr>
          <w:rFonts w:hint="eastAsia" w:ascii="新宋体" w:hAnsi="新宋体" w:eastAsia="新宋体"/>
          <w:color w:val="000000" w:themeColor="text1"/>
          <w14:textFill>
            <w14:solidFill>
              <w14:schemeClr w14:val="tx1"/>
            </w14:solidFill>
          </w14:textFill>
        </w:rPr>
        <w:t>号令，第</w:t>
      </w:r>
      <w:r>
        <w:rPr>
          <w:rFonts w:ascii="新宋体" w:hAnsi="新宋体" w:eastAsia="新宋体"/>
          <w:color w:val="000000" w:themeColor="text1"/>
          <w14:textFill>
            <w14:solidFill>
              <w14:schemeClr w14:val="tx1"/>
            </w14:solidFill>
          </w14:textFill>
        </w:rPr>
        <w:t>24</w:t>
      </w:r>
      <w:r>
        <w:rPr>
          <w:rFonts w:hint="eastAsia" w:ascii="新宋体" w:hAnsi="新宋体" w:eastAsia="新宋体"/>
          <w:color w:val="000000" w:themeColor="text1"/>
          <w14:textFill>
            <w14:solidFill>
              <w14:schemeClr w14:val="tx1"/>
            </w14:solidFill>
          </w14:textFill>
        </w:rPr>
        <w:t>号令修订，20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《中华人民共和国消防法》（中华人民共和国主席令第81号修正，2021年</w:t>
      </w:r>
      <w:r>
        <w:rPr>
          <w:rFonts w:ascii="新宋体" w:hAnsi="新宋体" w:eastAsia="新宋体"/>
          <w:color w:val="000000" w:themeColor="text1"/>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9日施行）；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《中华人民共和国职业病防治法》（中华人民共和国主席令第</w:t>
      </w:r>
      <w:r>
        <w:rPr>
          <w:rFonts w:ascii="新宋体" w:hAnsi="新宋体" w:eastAsia="新宋体"/>
          <w:color w:val="000000" w:themeColor="text1"/>
          <w14:textFill>
            <w14:solidFill>
              <w14:schemeClr w14:val="tx1"/>
            </w14:solidFill>
          </w14:textFill>
        </w:rPr>
        <w:t>48</w:t>
      </w:r>
      <w:r>
        <w:rPr>
          <w:rFonts w:hint="eastAsia" w:ascii="新宋体" w:hAnsi="新宋体" w:eastAsia="新宋体"/>
          <w:color w:val="000000" w:themeColor="text1"/>
          <w14:textFill>
            <w14:solidFill>
              <w14:schemeClr w14:val="tx1"/>
            </w14:solidFill>
          </w14:textFill>
        </w:rPr>
        <w:t>号令，第</w:t>
      </w:r>
      <w:r>
        <w:rPr>
          <w:rFonts w:ascii="新宋体" w:hAnsi="新宋体" w:eastAsia="新宋体"/>
          <w:color w:val="000000" w:themeColor="text1"/>
          <w14:textFill>
            <w14:solidFill>
              <w14:schemeClr w14:val="tx1"/>
            </w14:solidFill>
          </w14:textFill>
        </w:rPr>
        <w:t>24</w:t>
      </w:r>
      <w:r>
        <w:rPr>
          <w:rFonts w:hint="eastAsia" w:ascii="新宋体" w:hAnsi="新宋体" w:eastAsia="新宋体"/>
          <w:color w:val="000000" w:themeColor="text1"/>
          <w14:textFill>
            <w14:solidFill>
              <w14:schemeClr w14:val="tx1"/>
            </w14:solidFill>
          </w14:textFill>
        </w:rPr>
        <w:t>号令修订，20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日施行）；</w:t>
      </w:r>
    </w:p>
    <w:p>
      <w:pPr>
        <w:numPr>
          <w:ilvl w:val="0"/>
          <w:numId w:val="6"/>
        </w:numPr>
        <w:tabs>
          <w:tab w:val="left" w:pos="993"/>
        </w:tabs>
        <w:ind w:left="0" w:firstLine="467" w:firstLineChars="167"/>
        <w:rPr>
          <w:rFonts w:hint="eastAsia" w:ascii="新宋体" w:hAnsi="新宋体" w:eastAsia="新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w:t>
      </w:r>
      <w:r>
        <w:rPr>
          <w:rFonts w:hint="eastAsia" w:ascii="新宋体" w:hAnsi="新宋体" w:eastAsia="新宋体" w:cs="宋体"/>
          <w:color w:val="000000" w:themeColor="text1"/>
          <w:lang w:val="en-US" w:eastAsia="zh-CN"/>
          <w14:textFill>
            <w14:solidFill>
              <w14:schemeClr w14:val="tx1"/>
            </w14:solidFill>
          </w14:textFill>
        </w:rPr>
        <w:t>中华人民共和国突发事件应对法》（中华人民共和国主席令第25号，中华人民共和国第十四届全国人民代表大会常务委员会第十次会议修订通过</w:t>
      </w:r>
      <w:r>
        <w:rPr>
          <w:rFonts w:hint="default" w:ascii="新宋体" w:hAnsi="新宋体" w:eastAsia="新宋体" w:cs="宋体"/>
          <w:color w:val="000000" w:themeColor="text1"/>
          <w:lang w:val="en-US" w:eastAsia="zh-CN"/>
          <w14:textFill>
            <w14:solidFill>
              <w14:schemeClr w14:val="tx1"/>
            </w14:solidFill>
          </w14:textFill>
        </w:rPr>
        <w:t>，自2024年11月1日起施行</w:t>
      </w:r>
      <w:r>
        <w:rPr>
          <w:rFonts w:hint="eastAsia" w:ascii="新宋体" w:hAnsi="新宋体" w:eastAsia="新宋体" w:cs="宋体"/>
          <w:color w:val="000000" w:themeColor="text1"/>
          <w:lang w:val="en-US" w:eastAsia="zh-CN"/>
          <w14:textFill>
            <w14:solidFill>
              <w14:schemeClr w14:val="tx1"/>
            </w14:solidFill>
          </w14:textFill>
        </w:rPr>
        <w:t>）</w:t>
      </w:r>
      <w:r>
        <w:rPr>
          <w:rFonts w:hint="eastAsia" w:ascii="新宋体" w:hAnsi="新宋体" w:eastAsia="新宋体" w:cs="宋体"/>
          <w:color w:val="000000" w:themeColor="text1"/>
          <w14:textFill>
            <w14:solidFill>
              <w14:schemeClr w14:val="tx1"/>
            </w14:solidFill>
          </w14:textFill>
        </w:rPr>
        <w:t>；</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《中华人民共和国民法典》（中华人民共和国主席令第45号，自2021年1月1日起施行）；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《中华人民共和国环境保护法》（中华人民共和国主席令[2014]第9号，2015年1月1日施行）；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ascii="新宋体" w:hAnsi="新宋体" w:eastAsia="新宋体"/>
          <w:color w:val="000000" w:themeColor="text1"/>
          <w14:textFill>
            <w14:solidFill>
              <w14:schemeClr w14:val="tx1"/>
            </w14:solidFill>
          </w14:textFill>
        </w:rPr>
        <w:t>《中华人民共和国水污染防治法》（中华人民共和国主席令第70号修改</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2018年1月1日起施行）</w:t>
      </w:r>
      <w:r>
        <w:rPr>
          <w:rFonts w:hint="eastAsia" w:ascii="新宋体" w:hAnsi="新宋体" w:eastAsia="新宋体"/>
          <w:color w:val="000000" w:themeColor="text1"/>
          <w14:textFill>
            <w14:solidFill>
              <w14:schemeClr w14:val="tx1"/>
            </w14:solidFill>
          </w14:textFill>
        </w:rPr>
        <w:t>；</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《中华人民共和国反恐怖主义法》（中华人民共和国主席令第36号，2016年1月1日起施行）。</w:t>
      </w:r>
    </w:p>
    <w:p>
      <w:pPr>
        <w:pStyle w:val="4"/>
        <w:ind w:firstLine="562"/>
        <w:rPr>
          <w:color w:val="000000" w:themeColor="text1"/>
          <w14:textFill>
            <w14:solidFill>
              <w14:schemeClr w14:val="tx1"/>
            </w14:solidFill>
          </w14:textFill>
        </w:rPr>
      </w:pPr>
      <w:bookmarkStart w:id="47" w:name="_Toc10367"/>
      <w:r>
        <w:rPr>
          <w:rFonts w:hint="eastAsia"/>
          <w:color w:val="000000" w:themeColor="text1"/>
          <w14:textFill>
            <w14:solidFill>
              <w14:schemeClr w14:val="tx1"/>
            </w14:solidFill>
          </w14:textFill>
        </w:rPr>
        <w:t>行政法规</w:t>
      </w:r>
      <w:bookmarkEnd w:id="47"/>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《危险化学品安全管理条例》（国务院令第</w:t>
      </w:r>
      <w:r>
        <w:rPr>
          <w:rFonts w:ascii="新宋体" w:hAnsi="新宋体" w:eastAsia="新宋体"/>
          <w:color w:val="000000" w:themeColor="text1"/>
          <w14:textFill>
            <w14:solidFill>
              <w14:schemeClr w14:val="tx1"/>
            </w14:solidFill>
          </w14:textFill>
        </w:rPr>
        <w:t>591</w:t>
      </w:r>
      <w:r>
        <w:rPr>
          <w:rFonts w:hint="eastAsia" w:ascii="新宋体" w:hAnsi="新宋体" w:eastAsia="新宋体"/>
          <w:color w:val="000000" w:themeColor="text1"/>
          <w14:textFill>
            <w14:solidFill>
              <w14:schemeClr w14:val="tx1"/>
            </w14:solidFill>
          </w14:textFill>
        </w:rPr>
        <w:t>号发布，国务院令第645号修订，2013年12月7日施行）；</w:t>
      </w:r>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《生产安全事故应急条例》（国务院第7</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号令，2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年4月1日起施行）；</w:t>
      </w:r>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《工伤保险条例》（国务院令第586号，2011年1月1日施行）</w:t>
      </w:r>
      <w:r>
        <w:rPr>
          <w:rFonts w:hint="eastAsia"/>
          <w:color w:val="000000" w:themeColor="text1"/>
          <w14:textFill>
            <w14:solidFill>
              <w14:schemeClr w14:val="tx1"/>
            </w14:solidFill>
          </w14:textFill>
        </w:rPr>
        <w:t>。</w:t>
      </w:r>
    </w:p>
    <w:p>
      <w:pPr>
        <w:pStyle w:val="4"/>
        <w:ind w:firstLine="560" w:firstLineChars="200"/>
        <w:jc w:val="both"/>
        <w:rPr>
          <w:color w:val="000000" w:themeColor="text1"/>
          <w14:textFill>
            <w14:solidFill>
              <w14:schemeClr w14:val="tx1"/>
            </w14:solidFill>
          </w14:textFill>
        </w:rPr>
      </w:pPr>
      <w:bookmarkStart w:id="48" w:name="_Toc456527661"/>
      <w:bookmarkStart w:id="49" w:name="_Toc764"/>
      <w:bookmarkStart w:id="50" w:name="_Toc28299809"/>
      <w:r>
        <w:rPr>
          <w:rFonts w:hint="eastAsia"/>
          <w:color w:val="000000" w:themeColor="text1"/>
          <w14:textFill>
            <w14:solidFill>
              <w14:schemeClr w14:val="tx1"/>
            </w14:solidFill>
          </w14:textFill>
        </w:rPr>
        <w:t>部门规章及规范性文件</w:t>
      </w:r>
      <w:bookmarkEnd w:id="48"/>
      <w:bookmarkEnd w:id="49"/>
      <w:bookmarkEnd w:id="50"/>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bookmarkStart w:id="51" w:name="_Toc109564940"/>
      <w:bookmarkStart w:id="52" w:name="_Toc108697371"/>
      <w:bookmarkStart w:id="53" w:name="_Toc187699875"/>
      <w:bookmarkStart w:id="54" w:name="_Toc187780645"/>
      <w:bookmarkStart w:id="55" w:name="_Toc109559447"/>
      <w:bookmarkStart w:id="56" w:name="_Toc134875860"/>
      <w:bookmarkStart w:id="57" w:name="_Toc135136997"/>
      <w:bookmarkStart w:id="58" w:name="_Toc109564195"/>
      <w:bookmarkStart w:id="59" w:name="_Toc151881372"/>
      <w:bookmarkStart w:id="60" w:name="_Toc109564558"/>
      <w:bookmarkStart w:id="61" w:name="_Toc134710963"/>
      <w:r>
        <w:rPr>
          <w:rFonts w:hint="eastAsia" w:ascii="新宋体" w:hAnsi="新宋体" w:eastAsia="新宋体"/>
          <w:color w:val="000000" w:themeColor="text1"/>
          <w14:textFill>
            <w14:solidFill>
              <w14:schemeClr w14:val="tx1"/>
            </w14:solidFill>
          </w14:textFill>
        </w:rPr>
        <w:t>《危险化学品经营许可证管理办法》（国家安全生产监督管理总局令第55号令，79号令修改，2</w:t>
      </w:r>
      <w:r>
        <w:rPr>
          <w:rFonts w:ascii="新宋体" w:hAnsi="新宋体" w:eastAsia="新宋体"/>
          <w:color w:val="000000" w:themeColor="text1"/>
          <w14:textFill>
            <w14:solidFill>
              <w14:schemeClr w14:val="tx1"/>
            </w14:solidFill>
          </w14:textFill>
        </w:rPr>
        <w:t>015</w:t>
      </w:r>
      <w:r>
        <w:rPr>
          <w:rFonts w:hint="eastAsia" w:ascii="新宋体" w:hAnsi="新宋体" w:eastAsia="新宋体"/>
          <w:color w:val="000000" w:themeColor="text1"/>
          <w14:textFill>
            <w14:solidFill>
              <w14:schemeClr w14:val="tx1"/>
            </w14:solidFill>
          </w14:textFill>
        </w:rPr>
        <w:t>年7月1日起施行）；</w:t>
      </w:r>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《建设项目安全设施“三同时”监督管理暂行办法》（</w:t>
      </w:r>
      <w:r>
        <w:rPr>
          <w:rFonts w:ascii="新宋体" w:hAnsi="新宋体" w:eastAsia="新宋体"/>
          <w:color w:val="000000" w:themeColor="text1"/>
          <w14:textFill>
            <w14:solidFill>
              <w14:schemeClr w14:val="tx1"/>
            </w14:solidFill>
          </w14:textFill>
        </w:rPr>
        <w:t>2010</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14</w:t>
      </w:r>
      <w:r>
        <w:rPr>
          <w:rFonts w:hint="eastAsia" w:ascii="新宋体" w:hAnsi="新宋体" w:eastAsia="新宋体"/>
          <w:color w:val="000000" w:themeColor="text1"/>
          <w14:textFill>
            <w14:solidFill>
              <w14:schemeClr w14:val="tx1"/>
            </w14:solidFill>
          </w14:textFill>
        </w:rPr>
        <w:t>日国家安全监管总局令第3</w:t>
      </w:r>
      <w:r>
        <w:rPr>
          <w:rFonts w:ascii="新宋体" w:hAnsi="新宋体" w:eastAsia="新宋体"/>
          <w:color w:val="000000" w:themeColor="text1"/>
          <w14:textFill>
            <w14:solidFill>
              <w14:schemeClr w14:val="tx1"/>
            </w14:solidFill>
          </w14:textFill>
        </w:rPr>
        <w:t>6</w:t>
      </w:r>
      <w:r>
        <w:rPr>
          <w:rFonts w:hint="eastAsia" w:ascii="新宋体" w:hAnsi="新宋体" w:eastAsia="新宋体"/>
          <w:color w:val="000000" w:themeColor="text1"/>
          <w14:textFill>
            <w14:solidFill>
              <w14:schemeClr w14:val="tx1"/>
            </w14:solidFill>
          </w14:textFill>
        </w:rPr>
        <w:t>号公布，根据</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日国家安全监管总局令第</w:t>
      </w:r>
      <w:r>
        <w:rPr>
          <w:rFonts w:ascii="新宋体" w:hAnsi="新宋体" w:eastAsia="新宋体"/>
          <w:color w:val="000000" w:themeColor="text1"/>
          <w14:textFill>
            <w14:solidFill>
              <w14:schemeClr w14:val="tx1"/>
            </w14:solidFill>
          </w14:textFill>
        </w:rPr>
        <w:t>77</w:t>
      </w:r>
      <w:r>
        <w:rPr>
          <w:rFonts w:hint="eastAsia" w:ascii="新宋体" w:hAnsi="新宋体" w:eastAsia="新宋体"/>
          <w:color w:val="000000" w:themeColor="text1"/>
          <w14:textFill>
            <w14:solidFill>
              <w14:schemeClr w14:val="tx1"/>
            </w14:solidFill>
          </w14:textFill>
        </w:rPr>
        <w:t>号修正）；</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《化工和危险化学品生产经营单位重大生产安全事故隐患判定标准（试行）》（安监总管三〔2017〕121号）；</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《生产安全事故应急预案管理办法》（国家安全生产监督管理总局令第88号，应急管理部2号令修订，2019年9月1日起施行）；</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《危险化学品建设项目安全监督管理办法》（国家安全生产监督管理总局令第45号，79号令修改，2015年7月1日起施行）；</w:t>
      </w:r>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《国家安全监管总局关于修改〈生产经营单位安全培训规定〉等</w:t>
      </w:r>
      <w:r>
        <w:rPr>
          <w:rFonts w:ascii="新宋体" w:hAnsi="新宋体" w:eastAsia="新宋体"/>
          <w:color w:val="000000" w:themeColor="text1"/>
          <w14:textFill>
            <w14:solidFill>
              <w14:schemeClr w14:val="tx1"/>
            </w14:solidFill>
          </w14:textFill>
        </w:rPr>
        <w:t>11</w:t>
      </w:r>
      <w:r>
        <w:rPr>
          <w:rFonts w:hint="eastAsia" w:ascii="新宋体" w:hAnsi="新宋体" w:eastAsia="新宋体"/>
          <w:color w:val="000000" w:themeColor="text1"/>
          <w14:textFill>
            <w14:solidFill>
              <w14:schemeClr w14:val="tx1"/>
            </w14:solidFill>
          </w14:textFill>
        </w:rPr>
        <w:t>件规章的决定》（国家安全生产监督管理总局令第63号令，</w:t>
      </w:r>
      <w:r>
        <w:rPr>
          <w:rFonts w:ascii="新宋体" w:hAnsi="新宋体" w:eastAsia="新宋体"/>
          <w:color w:val="000000" w:themeColor="text1"/>
          <w14:textFill>
            <w14:solidFill>
              <w14:schemeClr w14:val="tx1"/>
            </w14:solidFill>
          </w14:textFill>
        </w:rPr>
        <w:t>2013</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8</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w:t>
      </w:r>
      <w:r>
        <w:rPr>
          <w:rFonts w:ascii="新宋体" w:hAnsi="新宋体" w:eastAsia="新宋体"/>
          <w:color w:val="000000" w:themeColor="text1"/>
          <w14:textFill>
            <w14:solidFill>
              <w14:schemeClr w14:val="tx1"/>
            </w14:solidFill>
          </w14:textFill>
        </w:rPr>
        <w:t>&lt;</w:t>
      </w:r>
      <w:r>
        <w:rPr>
          <w:rFonts w:hint="eastAsia" w:ascii="新宋体" w:hAnsi="新宋体" w:eastAsia="新宋体"/>
          <w:color w:val="000000" w:themeColor="text1"/>
          <w14:textFill>
            <w14:solidFill>
              <w14:schemeClr w14:val="tx1"/>
            </w14:solidFill>
          </w14:textFill>
        </w:rPr>
        <w:t>生产安全事故报告和调查处理条例</w:t>
      </w:r>
      <w:r>
        <w:rPr>
          <w:rFonts w:ascii="新宋体" w:hAnsi="新宋体" w:eastAsia="新宋体"/>
          <w:color w:val="000000" w:themeColor="text1"/>
          <w14:textFill>
            <w14:solidFill>
              <w14:schemeClr w14:val="tx1"/>
            </w14:solidFill>
          </w14:textFill>
        </w:rPr>
        <w:t>&gt;</w:t>
      </w:r>
      <w:r>
        <w:rPr>
          <w:rFonts w:hint="eastAsia" w:ascii="新宋体" w:hAnsi="新宋体" w:eastAsia="新宋体"/>
          <w:color w:val="000000" w:themeColor="text1"/>
          <w14:textFill>
            <w14:solidFill>
              <w14:schemeClr w14:val="tx1"/>
            </w14:solidFill>
          </w14:textFill>
        </w:rPr>
        <w:t>罚款处罚暂行规定等四部规章的决定》（国家安全生产监督管理总局令第77号令，</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《国家安全监管总局关于废止和修改危险化学品等领域七部规章的决定》（国家安全生产监督管理总局令第79号令，2</w:t>
      </w:r>
      <w:r>
        <w:rPr>
          <w:rFonts w:ascii="新宋体" w:hAnsi="新宋体" w:eastAsia="新宋体"/>
          <w:color w:val="000000" w:themeColor="text1"/>
          <w14:textFill>
            <w14:solidFill>
              <w14:schemeClr w14:val="tx1"/>
            </w14:solidFill>
          </w14:textFill>
        </w:rPr>
        <w:t>015</w:t>
      </w:r>
      <w:r>
        <w:rPr>
          <w:rFonts w:hint="eastAsia" w:ascii="新宋体" w:hAnsi="新宋体" w:eastAsia="新宋体"/>
          <w:color w:val="000000" w:themeColor="text1"/>
          <w14:textFill>
            <w14:solidFill>
              <w14:schemeClr w14:val="tx1"/>
            </w14:solidFill>
          </w14:textFill>
        </w:rPr>
        <w:t>年7月1日起施行）；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kern w:val="0"/>
          <w14:textFill>
            <w14:solidFill>
              <w14:schemeClr w14:val="tx1"/>
            </w14:solidFill>
          </w14:textFill>
        </w:rPr>
        <w:t>《国家安全监管总局关于废止和修改劳动防护用品和安全培训等领域十部规章的决定》</w:t>
      </w:r>
      <w:r>
        <w:rPr>
          <w:rFonts w:hint="eastAsia" w:ascii="新宋体" w:hAnsi="新宋体" w:eastAsia="新宋体"/>
          <w:color w:val="000000" w:themeColor="text1"/>
          <w14:textFill>
            <w14:solidFill>
              <w14:schemeClr w14:val="tx1"/>
            </w14:solidFill>
          </w14:textFill>
        </w:rPr>
        <w:t>（国家安全生产监督管理总局令第80号令，</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7</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《首批重点监管的危险化学品名录》（安监总管三〔</w:t>
      </w:r>
      <w:r>
        <w:rPr>
          <w:rFonts w:ascii="新宋体" w:hAnsi="新宋体" w:eastAsia="新宋体"/>
          <w:color w:val="000000" w:themeColor="text1"/>
          <w14:textFill>
            <w14:solidFill>
              <w14:schemeClr w14:val="tx1"/>
            </w14:solidFill>
          </w14:textFill>
        </w:rPr>
        <w:t>2011</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95</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《关于公布第二批重点监管的危险化学品名录的通知》（安监总管三〔</w:t>
      </w:r>
      <w:r>
        <w:rPr>
          <w:rFonts w:ascii="新宋体" w:hAnsi="新宋体" w:eastAsia="新宋体"/>
          <w:color w:val="000000" w:themeColor="text1"/>
          <w14:textFill>
            <w14:solidFill>
              <w14:schemeClr w14:val="tx1"/>
            </w14:solidFill>
          </w14:textFill>
        </w:rPr>
        <w:t>201</w:t>
      </w:r>
      <w:r>
        <w:rPr>
          <w:rFonts w:hint="eastAsia" w:ascii="新宋体" w:hAnsi="新宋体" w:eastAsia="新宋体"/>
          <w:color w:val="000000" w:themeColor="text1"/>
          <w14:textFill>
            <w14:solidFill>
              <w14:schemeClr w14:val="tx1"/>
            </w14:solidFill>
          </w14:textFill>
        </w:rPr>
        <w:t>3〕</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《关于印发首批重点监管的危险化学品安全措施和应急处置原则的通知》（总厅管三〔</w:t>
      </w:r>
      <w:r>
        <w:rPr>
          <w:rFonts w:ascii="新宋体" w:hAnsi="新宋体" w:eastAsia="新宋体"/>
          <w:color w:val="000000" w:themeColor="text1"/>
          <w14:textFill>
            <w14:solidFill>
              <w14:schemeClr w14:val="tx1"/>
            </w14:solidFill>
          </w14:textFill>
        </w:rPr>
        <w:t>2011</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142</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《危险化学品建设项目安全设施目录（试行）》（安监总危化[2007]225号）；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《国家安全监管总局关于修改和废止部分规章及规范性文件的决定》（国家安全生产监督总局令第</w:t>
      </w:r>
      <w:r>
        <w:rPr>
          <w:rFonts w:ascii="新宋体" w:hAnsi="新宋体" w:eastAsia="新宋体"/>
          <w:color w:val="000000" w:themeColor="text1"/>
          <w14:textFill>
            <w14:solidFill>
              <w14:schemeClr w14:val="tx1"/>
            </w14:solidFill>
          </w14:textFill>
        </w:rPr>
        <w:t>89</w:t>
      </w:r>
      <w:r>
        <w:rPr>
          <w:rFonts w:hint="eastAsia" w:ascii="新宋体" w:hAnsi="新宋体" w:eastAsia="新宋体"/>
          <w:color w:val="000000" w:themeColor="text1"/>
          <w14:textFill>
            <w14:solidFill>
              <w14:schemeClr w14:val="tx1"/>
            </w14:solidFill>
          </w14:textFill>
        </w:rPr>
        <w:t>号令，</w:t>
      </w:r>
      <w:r>
        <w:rPr>
          <w:rFonts w:ascii="新宋体" w:hAnsi="新宋体" w:eastAsia="新宋体"/>
          <w:color w:val="000000" w:themeColor="text1"/>
          <w14:textFill>
            <w14:solidFill>
              <w14:schemeClr w14:val="tx1"/>
            </w14:solidFill>
          </w14:textFill>
        </w:rPr>
        <w:t>2017</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3</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6</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《职业病危害因素分类目录》（国卫疾控发〔2015〕92号）；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《消防安全责任制实施办法》（国办发[2017]87号）；</w:t>
      </w:r>
    </w:p>
    <w:p>
      <w:pPr>
        <w:numPr>
          <w:ilvl w:val="0"/>
          <w:numId w:val="8"/>
        </w:numPr>
        <w:tabs>
          <w:tab w:val="left" w:pos="1134"/>
        </w:tabs>
        <w:ind w:left="0" w:firstLine="467" w:firstLineChars="167"/>
        <w:rPr>
          <w:rFonts w:hint="eastAsia"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《国家安全监管总局办公厅关于进一步加强加油站安全生产工作的通知》（安监总厅管三〔2016〕8号）；</w:t>
      </w:r>
    </w:p>
    <w:p>
      <w:pPr>
        <w:numPr>
          <w:ilvl w:val="0"/>
          <w:numId w:val="8"/>
        </w:numPr>
        <w:tabs>
          <w:tab w:val="left" w:pos="1134"/>
        </w:tabs>
        <w:ind w:left="0" w:firstLine="467" w:firstLineChars="167"/>
        <w:rPr>
          <w:rFonts w:hint="eastAsia" w:ascii="新宋体" w:hAnsi="新宋体" w:eastAsia="新宋体"/>
          <w:color w:val="000000" w:themeColor="text1"/>
          <w14:textFill>
            <w14:solidFill>
              <w14:schemeClr w14:val="tx1"/>
            </w14:solidFill>
          </w14:textFill>
        </w:rPr>
      </w:pPr>
      <w:bookmarkStart w:id="62" w:name="OLE_LINK49"/>
      <w:bookmarkStart w:id="63" w:name="_Hlk3458173"/>
      <w:r>
        <w:rPr>
          <w:rFonts w:hint="eastAsia" w:ascii="新宋体" w:hAnsi="新宋体" w:eastAsia="新宋体"/>
          <w:color w:val="000000" w:themeColor="text1"/>
          <w:lang w:val="en-US" w:eastAsia="zh-CN"/>
          <w14:textFill>
            <w14:solidFill>
              <w14:schemeClr w14:val="tx1"/>
            </w14:solidFill>
          </w14:textFill>
        </w:rPr>
        <w:t>《安全生产责任保险实施办法》</w:t>
      </w:r>
      <w:bookmarkEnd w:id="62"/>
      <w:r>
        <w:rPr>
          <w:rFonts w:hint="eastAsia" w:ascii="新宋体" w:hAnsi="新宋体" w:eastAsia="新宋体"/>
          <w:color w:val="000000" w:themeColor="text1"/>
          <w:lang w:val="en-US" w:eastAsia="zh-CN"/>
          <w14:textFill>
            <w14:solidFill>
              <w14:schemeClr w14:val="tx1"/>
            </w14:solidFill>
          </w14:textFill>
        </w:rPr>
        <w:t>（应急〔2025〕27号，</w:t>
      </w:r>
      <w:r>
        <w:rPr>
          <w:rFonts w:hint="eastAsia" w:ascii="新宋体" w:hAnsi="新宋体" w:eastAsia="新宋体"/>
          <w:color w:val="000000" w:themeColor="text1"/>
          <w14:textFill>
            <w14:solidFill>
              <w14:schemeClr w14:val="tx1"/>
            </w14:solidFill>
          </w14:textFill>
        </w:rPr>
        <w:t>自2025年3月29日实施）；</w:t>
      </w:r>
    </w:p>
    <w:bookmarkEnd w:id="63"/>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《危险化学品目录》（2022年调整，中华人民共和国应急管理部等10部门公告2022年第8号，2023年1月1日实施）；</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《易制爆危险化学品名录》（公安部，2017年版）；</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《特别管控危险化学品目录（第一版）》（应急管理部、工业和信息化部、公安部及交通运输部2</w:t>
      </w:r>
      <w:r>
        <w:rPr>
          <w:rFonts w:ascii="新宋体" w:hAnsi="新宋体" w:eastAsia="新宋体"/>
          <w:color w:val="000000" w:themeColor="text1"/>
          <w14:textFill>
            <w14:solidFill>
              <w14:schemeClr w14:val="tx1"/>
            </w14:solidFill>
          </w14:textFill>
        </w:rPr>
        <w:t>020</w:t>
      </w:r>
      <w:r>
        <w:rPr>
          <w:rFonts w:hint="eastAsia" w:ascii="新宋体" w:hAnsi="新宋体" w:eastAsia="新宋体"/>
          <w:color w:val="000000" w:themeColor="text1"/>
          <w14:textFill>
            <w14:solidFill>
              <w14:schemeClr w14:val="tx1"/>
            </w14:solidFill>
          </w14:textFill>
        </w:rPr>
        <w:t>年第</w:t>
      </w:r>
      <w:r>
        <w:rPr>
          <w:rFonts w:ascii="新宋体" w:hAnsi="新宋体" w:eastAsia="新宋体"/>
          <w:color w:val="000000" w:themeColor="text1"/>
          <w14:textFill>
            <w14:solidFill>
              <w14:schemeClr w14:val="tx1"/>
            </w14:solidFill>
          </w14:textFill>
        </w:rPr>
        <w:t>3</w:t>
      </w:r>
      <w:r>
        <w:rPr>
          <w:rFonts w:hint="eastAsia" w:ascii="新宋体" w:hAnsi="新宋体" w:eastAsia="新宋体"/>
          <w:color w:val="000000" w:themeColor="text1"/>
          <w14:textFill>
            <w14:solidFill>
              <w14:schemeClr w14:val="tx1"/>
            </w14:solidFill>
          </w14:textFill>
        </w:rPr>
        <w:t>号公告）；</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《财政部应急部关于印发</w:t>
      </w:r>
      <w:r>
        <w:rPr>
          <w:rFonts w:ascii="新宋体" w:hAnsi="新宋体" w:eastAsia="新宋体"/>
          <w:color w:val="000000" w:themeColor="text1"/>
          <w14:textFill>
            <w14:solidFill>
              <w14:schemeClr w14:val="tx1"/>
            </w14:solidFill>
          </w14:textFill>
        </w:rPr>
        <w:t>&lt;</w:t>
      </w:r>
      <w:r>
        <w:rPr>
          <w:rFonts w:hint="eastAsia" w:ascii="新宋体" w:hAnsi="新宋体" w:eastAsia="新宋体"/>
          <w:color w:val="000000" w:themeColor="text1"/>
          <w14:textFill>
            <w14:solidFill>
              <w14:schemeClr w14:val="tx1"/>
            </w14:solidFill>
          </w14:textFill>
        </w:rPr>
        <w:t>企业安全生产费用提取和使用管理办法&gt;的通知》（财资〔2022〕136号）；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《应急管理部办公厅关于修改《危险化学品目录（2015版）实施指南（试行）》涉及柴油部分内容的通知》（</w:t>
      </w:r>
      <w:r>
        <w:rPr>
          <w:rFonts w:ascii="新宋体" w:hAnsi="新宋体" w:eastAsia="新宋体"/>
          <w:color w:val="000000" w:themeColor="text1"/>
          <w14:textFill>
            <w14:solidFill>
              <w14:schemeClr w14:val="tx1"/>
            </w14:solidFill>
          </w14:textFill>
        </w:rPr>
        <w:t>应急厅函〔2022〕300号</w:t>
      </w:r>
      <w:r>
        <w:rPr>
          <w:rFonts w:hint="eastAsia" w:ascii="新宋体" w:hAnsi="新宋体" w:eastAsia="新宋体"/>
          <w:color w:val="000000" w:themeColor="text1"/>
          <w14:textFill>
            <w14:solidFill>
              <w14:schemeClr w14:val="tx1"/>
            </w14:solidFill>
          </w14:textFill>
        </w:rPr>
        <w:t>，2022年12月5日发布，2023年1月1日起实施）；</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《应急管理部办公厅关于做好柴油安全许可证有关工作的通知》（应急厅函[2022]317号）；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《生产安全事故罚款处罚规定》（应急管理部令第14号）。</w:t>
      </w:r>
    </w:p>
    <w:p>
      <w:pPr>
        <w:pStyle w:val="4"/>
        <w:ind w:firstLine="562"/>
        <w:rPr>
          <w:color w:val="000000" w:themeColor="text1"/>
          <w14:textFill>
            <w14:solidFill>
              <w14:schemeClr w14:val="tx1"/>
            </w14:solidFill>
          </w14:textFill>
        </w:rPr>
      </w:pPr>
      <w:bookmarkStart w:id="64" w:name="_Toc103"/>
      <w:bookmarkStart w:id="65" w:name="_Toc456527662"/>
      <w:bookmarkStart w:id="66" w:name="_Toc28299810"/>
      <w:r>
        <w:rPr>
          <w:rFonts w:hint="eastAsia"/>
          <w:color w:val="000000" w:themeColor="text1"/>
          <w14:textFill>
            <w14:solidFill>
              <w14:schemeClr w14:val="tx1"/>
            </w14:solidFill>
          </w14:textFill>
        </w:rPr>
        <w:t>地方性法规及规定</w:t>
      </w:r>
      <w:bookmarkEnd w:id="6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1.《云南省安全生产条例》（2017年11月30日经云南省第十二届人大常委会第三十八次会议审议通过，2018年1月1日起施行）；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2.《云南省安全生产委员会关于进一步落实企业全员安全生产责任制的指导意见》（云安〔2017〕10号）；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3.《云南省生产经营单位安全生产主体责任规定》（云南省人民政府云政规〔2022〕4号）；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4.《云南省应急管理厅办公室转发应急管理部关于认真做好柴油安全许可证有关工作的通知》；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5.《云南省生产安全事故应急办法》（</w:t>
      </w:r>
      <w:r>
        <w:rPr>
          <w:color w:val="000000" w:themeColor="text1"/>
          <w14:textFill>
            <w14:solidFill>
              <w14:schemeClr w14:val="tx1"/>
            </w14:solidFill>
          </w14:textFill>
        </w:rPr>
        <w:t>省政府令第227号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2024年2月1日起施行</w:t>
      </w:r>
      <w:r>
        <w:rPr>
          <w:rFonts w:hint="eastAsia"/>
          <w:color w:val="000000" w:themeColor="text1"/>
          <w14:textFill>
            <w14:solidFill>
              <w14:schemeClr w14:val="tx1"/>
            </w14:solidFill>
          </w14:textFill>
        </w:rPr>
        <w:t>）。</w:t>
      </w:r>
    </w:p>
    <w:p>
      <w:pPr>
        <w:pStyle w:val="4"/>
        <w:ind w:firstLine="562"/>
        <w:rPr>
          <w:color w:val="000000" w:themeColor="text1"/>
          <w14:textFill>
            <w14:solidFill>
              <w14:schemeClr w14:val="tx1"/>
            </w14:solidFill>
          </w14:textFill>
        </w:rPr>
      </w:pPr>
      <w:bookmarkStart w:id="67" w:name="_Toc19636"/>
      <w:r>
        <w:rPr>
          <w:rFonts w:hint="eastAsia"/>
          <w:color w:val="000000" w:themeColor="text1"/>
          <w14:textFill>
            <w14:solidFill>
              <w14:schemeClr w14:val="tx1"/>
            </w14:solidFill>
          </w14:textFill>
        </w:rPr>
        <w:t>国家</w:t>
      </w:r>
      <w:r>
        <w:rPr>
          <w:color w:val="000000" w:themeColor="text1"/>
          <w14:textFill>
            <w14:solidFill>
              <w14:schemeClr w14:val="tx1"/>
            </w14:solidFill>
          </w14:textFill>
        </w:rPr>
        <w:t>标准</w:t>
      </w:r>
      <w:bookmarkEnd w:id="51"/>
      <w:bookmarkEnd w:id="52"/>
      <w:bookmarkEnd w:id="53"/>
      <w:bookmarkEnd w:id="54"/>
      <w:bookmarkEnd w:id="55"/>
      <w:bookmarkEnd w:id="56"/>
      <w:bookmarkEnd w:id="57"/>
      <w:bookmarkEnd w:id="58"/>
      <w:bookmarkEnd w:id="59"/>
      <w:bookmarkEnd w:id="60"/>
      <w:bookmarkEnd w:id="61"/>
      <w:bookmarkEnd w:id="65"/>
      <w:bookmarkEnd w:id="66"/>
      <w:bookmarkEnd w:id="6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（1）《汽车加油加气加氢站技术标准》（GB50156-2021）；</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（2）《建筑设计防火规范（2018年版）》（GB50016-2014）；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（3）《消防设施通用规范》（GB55036-2022）；</w:t>
      </w:r>
    </w:p>
    <w:p>
      <w:pPr>
        <w:rPr>
          <w:rFonts w:hint="eastAsia" w:ascii="宋体" w:hAnsi="宋体" w:eastAsia="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建筑抗震设计标准（2024年版）》（GB/T 50011-2010）；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（5）《危险化学品仓库储存通则》（GB15603-2022）；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（6）《危险化学品重大危险源辨识》（GB18218-2018）；</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（7）《易燃易爆性商品储藏养护技术条件》（GB17914-2013）；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（8）《建筑灭火器配置设计规范》（</w:t>
      </w:r>
      <w:bookmarkStart w:id="68" w:name="OLE_LINK11"/>
      <w:r>
        <w:rPr>
          <w:rFonts w:hint="eastAsia"/>
          <w:color w:val="000000" w:themeColor="text1"/>
          <w14:textFill>
            <w14:solidFill>
              <w14:schemeClr w14:val="tx1"/>
            </w14:solidFill>
          </w14:textFill>
        </w:rPr>
        <w:t>GB50140-2005</w:t>
      </w:r>
      <w:bookmarkEnd w:id="68"/>
      <w:r>
        <w:rPr>
          <w:rFonts w:hint="eastAsia"/>
          <w:color w:val="000000" w:themeColor="text1"/>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（9）《安全标志及其使用导则》（</w:t>
      </w:r>
      <w:bookmarkStart w:id="69" w:name="OLE_LINK10"/>
      <w:r>
        <w:rPr>
          <w:rFonts w:hint="eastAsia"/>
          <w:color w:val="000000" w:themeColor="text1"/>
          <w14:textFill>
            <w14:solidFill>
              <w14:schemeClr w14:val="tx1"/>
            </w14:solidFill>
          </w14:textFill>
        </w:rPr>
        <w:t>GB2894-2008</w:t>
      </w:r>
      <w:bookmarkEnd w:id="69"/>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）《电气装置安装工程低压电器施工及验收规范》（GB50254-2014）；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（11）《建筑物防雷设计规范》（</w:t>
      </w:r>
      <w:bookmarkStart w:id="70" w:name="OLE_LINK45"/>
      <w:r>
        <w:rPr>
          <w:rFonts w:hint="eastAsia"/>
          <w:color w:val="000000" w:themeColor="text1"/>
          <w14:textFill>
            <w14:solidFill>
              <w14:schemeClr w14:val="tx1"/>
            </w14:solidFill>
          </w14:textFill>
        </w:rPr>
        <w:t>GB50057-2010</w:t>
      </w:r>
      <w:bookmarkEnd w:id="70"/>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（12）《化学品分类和危险性公示通则》（</w:t>
      </w:r>
      <w:bookmarkStart w:id="71" w:name="OLE_LINK9"/>
      <w:r>
        <w:rPr>
          <w:rFonts w:hint="eastAsia"/>
          <w:color w:val="000000" w:themeColor="text1"/>
          <w14:textFill>
            <w14:solidFill>
              <w14:schemeClr w14:val="tx1"/>
            </w14:solidFill>
          </w14:textFill>
        </w:rPr>
        <w:t>GB13690-2009</w:t>
      </w:r>
      <w:bookmarkEnd w:id="71"/>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（13）《防止静电事故通用导则》（</w:t>
      </w:r>
      <w:bookmarkStart w:id="72" w:name="OLE_LINK8"/>
      <w:r>
        <w:rPr>
          <w:rFonts w:hint="eastAsia"/>
          <w:color w:val="000000" w:themeColor="text1"/>
          <w14:textFill>
            <w14:solidFill>
              <w14:schemeClr w14:val="tx1"/>
            </w14:solidFill>
          </w14:textFill>
        </w:rPr>
        <w:t>GB12158-2006</w:t>
      </w:r>
      <w:bookmarkEnd w:id="72"/>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（14）《爆炸危险环境电力装置设计规范》（GB50058-2014）；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（15）《液体石油产品静电安全规程》（</w:t>
      </w:r>
      <w:bookmarkStart w:id="73" w:name="OLE_LINK7"/>
      <w:r>
        <w:rPr>
          <w:rFonts w:hint="eastAsia"/>
          <w:color w:val="000000" w:themeColor="text1"/>
          <w14:textFill>
            <w14:solidFill>
              <w14:schemeClr w14:val="tx1"/>
            </w14:solidFill>
          </w14:textFill>
        </w:rPr>
        <w:t>GB13348-2009</w:t>
      </w:r>
      <w:bookmarkEnd w:id="73"/>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（16）《消防安全标志 第1部分：标志》（GB13495.1-2015）；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（17）《生产设备安全卫生设计总则</w:t>
      </w:r>
      <w:r>
        <w:rPr>
          <w:rFonts w:hint="eastAsia" w:ascii="宋体" w:hAnsi="宋体" w:eastAsia="宋体" w:cs="宋体"/>
          <w:color w:val="000000" w:themeColor="text1"/>
          <w14:textFill>
            <w14:solidFill>
              <w14:schemeClr w14:val="tx1"/>
            </w14:solidFill>
          </w14:textFill>
        </w:rPr>
        <w:t>》（GB5083-2023）；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（18）《生产过程安全卫生要求总则》（</w:t>
      </w:r>
      <w:bookmarkStart w:id="74" w:name="OLE_LINK6"/>
      <w:r>
        <w:rPr>
          <w:rFonts w:hint="eastAsia"/>
          <w:color w:val="000000" w:themeColor="text1"/>
          <w14:textFill>
            <w14:solidFill>
              <w14:schemeClr w14:val="tx1"/>
            </w14:solidFill>
          </w14:textFill>
        </w:rPr>
        <w:t>GB12801-2008</w:t>
      </w:r>
      <w:bookmarkEnd w:id="74"/>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（19）《工业企业设计卫生标准》（GBZ 1-2010）；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（20）《燃油加油站防爆安全技术 第1部分：燃油加油机防爆安全技术要求》（GB 22380.1-2017）；</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（21）《燃油加油站防爆安全技术 第2部分：加油机用安全拉断阀结构和性能的安全要求》（GB 22380.2-2019）；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（22）《燃油加油站防爆安全技术 第3部分：剪切阀结构和性能的安全要求》（GB 22380.3-2019）；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（23）《石油与石油设施雷电安全规范》（</w:t>
      </w:r>
      <w:bookmarkStart w:id="75" w:name="OLE_LINK5"/>
      <w:r>
        <w:rPr>
          <w:rFonts w:hint="eastAsia"/>
          <w:color w:val="000000" w:themeColor="text1"/>
          <w14:textFill>
            <w14:solidFill>
              <w14:schemeClr w14:val="tx1"/>
            </w14:solidFill>
          </w14:textFill>
        </w:rPr>
        <w:t>GB15599-2009</w:t>
      </w:r>
      <w:bookmarkEnd w:id="75"/>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（24）《职业性接触毒物危害程度分级》（</w:t>
      </w:r>
      <w:bookmarkStart w:id="76" w:name="OLE_LINK4"/>
      <w:r>
        <w:rPr>
          <w:color w:val="000000" w:themeColor="text1"/>
          <w14:textFill>
            <w14:solidFill>
              <w14:schemeClr w14:val="tx1"/>
            </w14:solidFill>
          </w14:textFill>
        </w:rPr>
        <w:t>GBZ230-2010</w:t>
      </w:r>
      <w:bookmarkEnd w:id="76"/>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（25）《危险化学品企业特殊作业安全规范》（GB30871-2022）；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（26）《生产经营单位生产安全事故应急预案编制导则》（</w:t>
      </w:r>
      <w:r>
        <w:rPr>
          <w:color w:val="000000" w:themeColor="text1"/>
          <w14:textFill>
            <w14:solidFill>
              <w14:schemeClr w14:val="tx1"/>
            </w14:solidFill>
          </w14:textFill>
        </w:rPr>
        <w:t>GB/T 29639-2020</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（27）《危险货物品名表》（</w:t>
      </w:r>
      <w:bookmarkStart w:id="77" w:name="OLE_LINK44"/>
      <w:r>
        <w:rPr>
          <w:color w:val="000000" w:themeColor="text1"/>
          <w14:textFill>
            <w14:solidFill>
              <w14:schemeClr w14:val="tx1"/>
            </w14:solidFill>
          </w14:textFill>
        </w:rPr>
        <w:t>GB12268-2012</w:t>
      </w:r>
      <w:bookmarkEnd w:id="77"/>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《用电安全导则》</w:t>
      </w:r>
      <w:r>
        <w:rPr>
          <w:rFonts w:hint="eastAsia"/>
          <w:color w:val="000000" w:themeColor="text1"/>
          <w14:textFill>
            <w14:solidFill>
              <w14:schemeClr w14:val="tx1"/>
            </w14:solidFill>
          </w14:textFill>
        </w:rPr>
        <w:t>（GB/T13869-20</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（29）《消防安全标志设置要求》（GB15630-1995）；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（30）《危险化学品单位应急救援物资配备要求》（GB 30077-20</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（31）《车用汽油》（GB</w:t>
      </w:r>
      <w:r>
        <w:rPr>
          <w:color w:val="000000" w:themeColor="text1"/>
          <w14:textFill>
            <w14:solidFill>
              <w14:schemeClr w14:val="tx1"/>
            </w14:solidFill>
          </w14:textFill>
        </w:rPr>
        <w:t>17930</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（32）《车用柴油》（GB</w:t>
      </w:r>
      <w:r>
        <w:rPr>
          <w:color w:val="000000" w:themeColor="text1"/>
          <w14:textFill>
            <w14:solidFill>
              <w14:schemeClr w14:val="tx1"/>
            </w14:solidFill>
          </w14:textFill>
        </w:rPr>
        <w:t>19147</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（33）《</w:t>
      </w:r>
      <w:r>
        <w:rPr>
          <w:color w:val="000000" w:themeColor="text1"/>
          <w14:textFill>
            <w14:solidFill>
              <w14:schemeClr w14:val="tx1"/>
            </w14:solidFill>
          </w14:textFill>
        </w:rPr>
        <w:t>建筑防火通用规范</w:t>
      </w:r>
      <w:r>
        <w:rPr>
          <w:rFonts w:hint="eastAsia"/>
          <w:color w:val="000000" w:themeColor="text1"/>
          <w14:textFill>
            <w14:solidFill>
              <w14:schemeClr w14:val="tx1"/>
            </w14:solidFill>
          </w14:textFill>
        </w:rPr>
        <w:t>》（GB55037-2022）。</w:t>
      </w:r>
    </w:p>
    <w:p>
      <w:pPr>
        <w:pStyle w:val="4"/>
        <w:ind w:firstLine="562"/>
        <w:rPr>
          <w:color w:val="000000" w:themeColor="text1"/>
          <w14:textFill>
            <w14:solidFill>
              <w14:schemeClr w14:val="tx1"/>
            </w14:solidFill>
          </w14:textFill>
        </w:rPr>
      </w:pPr>
      <w:bookmarkStart w:id="78" w:name="_Toc6294"/>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标准</w:t>
      </w:r>
      <w:bookmarkEnd w:id="78"/>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）《安全评价通则》（</w:t>
      </w:r>
      <w:bookmarkStart w:id="79" w:name="OLE_LINK3"/>
      <w:r>
        <w:rPr>
          <w:rFonts w:hint="eastAsia" w:ascii="新宋体" w:hAnsi="新宋体" w:eastAsia="新宋体"/>
          <w:color w:val="000000" w:themeColor="text1"/>
          <w14:textFill>
            <w14:solidFill>
              <w14:schemeClr w14:val="tx1"/>
            </w14:solidFill>
          </w14:textFill>
        </w:rPr>
        <w:t>AQ8001-2007</w:t>
      </w:r>
      <w:bookmarkEnd w:id="79"/>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）《加油站作业安全规范》（AQ3010-20</w:t>
      </w:r>
      <w:r>
        <w:rPr>
          <w:rFonts w:ascii="新宋体" w:hAnsi="新宋体" w:eastAsia="新宋体"/>
          <w:color w:val="000000" w:themeColor="text1"/>
          <w14:textFill>
            <w14:solidFill>
              <w14:schemeClr w14:val="tx1"/>
            </w14:solidFill>
          </w14:textFill>
        </w:rPr>
        <w:t>22</w:t>
      </w: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lang w:eastAsia="zh-CN"/>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3</w:t>
      </w:r>
      <w:r>
        <w:rPr>
          <w:rFonts w:hint="eastAsia" w:ascii="新宋体" w:hAnsi="新宋体" w:eastAsia="新宋体"/>
          <w:color w:val="000000" w:themeColor="text1"/>
          <w:lang w:eastAsia="zh-CN"/>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《危险场所电气防爆安全规范》（</w:t>
      </w:r>
      <w:bookmarkStart w:id="80" w:name="OLE_LINK40"/>
      <w:r>
        <w:rPr>
          <w:rFonts w:hint="eastAsia" w:ascii="新宋体" w:hAnsi="新宋体" w:eastAsia="新宋体"/>
          <w:color w:val="000000" w:themeColor="text1"/>
          <w14:textFill>
            <w14:solidFill>
              <w14:schemeClr w14:val="tx1"/>
            </w14:solidFill>
          </w14:textFill>
        </w:rPr>
        <w:t>AQ3009-2007</w:t>
      </w:r>
      <w:bookmarkEnd w:id="80"/>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）《危险化学品储罐区作业安全通则》（</w:t>
      </w:r>
      <w:bookmarkStart w:id="81" w:name="OLE_LINK39"/>
      <w:r>
        <w:rPr>
          <w:rFonts w:hint="eastAsia" w:ascii="新宋体" w:hAnsi="新宋体" w:eastAsia="新宋体"/>
          <w:color w:val="000000" w:themeColor="text1"/>
          <w14:textFill>
            <w14:solidFill>
              <w14:schemeClr w14:val="tx1"/>
            </w14:solidFill>
          </w14:textFill>
        </w:rPr>
        <w:t>AQ3018-2008</w:t>
      </w:r>
      <w:bookmarkEnd w:id="81"/>
      <w:r>
        <w:rPr>
          <w:rFonts w:hint="eastAsia" w:ascii="新宋体" w:hAnsi="新宋体" w:eastAsia="新宋体"/>
          <w:color w:val="000000" w:themeColor="text1"/>
          <w14:textFill>
            <w14:solidFill>
              <w14:schemeClr w14:val="tx1"/>
            </w14:solidFill>
          </w14:textFill>
        </w:rPr>
        <w:t>）；</w:t>
      </w:r>
    </w:p>
    <w:p>
      <w:pPr>
        <w:ind w:left="467" w:leftChars="167"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）《化学品作业场所安全警示标志规范》（</w:t>
      </w:r>
      <w:bookmarkStart w:id="82" w:name="OLE_LINK41"/>
      <w:r>
        <w:rPr>
          <w:rFonts w:ascii="新宋体" w:hAnsi="新宋体" w:eastAsia="新宋体"/>
          <w:color w:val="000000" w:themeColor="text1"/>
          <w14:textFill>
            <w14:solidFill>
              <w14:schemeClr w14:val="tx1"/>
            </w14:solidFill>
          </w14:textFill>
        </w:rPr>
        <w:t>AQ3047-2013</w:t>
      </w:r>
      <w:bookmarkEnd w:id="82"/>
      <w:r>
        <w:rPr>
          <w:rFonts w:hint="eastAsia" w:ascii="新宋体" w:hAnsi="新宋体" w:eastAsia="新宋体"/>
          <w:color w:val="000000" w:themeColor="text1"/>
          <w14:textFill>
            <w14:solidFill>
              <w14:schemeClr w14:val="tx1"/>
            </w14:solidFill>
          </w14:textFill>
        </w:rPr>
        <w:t>）。</w:t>
      </w:r>
    </w:p>
    <w:p>
      <w:pPr>
        <w:pStyle w:val="4"/>
        <w:ind w:firstLine="562"/>
        <w:rPr>
          <w:color w:val="000000" w:themeColor="text1"/>
          <w14:textFill>
            <w14:solidFill>
              <w14:schemeClr w14:val="tx1"/>
            </w14:solidFill>
          </w14:textFill>
        </w:rPr>
      </w:pPr>
      <w:bookmarkStart w:id="83" w:name="_Toc26434"/>
      <w:r>
        <w:rPr>
          <w:rFonts w:hint="eastAsia"/>
          <w:color w:val="000000" w:themeColor="text1"/>
          <w14:textFill>
            <w14:solidFill>
              <w14:schemeClr w14:val="tx1"/>
            </w14:solidFill>
          </w14:textFill>
        </w:rPr>
        <w:t>行业</w:t>
      </w:r>
      <w:r>
        <w:rPr>
          <w:color w:val="000000" w:themeColor="text1"/>
          <w14:textFill>
            <w14:solidFill>
              <w14:schemeClr w14:val="tx1"/>
            </w14:solidFill>
          </w14:textFill>
        </w:rPr>
        <w:t>标准</w:t>
      </w:r>
      <w:bookmarkEnd w:id="83"/>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（1）《化工企业安全卫生设计规范》（</w:t>
      </w:r>
      <w:bookmarkStart w:id="84" w:name="OLE_LINK42"/>
      <w:r>
        <w:rPr>
          <w:rFonts w:hint="eastAsia" w:ascii="新宋体" w:hAnsi="新宋体" w:eastAsia="新宋体"/>
          <w:color w:val="000000" w:themeColor="text1"/>
          <w14:textFill>
            <w14:solidFill>
              <w14:schemeClr w14:val="tx1"/>
            </w14:solidFill>
          </w14:textFill>
        </w:rPr>
        <w:t>HG20571-2014</w:t>
      </w:r>
      <w:bookmarkEnd w:id="84"/>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（2）《石油化工静电接地设计规范》（S</w:t>
      </w:r>
      <w:r>
        <w:rPr>
          <w:rFonts w:ascii="新宋体" w:hAnsi="新宋体" w:eastAsia="新宋体"/>
          <w:color w:val="000000" w:themeColor="text1"/>
          <w14:textFill>
            <w14:solidFill>
              <w14:schemeClr w14:val="tx1"/>
            </w14:solidFill>
          </w14:textFill>
        </w:rPr>
        <w:t>H/T3097-2017</w:t>
      </w:r>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（3）《汽车加油加气站消防安全管理》（XF/T3004-2020）；</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（4）《石油化工设备和管道涂料防腐蚀设计标准》（</w:t>
      </w:r>
      <w:r>
        <w:rPr>
          <w:rFonts w:ascii="新宋体" w:hAnsi="新宋体" w:eastAsia="新宋体"/>
          <w:color w:val="000000" w:themeColor="text1"/>
          <w14:textFill>
            <w14:solidFill>
              <w14:schemeClr w14:val="tx1"/>
            </w14:solidFill>
          </w14:textFill>
        </w:rPr>
        <w:t>SH/T3022-2019</w:t>
      </w:r>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）《加油站用埋地钢</w:t>
      </w:r>
      <w:r>
        <w:rPr>
          <w:rFonts w:ascii="新宋体" w:hAnsi="新宋体" w:eastAsia="新宋体"/>
          <w:color w:val="000000" w:themeColor="text1"/>
          <w14:textFill>
            <w14:solidFill>
              <w14:schemeClr w14:val="tx1"/>
            </w14:solidFill>
          </w14:textFill>
        </w:rPr>
        <w:t>-玻璃纤维增强塑料双层油罐工程技术规范</w:t>
      </w:r>
      <w:r>
        <w:rPr>
          <w:rFonts w:hint="eastAsia" w:ascii="新宋体" w:hAnsi="新宋体" w:eastAsia="新宋体"/>
          <w:color w:val="000000" w:themeColor="text1"/>
          <w14:textFill>
            <w14:solidFill>
              <w14:schemeClr w14:val="tx1"/>
            </w14:solidFill>
          </w14:textFill>
        </w:rPr>
        <w:t>》（</w:t>
      </w:r>
      <w:bookmarkStart w:id="85" w:name="OLE_LINK43"/>
      <w:r>
        <w:rPr>
          <w:rFonts w:ascii="新宋体" w:hAnsi="新宋体" w:eastAsia="新宋体"/>
          <w:color w:val="000000" w:themeColor="text1"/>
          <w14:textFill>
            <w14:solidFill>
              <w14:schemeClr w14:val="tx1"/>
            </w14:solidFill>
          </w14:textFill>
        </w:rPr>
        <w:t>SH/T 3178-2015</w:t>
      </w:r>
      <w:bookmarkEnd w:id="85"/>
      <w:r>
        <w:rPr>
          <w:rFonts w:hint="eastAsia" w:ascii="新宋体" w:hAnsi="新宋体" w:eastAsia="新宋体"/>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86" w:name="_Toc22068"/>
      <w:r>
        <w:rPr>
          <w:rFonts w:hint="eastAsia"/>
          <w:color w:val="000000" w:themeColor="text1"/>
          <w14:textFill>
            <w14:solidFill>
              <w14:schemeClr w14:val="tx1"/>
            </w14:solidFill>
          </w14:textFill>
        </w:rPr>
        <w:t>工作经过和程序</w:t>
      </w:r>
      <w:bookmarkEnd w:id="45"/>
      <w:bookmarkEnd w:id="46"/>
      <w:bookmarkEnd w:id="86"/>
    </w:p>
    <w:bookmarkEnd w:id="38"/>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本次安全现状评价大体分为三个阶段。</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第一阶段为准备阶段，主要收集有关资料，进行初步的危险、危害因素识别，选择评价方法，编制评价大纲；</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第二阶段为实施评价阶段，对工程安全情况进行类比调查，运用合适的评价方法进行定性及定量分析，提出安全对策措施；</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第三阶段为报告书的编制阶段，主要是汇总评价实施阶段所得到的各种资料、数据，综合分析提出结论与建议，完成项目安全现状评价报告的编制。</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按照《安全评价通则》（AQ8001-2007）的要求，安全评价程序包括前期准备，辨识与分析危险、有害因素，划分评价单元，确定安全评价方法，定性、定量分析危险、有害程度，分析安全条件和安全生产条件，提出安全对策与建议，整理、归纳安全评价结论，与建设单位交换意见，编制安全评价报告。</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本次安全评价工作程序见图1-1。</w:t>
      </w:r>
    </w:p>
    <w:p>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389.25pt;width:230.25pt;" o:ole="t" filled="f" o:preferrelative="t" stroked="f" coordsize="21600,21600">
            <v:path/>
            <v:fill on="f" focussize="0,0"/>
            <v:stroke on="f"/>
            <v:imagedata r:id="rId44" o:title=""/>
            <o:lock v:ext="edit" aspectratio="t"/>
            <w10:wrap type="none"/>
            <w10:anchorlock/>
          </v:shape>
          <o:OLEObject Type="Embed" ProgID="Visio.Drawing.15" ShapeID="_x0000_i1025" DrawAspect="Content" ObjectID="_1468075725" r:id="rId43">
            <o:LockedField>false</o:LockedField>
          </o:OLEObject>
        </w:object>
      </w:r>
    </w:p>
    <w:p>
      <w:pPr>
        <w:pStyle w:val="65"/>
        <w:ind w:firstLine="562"/>
        <w:rPr>
          <w:color w:val="000000" w:themeColor="text1"/>
          <w14:textFill>
            <w14:solidFill>
              <w14:schemeClr w14:val="tx1"/>
            </w14:solidFill>
          </w14:textFill>
        </w:rPr>
      </w:pPr>
      <w:r>
        <w:rPr>
          <w:color w:val="000000" w:themeColor="text1"/>
          <w14:textFill>
            <w14:solidFill>
              <w14:schemeClr w14:val="tx1"/>
            </w14:solidFill>
          </w14:textFill>
        </w:rPr>
        <w:t>图1-1  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评价工作程序</w:t>
      </w:r>
    </w:p>
    <w:p>
      <w:pPr>
        <w:pStyle w:val="3"/>
        <w:rPr>
          <w:color w:val="000000" w:themeColor="text1"/>
          <w14:textFill>
            <w14:solidFill>
              <w14:schemeClr w14:val="tx1"/>
            </w14:solidFill>
          </w14:textFill>
        </w:rPr>
      </w:pPr>
      <w:bookmarkStart w:id="87" w:name="_Toc25264"/>
      <w:bookmarkStart w:id="88" w:name="_Toc258574825"/>
      <w:r>
        <w:rPr>
          <w:rFonts w:hint="eastAsia"/>
          <w:color w:val="000000" w:themeColor="text1"/>
          <w14:textFill>
            <w14:solidFill>
              <w14:schemeClr w14:val="tx1"/>
            </w14:solidFill>
          </w14:textFill>
        </w:rPr>
        <w:t>评价基准日</w:t>
      </w:r>
      <w:bookmarkEnd w:id="87"/>
      <w:bookmarkEnd w:id="88"/>
    </w:p>
    <w:p>
      <w:pPr>
        <w:pStyle w:val="45"/>
        <w:keepNext w:val="0"/>
        <w:keepLines w:val="0"/>
        <w:pageBreakBefore w:val="0"/>
        <w:widowControl w:val="0"/>
        <w:kinsoku/>
        <w:wordWrap/>
        <w:overflowPunct/>
        <w:topLinePunct w:val="0"/>
        <w:autoSpaceDE/>
        <w:autoSpaceDN/>
        <w:bidi w:val="0"/>
        <w:adjustRightInd/>
        <w:snapToGrid w:val="0"/>
        <w:ind w:firstLine="560"/>
        <w:textAlignment w:val="auto"/>
        <w:rPr>
          <w:color w:val="000000" w:themeColor="text1"/>
          <w14:textFill>
            <w14:solidFill>
              <w14:schemeClr w14:val="tx1"/>
            </w14:solidFill>
          </w14:textFill>
        </w:rPr>
        <w:sectPr>
          <w:footerReference r:id="rId11" w:type="default"/>
          <w:pgSz w:w="11905" w:h="16838"/>
          <w:pgMar w:top="1417" w:right="1134" w:bottom="1134" w:left="1587" w:header="850" w:footer="850" w:gutter="0"/>
          <w:pgNumType w:start="1"/>
          <w:cols w:space="0" w:num="1"/>
          <w:docGrid w:type="linesAndChars" w:linePitch="386" w:charSpace="0"/>
        </w:sectPr>
      </w:pPr>
      <w:r>
        <w:rPr>
          <w:rFonts w:hint="eastAsia"/>
          <w:color w:val="000000" w:themeColor="text1"/>
          <w14:textFill>
            <w14:solidFill>
              <w14:schemeClr w14:val="tx1"/>
            </w14:solidFill>
          </w14:textFill>
        </w:rPr>
        <w:t>本项目的评价人员于</w:t>
      </w:r>
      <w:r>
        <w:rPr>
          <w:rFonts w:hint="eastAsia"/>
          <w:color w:val="000000" w:themeColor="text1"/>
          <w:lang w:eastAsia="zh-CN"/>
          <w14:textFill>
            <w14:solidFill>
              <w14:schemeClr w14:val="tx1"/>
            </w14:solidFill>
          </w14:textFill>
        </w:rPr>
        <w:t>2025年4月17日</w:t>
      </w:r>
      <w:r>
        <w:rPr>
          <w:rFonts w:hint="eastAsia"/>
          <w:color w:val="000000" w:themeColor="text1"/>
          <w14:textFill>
            <w14:solidFill>
              <w14:schemeClr w14:val="tx1"/>
            </w14:solidFill>
          </w14:textFill>
        </w:rPr>
        <w:t>到现场对该项目进行检查，评价基准日为：</w:t>
      </w:r>
      <w:r>
        <w:rPr>
          <w:rFonts w:hint="eastAsia"/>
          <w:color w:val="000000" w:themeColor="text1"/>
          <w:lang w:eastAsia="zh-CN"/>
          <w14:textFill>
            <w14:solidFill>
              <w14:schemeClr w14:val="tx1"/>
            </w14:solidFill>
          </w14:textFill>
        </w:rPr>
        <w:t>2025年4月17日</w:t>
      </w:r>
      <w:r>
        <w:rPr>
          <w:rFonts w:hint="eastAsia"/>
          <w:color w:val="000000" w:themeColor="text1"/>
          <w14:textFill>
            <w14:solidFill>
              <w14:schemeClr w14:val="tx1"/>
            </w14:solidFill>
          </w14:textFill>
        </w:rPr>
        <w:t>。</w:t>
      </w:r>
    </w:p>
    <w:p>
      <w:pPr>
        <w:pStyle w:val="2"/>
        <w:spacing w:before="193" w:after="193"/>
        <w:rPr>
          <w:color w:val="000000" w:themeColor="text1"/>
          <w14:textFill>
            <w14:solidFill>
              <w14:schemeClr w14:val="tx1"/>
            </w14:solidFill>
          </w14:textFill>
        </w:rPr>
      </w:pPr>
      <w:bookmarkStart w:id="89" w:name="_Toc25055"/>
      <w:bookmarkStart w:id="90" w:name="_Toc12981"/>
      <w:r>
        <w:rPr>
          <w:rFonts w:hint="eastAsia"/>
          <w:color w:val="000000" w:themeColor="text1"/>
          <w14:textFill>
            <w14:solidFill>
              <w14:schemeClr w14:val="tx1"/>
            </w14:solidFill>
          </w14:textFill>
        </w:rPr>
        <w:t>加油站概况</w:t>
      </w:r>
      <w:bookmarkEnd w:id="89"/>
      <w:bookmarkEnd w:id="90"/>
    </w:p>
    <w:p>
      <w:pPr>
        <w:pStyle w:val="3"/>
        <w:rPr>
          <w:color w:val="000000" w:themeColor="text1"/>
          <w14:textFill>
            <w14:solidFill>
              <w14:schemeClr w14:val="tx1"/>
            </w14:solidFill>
          </w14:textFill>
        </w:rPr>
      </w:pPr>
      <w:bookmarkStart w:id="91" w:name="_Toc6882"/>
      <w:bookmarkStart w:id="92" w:name="_Toc7654"/>
      <w:r>
        <w:rPr>
          <w:rFonts w:hint="eastAsia"/>
          <w:color w:val="000000" w:themeColor="text1"/>
          <w14:textFill>
            <w14:solidFill>
              <w14:schemeClr w14:val="tx1"/>
            </w14:solidFill>
          </w14:textFill>
        </w:rPr>
        <w:t>加油站基本概况</w:t>
      </w:r>
      <w:r>
        <w:rPr>
          <w:color w:val="000000" w:themeColor="text1"/>
          <w14:textFill>
            <w14:solidFill>
              <w14:schemeClr w14:val="tx1"/>
            </w14:solidFill>
          </w14:textFill>
        </w:rPr>
        <w:t>简介</w:t>
      </w:r>
      <w:bookmarkEnd w:id="91"/>
      <w:bookmarkEnd w:id="92"/>
    </w:p>
    <w:p>
      <w:pPr>
        <w:keepNext w:val="0"/>
        <w:keepLines w:val="0"/>
        <w:pageBreakBefore w:val="0"/>
        <w:widowControl w:val="0"/>
        <w:kinsoku/>
        <w:wordWrap/>
        <w:overflowPunct/>
        <w:topLinePunct w:val="0"/>
        <w:autoSpaceDE/>
        <w:autoSpaceDN/>
        <w:bidi w:val="0"/>
        <w:adjustRightInd/>
        <w:snapToGrid/>
        <w:textAlignment w:val="auto"/>
        <w:rPr>
          <w:color w:val="000000" w:themeColor="text1"/>
          <w:szCs w:val="28"/>
          <w14:textFill>
            <w14:solidFill>
              <w14:schemeClr w14:val="tx1"/>
            </w14:solidFill>
          </w14:textFill>
        </w:rPr>
      </w:pPr>
      <w:bookmarkStart w:id="93" w:name="OLE_LINK12"/>
      <w:bookmarkStart w:id="94" w:name="_Toc275268707"/>
      <w:r>
        <w:rPr>
          <w:rFonts w:hint="eastAsia"/>
          <w:color w:val="000000" w:themeColor="text1"/>
          <w:szCs w:val="28"/>
          <w:lang w:eastAsia="zh-CN"/>
          <w14:textFill>
            <w14:solidFill>
              <w14:schemeClr w14:val="tx1"/>
            </w14:solidFill>
          </w14:textFill>
        </w:rPr>
        <w:t>丘北县树皮路顺加油站</w:t>
      </w:r>
      <w:bookmarkEnd w:id="93"/>
      <w:r>
        <w:rPr>
          <w:rFonts w:hint="eastAsia"/>
          <w:color w:val="000000" w:themeColor="text1"/>
          <w:szCs w:val="28"/>
          <w14:textFill>
            <w14:solidFill>
              <w14:schemeClr w14:val="tx1"/>
            </w14:solidFill>
          </w14:textFill>
        </w:rPr>
        <w:t>成立于20</w:t>
      </w:r>
      <w:r>
        <w:rPr>
          <w:rFonts w:hint="eastAsia"/>
          <w:color w:val="000000" w:themeColor="text1"/>
          <w:szCs w:val="28"/>
          <w:lang w:val="en-US" w:eastAsia="zh-CN"/>
          <w14:textFill>
            <w14:solidFill>
              <w14:schemeClr w14:val="tx1"/>
            </w14:solidFill>
          </w14:textFill>
        </w:rPr>
        <w:t>13</w:t>
      </w:r>
      <w:r>
        <w:rPr>
          <w:rFonts w:hint="eastAsia"/>
          <w:color w:val="000000" w:themeColor="text1"/>
          <w:szCs w:val="28"/>
          <w14:textFill>
            <w14:solidFill>
              <w14:schemeClr w14:val="tx1"/>
            </w14:solidFill>
          </w14:textFill>
        </w:rPr>
        <w:t>年，地址位于</w:t>
      </w:r>
      <w:r>
        <w:rPr>
          <w:rFonts w:hint="eastAsia"/>
          <w:color w:val="000000" w:themeColor="text1"/>
          <w:szCs w:val="28"/>
          <w:lang w:eastAsia="zh-CN"/>
          <w14:textFill>
            <w14:solidFill>
              <w14:schemeClr w14:val="tx1"/>
            </w14:solidFill>
          </w14:textFill>
        </w:rPr>
        <w:t>云南省文山壮族苗族自治州丘北县树皮乡树皮街头新树线旁</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法定代表人</w:t>
      </w:r>
      <w:r>
        <w:rPr>
          <w:rFonts w:hint="eastAsia"/>
          <w:color w:val="000000" w:themeColor="text1"/>
          <w:szCs w:val="28"/>
          <w14:textFill>
            <w14:solidFill>
              <w14:schemeClr w14:val="tx1"/>
            </w14:solidFill>
          </w14:textFill>
        </w:rPr>
        <w:t>为吴启爱，主要经营车用汽柴、柴油；加油站《危险化学品经营许可证》登记编号为：云文</w:t>
      </w:r>
      <w:r>
        <w:rPr>
          <w:rFonts w:hint="eastAsia"/>
          <w:color w:val="000000" w:themeColor="text1"/>
          <w:szCs w:val="28"/>
          <w:lang w:val="en-US" w:eastAsia="zh-CN"/>
          <w14:textFill>
            <w14:solidFill>
              <w14:schemeClr w14:val="tx1"/>
            </w14:solidFill>
          </w14:textFill>
        </w:rPr>
        <w:t>丘</w:t>
      </w:r>
      <w:r>
        <w:rPr>
          <w:rFonts w:hint="eastAsia"/>
          <w:color w:val="000000" w:themeColor="text1"/>
          <w:szCs w:val="28"/>
          <w14:textFill>
            <w14:solidFill>
              <w14:schemeClr w14:val="tx1"/>
            </w14:solidFill>
          </w14:textFill>
        </w:rPr>
        <w:t>危化经字</w:t>
      </w:r>
      <w:r>
        <w:rPr>
          <w:rFonts w:hint="eastAsia" w:ascii="新宋体" w:hAnsi="新宋体" w:eastAsia="新宋体"/>
          <w:color w:val="000000" w:themeColor="text1"/>
          <w14:textFill>
            <w14:solidFill>
              <w14:schemeClr w14:val="tx1"/>
            </w14:solidFill>
          </w14:textFill>
        </w:rPr>
        <w:t>〔20</w:t>
      </w:r>
      <w:r>
        <w:rPr>
          <w:rFonts w:hint="eastAsia" w:ascii="新宋体" w:hAnsi="新宋体" w:eastAsia="新宋体"/>
          <w:color w:val="000000" w:themeColor="text1"/>
          <w:lang w:val="en-US" w:eastAsia="zh-CN"/>
          <w14:textFill>
            <w14:solidFill>
              <w14:schemeClr w14:val="tx1"/>
            </w14:solidFill>
          </w14:textFill>
        </w:rPr>
        <w:t>19</w:t>
      </w: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000007</w:t>
      </w:r>
      <w:r>
        <w:rPr>
          <w:color w:val="000000" w:themeColor="text1"/>
          <w:szCs w:val="28"/>
          <w14:textFill>
            <w14:solidFill>
              <w14:schemeClr w14:val="tx1"/>
            </w14:solidFill>
          </w14:textFill>
        </w:rPr>
        <w:t>，有效期202</w:t>
      </w:r>
      <w:r>
        <w:rPr>
          <w:rFonts w:hint="eastAsia"/>
          <w:color w:val="000000" w:themeColor="text1"/>
          <w:szCs w:val="28"/>
          <w:lang w:val="en-US" w:eastAsia="zh-CN"/>
          <w14:textFill>
            <w14:solidFill>
              <w14:schemeClr w14:val="tx1"/>
            </w14:solidFill>
          </w14:textFill>
        </w:rPr>
        <w:t>2</w:t>
      </w:r>
      <w:r>
        <w:rPr>
          <w:color w:val="000000" w:themeColor="text1"/>
          <w:szCs w:val="28"/>
          <w14:textFill>
            <w14:solidFill>
              <w14:schemeClr w14:val="tx1"/>
            </w14:solidFill>
          </w14:textFill>
        </w:rPr>
        <w:t>年</w:t>
      </w:r>
      <w:r>
        <w:rPr>
          <w:rFonts w:hint="eastAsia"/>
          <w:color w:val="000000" w:themeColor="text1"/>
          <w:szCs w:val="28"/>
          <w:lang w:val="en-US" w:eastAsia="zh-CN"/>
          <w14:textFill>
            <w14:solidFill>
              <w14:schemeClr w14:val="tx1"/>
            </w14:solidFill>
          </w14:textFill>
        </w:rPr>
        <w:t>6</w:t>
      </w:r>
      <w:r>
        <w:rPr>
          <w:color w:val="000000" w:themeColor="text1"/>
          <w:szCs w:val="28"/>
          <w14:textFill>
            <w14:solidFill>
              <w14:schemeClr w14:val="tx1"/>
            </w14:solidFill>
          </w14:textFill>
        </w:rPr>
        <w:t>月</w:t>
      </w:r>
      <w:r>
        <w:rPr>
          <w:rFonts w:hint="eastAsia"/>
          <w:color w:val="000000" w:themeColor="text1"/>
          <w:szCs w:val="28"/>
          <w:lang w:val="en-US" w:eastAsia="zh-CN"/>
          <w14:textFill>
            <w14:solidFill>
              <w14:schemeClr w14:val="tx1"/>
            </w14:solidFill>
          </w14:textFill>
        </w:rPr>
        <w:t>15</w:t>
      </w:r>
      <w:r>
        <w:rPr>
          <w:color w:val="000000" w:themeColor="text1"/>
          <w:szCs w:val="28"/>
          <w14:textFill>
            <w14:solidFill>
              <w14:schemeClr w14:val="tx1"/>
            </w14:solidFill>
          </w14:textFill>
        </w:rPr>
        <w:t>日至202</w:t>
      </w:r>
      <w:r>
        <w:rPr>
          <w:rFonts w:hint="eastAsia"/>
          <w:color w:val="000000" w:themeColor="text1"/>
          <w:szCs w:val="28"/>
          <w:lang w:val="en-US" w:eastAsia="zh-CN"/>
          <w14:textFill>
            <w14:solidFill>
              <w14:schemeClr w14:val="tx1"/>
            </w14:solidFill>
          </w14:textFill>
        </w:rPr>
        <w:t>5</w:t>
      </w:r>
      <w:r>
        <w:rPr>
          <w:color w:val="000000" w:themeColor="text1"/>
          <w:szCs w:val="28"/>
          <w14:textFill>
            <w14:solidFill>
              <w14:schemeClr w14:val="tx1"/>
            </w14:solidFill>
          </w14:textFill>
        </w:rPr>
        <w:t>年</w:t>
      </w:r>
      <w:r>
        <w:rPr>
          <w:rFonts w:hint="eastAsia"/>
          <w:color w:val="000000" w:themeColor="text1"/>
          <w:szCs w:val="28"/>
          <w:lang w:val="en-US" w:eastAsia="zh-CN"/>
          <w14:textFill>
            <w14:solidFill>
              <w14:schemeClr w14:val="tx1"/>
            </w14:solidFill>
          </w14:textFill>
        </w:rPr>
        <w:t>6</w:t>
      </w:r>
      <w:r>
        <w:rPr>
          <w:color w:val="000000" w:themeColor="text1"/>
          <w:szCs w:val="28"/>
          <w14:textFill>
            <w14:solidFill>
              <w14:schemeClr w14:val="tx1"/>
            </w14:solidFill>
          </w14:textFill>
        </w:rPr>
        <w:t>月</w:t>
      </w:r>
      <w:r>
        <w:rPr>
          <w:rFonts w:hint="eastAsia"/>
          <w:color w:val="000000" w:themeColor="text1"/>
          <w:szCs w:val="28"/>
          <w:lang w:val="en-US" w:eastAsia="zh-CN"/>
          <w14:textFill>
            <w14:solidFill>
              <w14:schemeClr w14:val="tx1"/>
            </w14:solidFill>
          </w14:textFill>
        </w:rPr>
        <w:t>14</w:t>
      </w:r>
      <w:r>
        <w:rPr>
          <w:color w:val="000000" w:themeColor="text1"/>
          <w:szCs w:val="28"/>
          <w14:textFill>
            <w14:solidFill>
              <w14:schemeClr w14:val="tx1"/>
            </w14:solidFill>
          </w14:textFill>
        </w:rPr>
        <w:t>日</w:t>
      </w:r>
      <w:r>
        <w:rPr>
          <w:rFonts w:hint="eastAsia"/>
          <w:color w:val="000000" w:themeColor="text1"/>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占地面积</w:t>
      </w:r>
      <w:r>
        <w:rPr>
          <w:rFonts w:hint="eastAsia"/>
          <w:color w:val="000000" w:themeColor="text1"/>
          <w:lang w:val="en-US" w:eastAsia="zh-CN"/>
          <w14:textFill>
            <w14:solidFill>
              <w14:schemeClr w14:val="tx1"/>
            </w14:solidFill>
          </w14:textFill>
        </w:rPr>
        <w:t>1870</w:t>
      </w:r>
      <w:r>
        <w:rPr>
          <w:rFonts w:hint="eastAsia"/>
          <w:color w:val="000000" w:themeColor="text1"/>
          <w14:textFill>
            <w14:solidFill>
              <w14:schemeClr w14:val="tx1"/>
            </w14:solidFill>
          </w14:textFill>
        </w:rPr>
        <w:t>㎡，油罐布置在站区</w:t>
      </w:r>
      <w:r>
        <w:rPr>
          <w:rFonts w:hint="eastAsia"/>
          <w:color w:val="000000" w:themeColor="text1"/>
          <w:lang w:val="en-US" w:eastAsia="zh-CN"/>
          <w14:textFill>
            <w14:solidFill>
              <w14:schemeClr w14:val="tx1"/>
            </w14:solidFill>
          </w14:textFill>
        </w:rPr>
        <w:t>东北</w:t>
      </w:r>
      <w:r>
        <w:rPr>
          <w:rFonts w:hint="eastAsia"/>
          <w:color w:val="000000" w:themeColor="text1"/>
          <w14:textFill>
            <w14:solidFill>
              <w14:schemeClr w14:val="tx1"/>
            </w14:solidFill>
          </w14:textFill>
        </w:rPr>
        <w:t>侧的油罐池内，</w:t>
      </w:r>
      <w:bookmarkStart w:id="95" w:name="OLE_LINK32"/>
      <w:r>
        <w:rPr>
          <w:rFonts w:hint="eastAsia"/>
          <w:color w:val="000000" w:themeColor="text1"/>
          <w14:textFill>
            <w14:solidFill>
              <w14:schemeClr w14:val="tx1"/>
            </w14:solidFill>
          </w14:textFill>
        </w:rPr>
        <w:t>设置有</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个SF双层油罐，</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0m³0#柴油罐</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#汽油罐1个，</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#汽油罐1个，总容积</w:t>
      </w:r>
      <w:r>
        <w:rPr>
          <w:rFonts w:hint="eastAsia"/>
          <w:color w:val="000000" w:themeColor="text1"/>
          <w:lang w:val="en-US" w:eastAsia="zh-CN"/>
          <w14:textFill>
            <w14:solidFill>
              <w14:schemeClr w14:val="tx1"/>
            </w14:solidFill>
          </w14:textFill>
        </w:rPr>
        <w:t>115</w:t>
      </w:r>
      <w:r>
        <w:rPr>
          <w:rFonts w:hint="eastAsia"/>
          <w:color w:val="000000" w:themeColor="text1"/>
          <w14:textFill>
            <w14:solidFill>
              <w14:schemeClr w14:val="tx1"/>
            </w14:solidFill>
          </w14:textFill>
        </w:rPr>
        <w:t>m³</w:t>
      </w:r>
      <w:bookmarkEnd w:id="95"/>
      <w:r>
        <w:rPr>
          <w:rFonts w:hint="eastAsia"/>
          <w:color w:val="000000" w:themeColor="text1"/>
          <w14:textFill>
            <w14:solidFill>
              <w14:schemeClr w14:val="tx1"/>
            </w14:solidFill>
          </w14:textFill>
        </w:rPr>
        <w:t>（柴油折半），为</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级加油站；加油区布置有</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座加油岛，</w:t>
      </w:r>
      <w:bookmarkStart w:id="96" w:name="OLE_LINK31"/>
      <w:r>
        <w:rPr>
          <w:rFonts w:hint="eastAsia"/>
          <w:color w:val="000000" w:themeColor="text1"/>
          <w:lang w:val="en-US" w:eastAsia="zh-CN"/>
          <w14:textFill>
            <w14:solidFill>
              <w14:schemeClr w14:val="tx1"/>
            </w14:solidFill>
          </w14:textFill>
        </w:rPr>
        <w:t>设置1台四枪加油机，3台双枪加油机</w:t>
      </w:r>
      <w:bookmarkEnd w:id="96"/>
      <w:r>
        <w:rPr>
          <w:rFonts w:hint="eastAsia"/>
          <w:color w:val="000000" w:themeColor="text1"/>
          <w14:textFill>
            <w14:solidFill>
              <w14:schemeClr w14:val="tx1"/>
            </w14:solidFill>
          </w14:textFill>
        </w:rPr>
        <w:t>。目前从业人员为</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人，主要负责人及安全管理人员已通过安全教育培训，并经考核合格，持证上岗，站内其他人员经站内培训合格后上岗。</w:t>
      </w:r>
    </w:p>
    <w:p>
      <w:pPr>
        <w:pStyle w:val="3"/>
        <w:rPr>
          <w:color w:val="000000" w:themeColor="text1"/>
          <w14:textFill>
            <w14:solidFill>
              <w14:schemeClr w14:val="tx1"/>
            </w14:solidFill>
          </w14:textFill>
        </w:rPr>
      </w:pPr>
      <w:bookmarkStart w:id="97" w:name="_Toc13218"/>
      <w:bookmarkStart w:id="98" w:name="_Toc22407"/>
      <w:r>
        <w:rPr>
          <w:color w:val="000000" w:themeColor="text1"/>
          <w14:textFill>
            <w14:solidFill>
              <w14:schemeClr w14:val="tx1"/>
            </w14:solidFill>
          </w14:textFill>
        </w:rPr>
        <w:t>地理位置及交通条件</w:t>
      </w:r>
      <w:bookmarkEnd w:id="94"/>
      <w:bookmarkEnd w:id="97"/>
      <w:bookmarkEnd w:id="98"/>
    </w:p>
    <w:p>
      <w:pPr>
        <w:rPr>
          <w:color w:val="000000" w:themeColor="text1"/>
          <w:kern w:val="0"/>
          <w:szCs w:val="28"/>
          <w14:textFill>
            <w14:solidFill>
              <w14:schemeClr w14:val="tx1"/>
            </w14:solidFill>
          </w14:textFill>
        </w:rPr>
      </w:pPr>
      <w:r>
        <w:rPr>
          <w:rFonts w:hint="eastAsia"/>
          <w:color w:val="000000" w:themeColor="text1"/>
          <w:kern w:val="0"/>
          <w:szCs w:val="28"/>
          <w14:textFill>
            <w14:solidFill>
              <w14:schemeClr w14:val="tx1"/>
            </w14:solidFill>
          </w14:textFill>
        </w:rPr>
        <w:t>该加油站</w:t>
      </w:r>
      <w:r>
        <w:rPr>
          <w:rFonts w:hint="eastAsia"/>
          <w:color w:val="000000" w:themeColor="text1"/>
          <w:szCs w:val="28"/>
          <w14:textFill>
            <w14:solidFill>
              <w14:schemeClr w14:val="tx1"/>
            </w14:solidFill>
          </w14:textFill>
        </w:rPr>
        <w:t>位于</w:t>
      </w:r>
      <w:r>
        <w:rPr>
          <w:rFonts w:hint="eastAsia"/>
          <w:color w:val="000000" w:themeColor="text1"/>
          <w:szCs w:val="28"/>
          <w:lang w:eastAsia="zh-CN"/>
          <w14:textFill>
            <w14:solidFill>
              <w14:schemeClr w14:val="tx1"/>
            </w14:solidFill>
          </w14:textFill>
        </w:rPr>
        <w:t>云南省文山壮族苗族自治州丘北县树皮乡树皮街头新树线旁</w:t>
      </w:r>
      <w:r>
        <w:rPr>
          <w:rFonts w:hint="eastAsia"/>
          <w:color w:val="000000" w:themeColor="text1"/>
          <w:szCs w:val="28"/>
          <w14:textFill>
            <w14:solidFill>
              <w14:schemeClr w14:val="tx1"/>
            </w14:solidFill>
          </w14:textFill>
        </w:rPr>
        <w:t>，地理坐标：东经104°7′6.337″,北纬23°52′48.076″</w:t>
      </w:r>
      <w:r>
        <w:rPr>
          <w:color w:val="000000" w:themeColor="text1"/>
          <w:kern w:val="0"/>
          <w:szCs w:val="28"/>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加油站地处新树段公路北侧</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交通位置便利。交通地理位置见图2-1。</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2707005</wp:posOffset>
                </wp:positionH>
                <wp:positionV relativeFrom="paragraph">
                  <wp:posOffset>1948180</wp:posOffset>
                </wp:positionV>
                <wp:extent cx="1295400" cy="333375"/>
                <wp:effectExtent l="6350" t="448310" r="717550" b="18415"/>
                <wp:wrapNone/>
                <wp:docPr id="9" name="对话气泡: 圆角矩形 9"/>
                <wp:cNvGraphicFramePr/>
                <a:graphic xmlns:a="http://schemas.openxmlformats.org/drawingml/2006/main">
                  <a:graphicData uri="http://schemas.microsoft.com/office/word/2010/wordprocessingShape">
                    <wps:wsp>
                      <wps:cNvSpPr/>
                      <wps:spPr>
                        <a:xfrm>
                          <a:off x="0" y="0"/>
                          <a:ext cx="1295400" cy="333375"/>
                        </a:xfrm>
                        <a:prstGeom prst="wedgeRoundRectCallout">
                          <a:avLst>
                            <a:gd name="adj1" fmla="val 100588"/>
                            <a:gd name="adj2" fmla="val -177619"/>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213.15pt;margin-top:153.4pt;height:26.25pt;width:102pt;z-index:251662336;v-text-anchor:middle;mso-width-relative:page;mso-height-relative:page;" filled="f" stroked="t" coordsize="21600,21600" o:gfxdata="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UM&#10;3XrXAAAACwEAAA8AAAAAAAAAAQAgAAAAIgAAAGRycy9kb3ducmV2LnhtbFBLAQIUABQAAAAIAIdO&#10;4kAfP1SizwIAAHMFAAAOAAAAAAAAAAEAIAAAACYBAABkcnMvZTJvRG9jLnhtbFBLBQYAAAAABgAG&#10;AFkBAABnBgAAAAA=&#10;" adj="32527,-27566,14400">
                <v:fill on="f" focussize="0,0"/>
                <v:stroke weight="1pt" color="#FF0000 [3204]" miterlimit="8" joinstyle="miter"/>
                <v:imagedata o:title=""/>
                <o:lock v:ext="edit" aspectratio="f"/>
                <v:textbox>
                  <w:txbxContent>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w:t>
                      </w:r>
                    </w:p>
                  </w:txbxContent>
                </v:textbox>
              </v:shape>
            </w:pict>
          </mc:Fallback>
        </mc:AlternateContent>
      </w:r>
      <w:r>
        <w:drawing>
          <wp:inline distT="0" distB="0" distL="114300" distR="114300">
            <wp:extent cx="5828665" cy="3248660"/>
            <wp:effectExtent l="0" t="0" r="0"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45"/>
                    <a:srcRect t="1720" b="35882"/>
                    <a:stretch>
                      <a:fillRect/>
                    </a:stretch>
                  </pic:blipFill>
                  <pic:spPr>
                    <a:xfrm>
                      <a:off x="0" y="0"/>
                      <a:ext cx="5828665" cy="3248660"/>
                    </a:xfrm>
                    <a:prstGeom prst="rect">
                      <a:avLst/>
                    </a:prstGeom>
                    <a:noFill/>
                    <a:ln>
                      <a:noFill/>
                    </a:ln>
                  </pic:spPr>
                </pic:pic>
              </a:graphicData>
            </a:graphic>
          </wp:inline>
        </w:drawing>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图2-1 交通地理位置图</w:t>
      </w:r>
    </w:p>
    <w:p>
      <w:pPr>
        <w:pStyle w:val="3"/>
        <w:rPr>
          <w:color w:val="000000" w:themeColor="text1"/>
          <w14:textFill>
            <w14:solidFill>
              <w14:schemeClr w14:val="tx1"/>
            </w14:solidFill>
          </w14:textFill>
        </w:rPr>
      </w:pPr>
      <w:bookmarkStart w:id="99" w:name="_Toc27957"/>
      <w:bookmarkStart w:id="100" w:name="_Toc21047"/>
      <w:bookmarkStart w:id="101" w:name="_Toc275268708"/>
      <w:r>
        <w:rPr>
          <w:color w:val="000000" w:themeColor="text1"/>
          <w14:textFill>
            <w14:solidFill>
              <w14:schemeClr w14:val="tx1"/>
            </w14:solidFill>
          </w14:textFill>
        </w:rPr>
        <w:t>自然条件</w:t>
      </w:r>
      <w:bookmarkEnd w:id="99"/>
      <w:bookmarkEnd w:id="100"/>
      <w:bookmarkEnd w:id="101"/>
    </w:p>
    <w:p>
      <w:pPr>
        <w:pStyle w:val="4"/>
        <w:ind w:firstLine="562"/>
        <w:rPr>
          <w:color w:val="000000" w:themeColor="text1"/>
          <w14:textFill>
            <w14:solidFill>
              <w14:schemeClr w14:val="tx1"/>
            </w14:solidFill>
          </w14:textFill>
        </w:rPr>
      </w:pPr>
      <w:bookmarkStart w:id="102" w:name="_Toc24543"/>
      <w:bookmarkStart w:id="103" w:name="_Toc1911"/>
      <w:r>
        <w:rPr>
          <w:rFonts w:hint="eastAsia"/>
          <w:color w:val="000000" w:themeColor="text1"/>
          <w14:textFill>
            <w14:solidFill>
              <w14:schemeClr w14:val="tx1"/>
            </w14:solidFill>
          </w14:textFill>
        </w:rPr>
        <w:t>地质地貌</w:t>
      </w:r>
      <w:bookmarkEnd w:id="102"/>
      <w:bookmarkEnd w:id="103"/>
    </w:p>
    <w:p>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树皮彝族乡地处滇东南岩溶山原西北部丘陵地带，地势南低北高。地形分为丘陵、山地和盆地，主要山脉属云贵高原大总山分支，境内最高点位于老尖山，海拔2018</w:t>
      </w:r>
      <w:r>
        <w:rPr>
          <w:rFonts w:hint="eastAsia" w:cs="宋体"/>
          <w:color w:val="000000" w:themeColor="text1"/>
          <w:lang w:val="en-US" w:eastAsia="zh-CN"/>
          <w14:textFill>
            <w14:solidFill>
              <w14:schemeClr w14:val="tx1"/>
            </w14:solidFill>
          </w14:textFill>
        </w:rPr>
        <w:t>m，</w:t>
      </w:r>
      <w:r>
        <w:rPr>
          <w:rFonts w:hint="eastAsia" w:ascii="宋体" w:hAnsi="宋体" w:eastAsia="宋体" w:cs="宋体"/>
          <w:color w:val="000000" w:themeColor="text1"/>
          <w14:textFill>
            <w14:solidFill>
              <w14:schemeClr w14:val="tx1"/>
            </w14:solidFill>
          </w14:textFill>
        </w:rPr>
        <w:t>最低点位于那苴红土塘，海拔1521</w:t>
      </w:r>
      <w:r>
        <w:rPr>
          <w:rFonts w:hint="eastAsia" w:cs="宋体"/>
          <w:color w:val="000000" w:themeColor="text1"/>
          <w:lang w:val="en-US" w:eastAsia="zh-CN"/>
          <w14:textFill>
            <w14:solidFill>
              <w14:schemeClr w14:val="tx1"/>
            </w14:solidFill>
          </w14:textFill>
        </w:rPr>
        <w:t>m</w:t>
      </w:r>
      <w:r>
        <w:rPr>
          <w:rFonts w:hint="eastAsia" w:ascii="宋体" w:hAnsi="宋体" w:eastAsia="宋体" w:cs="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加油站未提供地质勘察资料，根据加油站运行多年以及项目组现场勘察情况，加油站周边暂未发现滑坡、坍塌等不良地质现象。</w:t>
      </w:r>
    </w:p>
    <w:p>
      <w:pPr>
        <w:pStyle w:val="4"/>
        <w:ind w:firstLine="562"/>
        <w:rPr>
          <w:color w:val="000000" w:themeColor="text1"/>
          <w14:textFill>
            <w14:solidFill>
              <w14:schemeClr w14:val="tx1"/>
            </w14:solidFill>
          </w14:textFill>
        </w:rPr>
      </w:pPr>
      <w:bookmarkStart w:id="104" w:name="_Toc11377"/>
      <w:bookmarkStart w:id="105" w:name="_Toc8301"/>
      <w:r>
        <w:rPr>
          <w:rFonts w:hint="eastAsia"/>
          <w:color w:val="000000" w:themeColor="text1"/>
          <w14:textFill>
            <w14:solidFill>
              <w14:schemeClr w14:val="tx1"/>
            </w14:solidFill>
          </w14:textFill>
        </w:rPr>
        <w:t>气象条件</w:t>
      </w:r>
      <w:bookmarkEnd w:id="104"/>
      <w:bookmarkEnd w:id="105"/>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bookmarkStart w:id="106" w:name="_Toc275268712"/>
      <w:bookmarkStart w:id="107" w:name="_Toc248220514"/>
      <w:r>
        <w:rPr>
          <w:rFonts w:hint="eastAsia"/>
          <w:color w:val="000000" w:themeColor="text1"/>
          <w14:textFill>
            <w14:solidFill>
              <w14:schemeClr w14:val="tx1"/>
            </w14:solidFill>
          </w14:textFill>
        </w:rPr>
        <w:t>树皮彝族乡属亚热带季风气候，其特点是雨热同季，无霜期长，春季干旱多风，夏季酷热多雨，秋季温和凉爽，冬季阴冷多雾，</w:t>
      </w:r>
      <w:bookmarkStart w:id="108" w:name="OLE_LINK47"/>
      <w:r>
        <w:rPr>
          <w:rFonts w:hint="eastAsia"/>
          <w:color w:val="000000" w:themeColor="text1"/>
          <w14:textFill>
            <w14:solidFill>
              <w14:schemeClr w14:val="tx1"/>
            </w14:solidFill>
          </w14:textFill>
        </w:rPr>
        <w:t>多年平均气温15℃</w:t>
      </w:r>
      <w:bookmarkEnd w:id="108"/>
      <w:r>
        <w:rPr>
          <w:rFonts w:hint="eastAsia"/>
          <w:color w:val="000000" w:themeColor="text1"/>
          <w14:textFill>
            <w14:solidFill>
              <w14:schemeClr w14:val="tx1"/>
            </w14:solidFill>
          </w14:textFill>
        </w:rPr>
        <w:t>，1月平均气温8℃；</w:t>
      </w:r>
      <w:bookmarkStart w:id="109" w:name="OLE_LINK46"/>
      <w:r>
        <w:rPr>
          <w:rFonts w:hint="eastAsia"/>
          <w:color w:val="000000" w:themeColor="text1"/>
          <w14:textFill>
            <w14:solidFill>
              <w14:schemeClr w14:val="tx1"/>
            </w14:solidFill>
          </w14:textFill>
        </w:rPr>
        <w:t>7月平均气温28℃，极端最高气温35℃</w:t>
      </w:r>
      <w:bookmarkEnd w:id="109"/>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生长期年平均330天，无霜期年平均333天，最长达350天，最短为278天，年平均日照时数1881小时，年平均降水量1500毫米，年平均降水日数为120天。常年主导风向为西风‌。</w:t>
      </w:r>
    </w:p>
    <w:p>
      <w:pPr>
        <w:pStyle w:val="4"/>
        <w:ind w:firstLine="562"/>
        <w:rPr>
          <w:color w:val="000000" w:themeColor="text1"/>
          <w14:textFill>
            <w14:solidFill>
              <w14:schemeClr w14:val="tx1"/>
            </w14:solidFill>
          </w14:textFill>
        </w:rPr>
      </w:pPr>
      <w:bookmarkStart w:id="110" w:name="_Toc14883"/>
      <w:bookmarkStart w:id="111" w:name="_Toc18480"/>
      <w:r>
        <w:rPr>
          <w:rFonts w:hint="eastAsia"/>
          <w:color w:val="000000" w:themeColor="text1"/>
          <w14:textFill>
            <w14:solidFill>
              <w14:schemeClr w14:val="tx1"/>
            </w14:solidFill>
          </w14:textFill>
        </w:rPr>
        <w:t>地震条件</w:t>
      </w:r>
      <w:bookmarkEnd w:id="110"/>
      <w:bookmarkEnd w:id="111"/>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根据《建筑抗震设计标准（2024年版）》（GB50011-2010）附录A.22，</w:t>
      </w:r>
      <w:r>
        <w:rPr>
          <w:rFonts w:hint="eastAsia"/>
          <w:color w:val="000000" w:themeColor="text1"/>
          <w:lang w:val="en-US" w:eastAsia="zh-CN"/>
          <w14:textFill>
            <w14:solidFill>
              <w14:schemeClr w14:val="tx1"/>
            </w14:solidFill>
          </w14:textFill>
        </w:rPr>
        <w:t>丘北县</w:t>
      </w:r>
      <w:r>
        <w:rPr>
          <w:rFonts w:hint="eastAsia"/>
          <w:color w:val="000000" w:themeColor="text1"/>
          <w14:textFill>
            <w14:solidFill>
              <w14:schemeClr w14:val="tx1"/>
            </w14:solidFill>
          </w14:textFill>
        </w:rPr>
        <w:t>抗震设防烈度为</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度，设计地震分组为第三组，设计基本地震加速度值为0.</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g。</w:t>
      </w:r>
    </w:p>
    <w:p>
      <w:pPr>
        <w:pStyle w:val="3"/>
        <w:rPr>
          <w:color w:val="000000" w:themeColor="text1"/>
          <w14:textFill>
            <w14:solidFill>
              <w14:schemeClr w14:val="tx1"/>
            </w14:solidFill>
          </w14:textFill>
        </w:rPr>
      </w:pPr>
      <w:bookmarkStart w:id="112" w:name="_Toc25370"/>
      <w:bookmarkStart w:id="113" w:name="_Toc21263"/>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周边情况</w:t>
      </w:r>
      <w:bookmarkEnd w:id="106"/>
      <w:bookmarkEnd w:id="107"/>
      <w:bookmarkEnd w:id="112"/>
      <w:bookmarkEnd w:id="113"/>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（1）加油站周边情况</w:t>
      </w:r>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加油站坐北朝南向，北面为耕地，耕地上有一条高压电力线（杆高9m）；加油站南面为新树段公路，隔公路为架空电力线（</w:t>
      </w:r>
      <w:bookmarkStart w:id="114" w:name="OLE_LINK15"/>
      <w:r>
        <w:rPr>
          <w:rFonts w:hint="eastAsia"/>
          <w:color w:val="000000" w:themeColor="text1"/>
          <w:lang w:val="en-US" w:eastAsia="zh-CN"/>
          <w14:textFill>
            <w14:solidFill>
              <w14:schemeClr w14:val="tx1"/>
            </w14:solidFill>
          </w14:textFill>
        </w:rPr>
        <w:t>杆高9m</w:t>
      </w:r>
      <w:bookmarkEnd w:id="114"/>
      <w:r>
        <w:rPr>
          <w:rFonts w:hint="eastAsia"/>
          <w:color w:val="000000" w:themeColor="text1"/>
          <w:lang w:val="en-US" w:eastAsia="zh-CN"/>
          <w14:textFill>
            <w14:solidFill>
              <w14:schemeClr w14:val="tx1"/>
            </w14:solidFill>
          </w14:textFill>
        </w:rPr>
        <w:t>）、架空通信线、耕地；加油站西面有一条架空电力线（杆高9m）、便道、取水点；加油站东面为耕地；加油站东南面有一厂房。加油站与周边建（构）筑物的安全距离描述如下：</w:t>
      </w:r>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lang w:val="en-US" w:eastAsia="zh-CN"/>
          <w14:textFill>
            <w14:solidFill>
              <w14:schemeClr w14:val="tx1"/>
            </w14:solidFill>
          </w14:textFill>
        </w:rPr>
      </w:pPr>
      <w:bookmarkStart w:id="115" w:name="_Hlk162358875"/>
      <w:bookmarkStart w:id="116" w:name="OLE_LINK24"/>
      <w:r>
        <w:rPr>
          <w:rFonts w:hint="eastAsia"/>
          <w:color w:val="000000" w:themeColor="text1"/>
          <w:lang w:val="en-US" w:eastAsia="zh-CN"/>
          <w14:textFill>
            <w14:solidFill>
              <w14:schemeClr w14:val="tx1"/>
            </w14:solidFill>
          </w14:textFill>
        </w:rPr>
        <w:t>加油站北面高压电力线与汽油罐、加油机、通气管管口的安全间距分别为：85m、87m、84m；距离柴油罐、加油机、通气管管口的安全间距分别为：85m、102m、84m。</w:t>
      </w:r>
    </w:p>
    <w:bookmarkEnd w:id="115"/>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lang w:val="en-US" w:eastAsia="zh-CN"/>
          <w14:textFill>
            <w14:solidFill>
              <w14:schemeClr w14:val="tx1"/>
            </w14:solidFill>
          </w14:textFill>
        </w:rPr>
      </w:pPr>
      <w:bookmarkStart w:id="117" w:name="OLE_LINK17"/>
      <w:r>
        <w:rPr>
          <w:rFonts w:hint="eastAsia"/>
          <w:color w:val="000000" w:themeColor="text1"/>
          <w:lang w:val="en-US" w:eastAsia="zh-CN"/>
          <w14:textFill>
            <w14:solidFill>
              <w14:schemeClr w14:val="tx1"/>
            </w14:solidFill>
          </w14:textFill>
        </w:rPr>
        <w:t>加油站南面公路与汽油罐、加油机、通气管管口的安全间距分别为</w:t>
      </w:r>
      <w:bookmarkEnd w:id="117"/>
      <w:r>
        <w:rPr>
          <w:rFonts w:hint="eastAsia"/>
          <w:color w:val="000000" w:themeColor="text1"/>
          <w:lang w:val="en-US" w:eastAsia="zh-CN"/>
          <w14:textFill>
            <w14:solidFill>
              <w14:schemeClr w14:val="tx1"/>
            </w14:solidFill>
          </w14:textFill>
        </w:rPr>
        <w:t>：21m、16m、27m；</w:t>
      </w:r>
      <w:bookmarkStart w:id="118" w:name="OLE_LINK18"/>
      <w:r>
        <w:rPr>
          <w:rFonts w:hint="eastAsia"/>
          <w:color w:val="000000" w:themeColor="text1"/>
          <w:lang w:val="en-US" w:eastAsia="zh-CN"/>
          <w14:textFill>
            <w14:solidFill>
              <w14:schemeClr w14:val="tx1"/>
            </w14:solidFill>
          </w14:textFill>
        </w:rPr>
        <w:t>距离柴油罐、加油机、通气管管口的安全间距分别为：</w:t>
      </w:r>
      <w:bookmarkEnd w:id="118"/>
      <w:r>
        <w:rPr>
          <w:rFonts w:hint="eastAsia"/>
          <w:color w:val="000000" w:themeColor="text1"/>
          <w:lang w:val="en-US" w:eastAsia="zh-CN"/>
          <w14:textFill>
            <w14:solidFill>
              <w14:schemeClr w14:val="tx1"/>
            </w14:solidFill>
          </w14:textFill>
        </w:rPr>
        <w:t>21m、8.5m、27m。</w:t>
      </w:r>
    </w:p>
    <w:p>
      <w:pPr>
        <w:keepNext w:val="0"/>
        <w:keepLines w:val="0"/>
        <w:widowControl/>
        <w:suppressLineNumbers w:val="0"/>
        <w:jc w:val="left"/>
      </w:pPr>
      <w:bookmarkStart w:id="119" w:name="OLE_LINK20"/>
      <w:r>
        <w:rPr>
          <w:rFonts w:hint="eastAsia"/>
          <w:color w:val="000000" w:themeColor="text1"/>
          <w:lang w:val="en-US" w:eastAsia="zh-CN"/>
          <w14:textFill>
            <w14:solidFill>
              <w14:schemeClr w14:val="tx1"/>
            </w14:solidFill>
          </w14:textFill>
        </w:rPr>
        <w:t>加油站南面架空电力线与汽油罐、加油机、通气管管口的安全间距分别为：28</w:t>
      </w:r>
      <w:bookmarkStart w:id="120" w:name="OLE_LINK19"/>
      <w:r>
        <w:rPr>
          <w:rFonts w:hint="eastAsia"/>
          <w:color w:val="000000" w:themeColor="text1"/>
          <w:lang w:val="en-US" w:eastAsia="zh-CN"/>
          <w14:textFill>
            <w14:solidFill>
              <w14:schemeClr w14:val="tx1"/>
            </w14:solidFill>
          </w14:textFill>
        </w:rPr>
        <w:t>m</w:t>
      </w:r>
      <w:bookmarkEnd w:id="120"/>
      <w:r>
        <w:rPr>
          <w:rFonts w:hint="eastAsia"/>
          <w:color w:val="000000" w:themeColor="text1"/>
          <w:lang w:val="en-US" w:eastAsia="zh-CN"/>
          <w14:textFill>
            <w14:solidFill>
              <w14:schemeClr w14:val="tx1"/>
            </w14:solidFill>
          </w14:textFill>
        </w:rPr>
        <w:t>、23m、34m；距离柴油罐、加油机、通气管管口的安全间距分别为：28m、15.5m、34m。</w:t>
      </w:r>
    </w:p>
    <w:bookmarkEnd w:id="119"/>
    <w:p>
      <w:pPr>
        <w:keepNext w:val="0"/>
        <w:keepLines w:val="0"/>
        <w:widowControl/>
        <w:suppressLineNumbers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加油站南面通信线与汽油罐、加油机、通气管管口的安全间距分别为：31m、26m、37m；距离柴油罐、加油机、通气管管口的安全间距分别为：31m、18.5m、37m。</w:t>
      </w:r>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bookmarkStart w:id="121" w:name="OLE_LINK21"/>
      <w:bookmarkStart w:id="122" w:name="OLE_LINK16"/>
      <w:r>
        <w:rPr>
          <w:rFonts w:hint="eastAsia"/>
          <w:color w:val="000000" w:themeColor="text1"/>
          <w14:textFill>
            <w14:solidFill>
              <w14:schemeClr w14:val="tx1"/>
            </w14:solidFill>
          </w14:textFill>
        </w:rPr>
        <w:t>加油站</w:t>
      </w:r>
      <w:r>
        <w:rPr>
          <w:rFonts w:hint="eastAsia" w:cs="宋体"/>
          <w:color w:val="000000" w:themeColor="text1"/>
          <w:lang w:val="en-US"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面</w:t>
      </w:r>
      <w:r>
        <w:rPr>
          <w:rFonts w:hint="eastAsia" w:cs="宋体"/>
          <w:color w:val="000000" w:themeColor="text1"/>
          <w:lang w:val="en-US" w:eastAsia="zh-CN"/>
          <w14:textFill>
            <w14:solidFill>
              <w14:schemeClr w14:val="tx1"/>
            </w14:solidFill>
          </w14:textFill>
        </w:rPr>
        <w:t>架空电力线</w:t>
      </w:r>
      <w:r>
        <w:rPr>
          <w:rFonts w:hint="eastAsia" w:ascii="宋体" w:hAnsi="宋体" w:eastAsia="宋体" w:cs="宋体"/>
          <w:color w:val="000000" w:themeColor="text1"/>
          <w:lang w:val="en-US" w:eastAsia="zh-CN"/>
          <w14:textFill>
            <w14:solidFill>
              <w14:schemeClr w14:val="tx1"/>
            </w14:solidFill>
          </w14:textFill>
        </w:rPr>
        <w:t>与</w:t>
      </w:r>
      <w:r>
        <w:rPr>
          <w:rFonts w:hint="eastAsia" w:ascii="宋体" w:hAnsi="宋体" w:eastAsia="宋体" w:cs="宋体"/>
          <w:color w:val="000000" w:themeColor="text1"/>
          <w14:textFill>
            <w14:solidFill>
              <w14:schemeClr w14:val="tx1"/>
            </w14:solidFill>
          </w14:textFill>
        </w:rPr>
        <w:t>汽油罐、加油机、通气管管口的安全间距分别为：</w:t>
      </w:r>
      <w:r>
        <w:rPr>
          <w:rFonts w:hint="eastAsia" w:cs="宋体"/>
          <w:color w:val="000000" w:themeColor="text1"/>
          <w:lang w:val="en-US" w:eastAsia="zh-CN"/>
          <w14:textFill>
            <w14:solidFill>
              <w14:schemeClr w14:val="tx1"/>
            </w14:solidFill>
          </w14:textFill>
        </w:rPr>
        <w:t>55</w:t>
      </w:r>
      <w:r>
        <w:rPr>
          <w:rFonts w:hint="eastAsia" w:ascii="宋体" w:hAnsi="宋体" w:eastAsia="宋体" w:cs="宋体"/>
          <w:color w:val="000000" w:themeColor="text1"/>
          <w14:textFill>
            <w14:solidFill>
              <w14:schemeClr w14:val="tx1"/>
            </w14:solidFill>
          </w14:textFill>
        </w:rPr>
        <w:t>m、</w:t>
      </w:r>
      <w:r>
        <w:rPr>
          <w:rFonts w:hint="eastAsia" w:cs="宋体"/>
          <w:color w:val="000000" w:themeColor="text1"/>
          <w:lang w:val="en-US" w:eastAsia="zh-CN"/>
          <w14:textFill>
            <w14:solidFill>
              <w14:schemeClr w14:val="tx1"/>
            </w14:solidFill>
          </w14:textFill>
        </w:rPr>
        <w:t>29</w:t>
      </w:r>
      <w:r>
        <w:rPr>
          <w:rFonts w:hint="eastAsia" w:ascii="宋体" w:hAnsi="宋体" w:eastAsia="宋体" w:cs="宋体"/>
          <w:color w:val="000000" w:themeColor="text1"/>
          <w14:textFill>
            <w14:solidFill>
              <w14:schemeClr w14:val="tx1"/>
            </w14:solidFill>
          </w14:textFill>
        </w:rPr>
        <w:t>m、</w:t>
      </w:r>
      <w:r>
        <w:rPr>
          <w:rFonts w:hint="eastAsia" w:cs="宋体"/>
          <w:color w:val="000000" w:themeColor="text1"/>
          <w:lang w:val="en-US" w:eastAsia="zh-CN"/>
          <w14:textFill>
            <w14:solidFill>
              <w14:schemeClr w14:val="tx1"/>
            </w14:solidFill>
          </w14:textFill>
        </w:rPr>
        <w:t>60</w:t>
      </w:r>
      <w:r>
        <w:rPr>
          <w:rFonts w:hint="eastAsia" w:ascii="宋体" w:hAnsi="宋体" w:eastAsia="宋体" w:cs="宋体"/>
          <w:color w:val="000000" w:themeColor="text1"/>
          <w14:textFill>
            <w14:solidFill>
              <w14:schemeClr w14:val="tx1"/>
            </w14:solidFill>
          </w14:textFill>
        </w:rPr>
        <w:t>m</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距离柴油罐、加油机、通气管管口的安全间距分别为：</w:t>
      </w:r>
      <w:r>
        <w:rPr>
          <w:rFonts w:hint="eastAsia"/>
          <w:color w:val="000000" w:themeColor="text1"/>
          <w:lang w:val="en-US" w:eastAsia="zh-CN"/>
          <w14:textFill>
            <w14:solidFill>
              <w14:schemeClr w14:val="tx1"/>
            </w14:solidFill>
          </w14:textFill>
        </w:rPr>
        <w:t>63</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60.6</w:t>
      </w:r>
      <w:r>
        <w:rPr>
          <w:rFonts w:hint="eastAsia"/>
          <w:color w:val="000000" w:themeColor="text1"/>
          <w14:textFill>
            <w14:solidFill>
              <w14:schemeClr w14:val="tx1"/>
            </w14:solidFill>
          </w14:textFill>
        </w:rPr>
        <w:t>m。</w:t>
      </w:r>
      <w:bookmarkEnd w:id="121"/>
    </w:p>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en-US" w:eastAsia="zh-CN"/>
          <w14:textFill>
            <w14:solidFill>
              <w14:schemeClr w14:val="tx1"/>
            </w14:solidFill>
          </w14:textFill>
        </w:rPr>
        <w:t>西</w:t>
      </w:r>
      <w:r>
        <w:rPr>
          <w:rFonts w:hint="eastAsia"/>
          <w:color w:val="000000" w:themeColor="text1"/>
          <w:lang w:eastAsia="zh-CN"/>
          <w14:textFill>
            <w14:solidFill>
              <w14:schemeClr w14:val="tx1"/>
            </w14:solidFill>
          </w14:textFill>
        </w:rPr>
        <w:t>面</w:t>
      </w:r>
      <w:r>
        <w:rPr>
          <w:rFonts w:hint="eastAsia"/>
          <w:color w:val="000000" w:themeColor="text1"/>
          <w:lang w:val="en-US" w:eastAsia="zh-CN"/>
          <w14:textFill>
            <w14:solidFill>
              <w14:schemeClr w14:val="tx1"/>
            </w14:solidFill>
          </w14:textFill>
        </w:rPr>
        <w:t>取水点</w:t>
      </w:r>
      <w:bookmarkStart w:id="123" w:name="OLE_LINK22"/>
      <w:r>
        <w:rPr>
          <w:rFonts w:hint="eastAsia"/>
          <w:color w:val="000000" w:themeColor="text1"/>
          <w:lang w:val="en-US" w:eastAsia="zh-CN"/>
          <w14:textFill>
            <w14:solidFill>
              <w14:schemeClr w14:val="tx1"/>
            </w14:solidFill>
          </w14:textFill>
        </w:rPr>
        <w:t>与</w:t>
      </w:r>
      <w:r>
        <w:rPr>
          <w:rFonts w:hint="eastAsia"/>
          <w:color w:val="000000" w:themeColor="text1"/>
          <w14:textFill>
            <w14:solidFill>
              <w14:schemeClr w14:val="tx1"/>
            </w14:solidFill>
          </w14:textFill>
        </w:rPr>
        <w:t>汽油罐、加油机、通气管管口的安全间距分别为：</w:t>
      </w:r>
      <w:bookmarkEnd w:id="123"/>
      <w:r>
        <w:rPr>
          <w:rFonts w:hint="eastAsia"/>
          <w:color w:val="000000" w:themeColor="text1"/>
          <w:lang w:val="en-US" w:eastAsia="zh-CN"/>
          <w14:textFill>
            <w14:solidFill>
              <w14:schemeClr w14:val="tx1"/>
            </w14:solidFill>
          </w14:textFill>
        </w:rPr>
        <w:t>61</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34</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62</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bookmarkStart w:id="124" w:name="OLE_LINK23"/>
      <w:r>
        <w:rPr>
          <w:rFonts w:hint="eastAsia"/>
          <w:color w:val="000000" w:themeColor="text1"/>
          <w14:textFill>
            <w14:solidFill>
              <w14:schemeClr w14:val="tx1"/>
            </w14:solidFill>
          </w14:textFill>
        </w:rPr>
        <w:t>距离柴油罐、加油机、通气管管口的安全间距分别为：</w:t>
      </w:r>
      <w:bookmarkEnd w:id="124"/>
      <w:r>
        <w:rPr>
          <w:rFonts w:hint="eastAsia"/>
          <w:color w:val="000000" w:themeColor="text1"/>
          <w:lang w:val="en-US" w:eastAsia="zh-CN"/>
          <w14:textFill>
            <w14:solidFill>
              <w14:schemeClr w14:val="tx1"/>
            </w14:solidFill>
          </w14:textFill>
        </w:rPr>
        <w:t>65</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34</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62.6</w:t>
      </w:r>
      <w:r>
        <w:rPr>
          <w:rFonts w:hint="eastAsia"/>
          <w:color w:val="000000" w:themeColor="text1"/>
          <w14:textFill>
            <w14:solidFill>
              <w14:schemeClr w14:val="tx1"/>
            </w14:solidFill>
          </w14:textFill>
        </w:rPr>
        <w:t>m。</w:t>
      </w:r>
    </w:p>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加油站东南面厂房与</w:t>
      </w:r>
      <w:r>
        <w:rPr>
          <w:rFonts w:hint="eastAsia"/>
          <w:color w:val="000000" w:themeColor="text1"/>
          <w14:textFill>
            <w14:solidFill>
              <w14:schemeClr w14:val="tx1"/>
            </w14:solidFill>
          </w14:textFill>
        </w:rPr>
        <w:t>汽油罐、加油机、通气管管口的安全间距分别为：</w:t>
      </w:r>
      <w:r>
        <w:rPr>
          <w:rFonts w:hint="eastAsia"/>
          <w:color w:val="000000" w:themeColor="text1"/>
          <w:lang w:val="en-US" w:eastAsia="zh-CN"/>
          <w14:textFill>
            <w14:solidFill>
              <w14:schemeClr w14:val="tx1"/>
            </w14:solidFill>
          </w14:textFill>
        </w:rPr>
        <w:t>155m、165m、158m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距离柴油罐、加油机、通气管管口的安全间距分别为：</w:t>
      </w:r>
      <w:r>
        <w:rPr>
          <w:rFonts w:hint="eastAsia"/>
          <w:color w:val="000000" w:themeColor="text1"/>
          <w:lang w:val="en-US" w:eastAsia="zh-CN"/>
          <w14:textFill>
            <w14:solidFill>
              <w14:schemeClr w14:val="tx1"/>
            </w14:solidFill>
          </w14:textFill>
        </w:rPr>
        <w:t>152m、161m、157m</w:t>
      </w:r>
      <w:r>
        <w:rPr>
          <w:rFonts w:hint="eastAsia"/>
          <w:color w:val="000000" w:themeColor="text1"/>
          <w:lang w:eastAsia="zh-CN"/>
          <w14:textFill>
            <w14:solidFill>
              <w14:schemeClr w14:val="tx1"/>
            </w14:solidFill>
          </w14:textFill>
        </w:rPr>
        <w:t>。</w:t>
      </w:r>
    </w:p>
    <w:bookmarkEnd w:id="116"/>
    <w:bookmarkEnd w:id="122"/>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（2）项目与周边建构筑物距离</w:t>
      </w:r>
    </w:p>
    <w:p>
      <w:pPr>
        <w:keepNext w:val="0"/>
        <w:keepLines w:val="0"/>
        <w:pageBreakBefore w:val="0"/>
        <w:widowControl w:val="0"/>
        <w:kinsoku/>
        <w:wordWrap/>
        <w:overflowPunct/>
        <w:topLinePunct w:val="0"/>
        <w:autoSpaceDE/>
        <w:autoSpaceDN/>
        <w:bidi w:val="0"/>
        <w:adjustRightInd/>
        <w:snapToGrid w:val="0"/>
        <w:textAlignment w:val="auto"/>
        <w:rPr>
          <w:rFonts w:hAnsi="宋体"/>
          <w:color w:val="000000" w:themeColor="text1"/>
          <w:sz w:val="28"/>
          <w:szCs w:val="20"/>
          <w14:textFill>
            <w14:solidFill>
              <w14:schemeClr w14:val="tx1"/>
            </w14:solidFill>
          </w14:textFill>
        </w:rPr>
      </w:pPr>
      <w:r>
        <w:rPr>
          <w:rFonts w:hint="eastAsia"/>
          <w:color w:val="000000" w:themeColor="text1"/>
          <w14:textFill>
            <w14:solidFill>
              <w14:schemeClr w14:val="tx1"/>
            </w14:solidFill>
          </w14:textFill>
        </w:rPr>
        <w:t>加油站周边环境情况，见图2-2。汽油设备与站外建（构）筑物的安全距离见表2-1；柴油设备与站外建（构）筑物的安全距离见表2-2。</w:t>
      </w:r>
    </w:p>
    <w:p>
      <w:pPr>
        <w:spacing w:line="240" w:lineRule="auto"/>
        <w:ind w:firstLine="0" w:firstLineChars="0"/>
        <w:rPr>
          <w:color w:val="000000" w:themeColor="text1"/>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4736465</wp:posOffset>
                </wp:positionH>
                <wp:positionV relativeFrom="paragraph">
                  <wp:posOffset>2647950</wp:posOffset>
                </wp:positionV>
                <wp:extent cx="971550" cy="3994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7155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0000"/>
                                <w:lang w:val="en-US" w:eastAsia="zh-CN"/>
                              </w:rPr>
                            </w:pPr>
                            <w:r>
                              <w:rPr>
                                <w:rFonts w:hint="eastAsia"/>
                                <w:b/>
                                <w:bCs/>
                                <w:color w:val="FF0000"/>
                                <w:lang w:val="en-US" w:eastAsia="zh-CN"/>
                              </w:rPr>
                              <w:t>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95pt;margin-top:208.5pt;height:31.45pt;width:76.5pt;z-index:251665408;mso-width-relative:page;mso-height-relative:page;" filled="f" stroked="f" coordsize="21600,21600" o:gfxdata="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1mYv2wAAAAsBAAAPAAAAAAAAAAEAIAAAACIAAABkcnMv&#10;ZG93bnJldi54bWxQSwECFAAUAAAACACHTuJAjua8dDkCAABlBAAADgAAAAAAAAABACAAAAAq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0000"/>
                          <w:lang w:val="en-US" w:eastAsia="zh-CN"/>
                        </w:rPr>
                      </w:pPr>
                      <w:r>
                        <w:rPr>
                          <w:rFonts w:hint="eastAsia"/>
                          <w:b/>
                          <w:bCs/>
                          <w:color w:val="FF0000"/>
                          <w:lang w:val="en-US" w:eastAsia="zh-CN"/>
                        </w:rPr>
                        <w:t>厂房</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495935</wp:posOffset>
                </wp:positionH>
                <wp:positionV relativeFrom="paragraph">
                  <wp:posOffset>635000</wp:posOffset>
                </wp:positionV>
                <wp:extent cx="971550" cy="3994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7155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0000"/>
                                <w:lang w:val="en-US" w:eastAsia="zh-CN"/>
                              </w:rPr>
                            </w:pPr>
                            <w:r>
                              <w:rPr>
                                <w:rFonts w:hint="eastAsia"/>
                                <w:b/>
                                <w:bCs/>
                                <w:color w:val="FF0000"/>
                                <w:lang w:val="en-US" w:eastAsia="zh-CN"/>
                              </w:rPr>
                              <w:t>取水点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50pt;height:31.45pt;width:76.5pt;z-index:251666432;mso-width-relative:page;mso-height-relative:page;" filled="f" stroked="f" coordsize="21600,21600" o:gfxdata="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37i3tkAAAAKAQAADwAAAAAAAAABACAAAAAiAAAAZHJzL2Rv&#10;d25yZXYueG1sUEsBAhQAFAAAAAgAh07iQDmLkfw5AgAAZQQAAA4AAAAAAAAAAQAgAAAAKAEAAGRy&#10;cy9lMm9Eb2MueG1sUEsFBgAAAAAGAAYAWQEAANM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0000"/>
                          <w:lang w:val="en-US" w:eastAsia="zh-CN"/>
                        </w:rPr>
                      </w:pPr>
                      <w:r>
                        <w:rPr>
                          <w:rFonts w:hint="eastAsia"/>
                          <w:b/>
                          <w:bCs/>
                          <w:color w:val="FF0000"/>
                          <w:lang w:val="en-US" w:eastAsia="zh-CN"/>
                        </w:rPr>
                        <w:t>取水点</w:t>
                      </w:r>
                    </w:p>
                  </w:txbxContent>
                </v:textbox>
              </v:shape>
            </w:pict>
          </mc:Fallback>
        </mc:AlternateContent>
      </w:r>
      <w:r>
        <w:drawing>
          <wp:inline distT="0" distB="0" distL="114300" distR="114300">
            <wp:extent cx="5810250" cy="3438525"/>
            <wp:effectExtent l="0" t="0" r="0" b="952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6"/>
                    <a:srcRect t="9709" b="13319"/>
                    <a:stretch>
                      <a:fillRect/>
                    </a:stretch>
                  </pic:blipFill>
                  <pic:spPr>
                    <a:xfrm>
                      <a:off x="0" y="0"/>
                      <a:ext cx="5810250" cy="3438525"/>
                    </a:xfrm>
                    <a:prstGeom prst="rect">
                      <a:avLst/>
                    </a:prstGeom>
                    <a:noFill/>
                    <a:ln>
                      <a:noFill/>
                    </a:ln>
                  </pic:spPr>
                </pic:pic>
              </a:graphicData>
            </a:graphic>
          </wp:inline>
        </w:drawing>
      </w:r>
      <w:r>
        <w:rPr>
          <w:color w:val="000000" w:themeColor="text1"/>
          <w:sz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1807845</wp:posOffset>
                </wp:positionH>
                <wp:positionV relativeFrom="paragraph">
                  <wp:posOffset>591185</wp:posOffset>
                </wp:positionV>
                <wp:extent cx="971550" cy="39941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7155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0000"/>
                                <w:lang w:val="en-US" w:eastAsia="zh-CN"/>
                              </w:rPr>
                            </w:pPr>
                            <w:r>
                              <w:rPr>
                                <w:rFonts w:hint="eastAsia"/>
                                <w:b/>
                                <w:bCs/>
                                <w:color w:val="FF0000"/>
                                <w:lang w:val="en-US" w:eastAsia="zh-CN"/>
                              </w:rPr>
                              <w:t>加油站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35pt;margin-top:46.55pt;height:31.45pt;width:76.5pt;z-index:251663360;mso-width-relative:page;mso-height-relative:page;" filled="f" stroked="f" coordsize="21600,21600" o:gfxdata="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y8xsNsAAAAKAQAADwAAAAAAAAABACAAAAAiAAAAZHJz&#10;L2Rvd25yZXYueG1sUEsBAhQAFAAAAAgAh07iQCY5ENw6AgAAZwQAAA4AAAAAAAAAAQAgAAAAKg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eastAsia="宋体"/>
                          <w:b/>
                          <w:bCs/>
                          <w:color w:val="FF0000"/>
                          <w:lang w:val="en-US" w:eastAsia="zh-CN"/>
                        </w:rPr>
                      </w:pPr>
                      <w:r>
                        <w:rPr>
                          <w:rFonts w:hint="eastAsia"/>
                          <w:b/>
                          <w:bCs/>
                          <w:color w:val="FF0000"/>
                          <w:lang w:val="en-US" w:eastAsia="zh-CN"/>
                        </w:rPr>
                        <w:t>加油站</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1558290</wp:posOffset>
                </wp:positionH>
                <wp:positionV relativeFrom="paragraph">
                  <wp:posOffset>435610</wp:posOffset>
                </wp:positionV>
                <wp:extent cx="1266825" cy="581025"/>
                <wp:effectExtent l="15240" t="15875" r="32385" b="31750"/>
                <wp:wrapNone/>
                <wp:docPr id="2" name="任意多边形 2"/>
                <wp:cNvGraphicFramePr/>
                <a:graphic xmlns:a="http://schemas.openxmlformats.org/drawingml/2006/main">
                  <a:graphicData uri="http://schemas.microsoft.com/office/word/2010/wordprocessingShape">
                    <wps:wsp>
                      <wps:cNvSpPr/>
                      <wps:spPr>
                        <a:xfrm>
                          <a:off x="2618105" y="3956050"/>
                          <a:ext cx="1266825" cy="581025"/>
                        </a:xfrm>
                        <a:custGeom>
                          <a:avLst/>
                          <a:gdLst>
                            <a:gd name="connisteX0" fmla="*/ 0 w 1266825"/>
                            <a:gd name="connsiteY0" fmla="*/ 247650 h 581025"/>
                            <a:gd name="connisteX1" fmla="*/ 19050 w 1266825"/>
                            <a:gd name="connsiteY1" fmla="*/ 581025 h 581025"/>
                            <a:gd name="connisteX2" fmla="*/ 1266825 w 1266825"/>
                            <a:gd name="connsiteY2" fmla="*/ 542925 h 581025"/>
                            <a:gd name="connisteX3" fmla="*/ 1209675 w 1266825"/>
                            <a:gd name="connsiteY3" fmla="*/ 0 h 581025"/>
                            <a:gd name="connisteX4" fmla="*/ 400050 w 1266825"/>
                            <a:gd name="connsiteY4" fmla="*/ 85725 h 581025"/>
                            <a:gd name="connisteX5" fmla="*/ 104775 w 1266825"/>
                            <a:gd name="connsiteY5" fmla="*/ 219075 h 581025"/>
                            <a:gd name="connisteX6" fmla="*/ 0 w 1266825"/>
                            <a:gd name="connsiteY6" fmla="*/ 247650 h 5810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266825" h="581025">
                              <a:moveTo>
                                <a:pt x="0" y="247650"/>
                              </a:moveTo>
                              <a:lnTo>
                                <a:pt x="19050" y="581025"/>
                              </a:lnTo>
                              <a:lnTo>
                                <a:pt x="1266825" y="542925"/>
                              </a:lnTo>
                              <a:lnTo>
                                <a:pt x="1209675" y="0"/>
                              </a:lnTo>
                              <a:lnTo>
                                <a:pt x="400050" y="85725"/>
                              </a:lnTo>
                              <a:lnTo>
                                <a:pt x="104775" y="219075"/>
                              </a:lnTo>
                              <a:lnTo>
                                <a:pt x="0" y="247650"/>
                              </a:lnTo>
                              <a:close/>
                            </a:path>
                          </a:pathLst>
                        </a:cu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22.7pt;margin-top:34.3pt;height:45.75pt;width:99.75pt;z-index:251664384;mso-width-relative:page;mso-height-relative:page;" filled="f" stroked="t" coordsize="1266825,581025" o:gfxdata="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DXnoDX2QAAAAoBAAAPAAAAAAAAAAEA&#10;IAAAACIAAABkcnMvZG93bnJldi54bWxQSwECFAAUAAAACACHTuJA0y5DSGQDAAD3CQAADgAAAAAA&#10;AAABACAAAAAoAQAAZHJzL2Uyb0RvYy54bWxQSwUGAAAAAAYABgBZAQAA/gYAAAAA&#10;" path="m0,247650l19050,581025,1266825,542925,1209675,0,400050,85725,104775,219075,0,247650xe">
                <v:path o:connectlocs="0,247650;19050,581025;1266825,542925;1209675,0;400050,85725;104775,219075;0,247650" o:connectangles="0,0,0,0,0,0,0"/>
                <v:fill on="f" focussize="0,0"/>
                <v:stroke weight="2.25pt" color="#FF0000 [2404]" miterlimit="8" joinstyle="miter"/>
                <v:imagedata o:title=""/>
                <o:lock v:ext="edit" aspectratio="f"/>
              </v:shape>
            </w:pict>
          </mc:Fallback>
        </mc:AlternateConten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加油站周边环境情况（卫星图）</w: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表2-1汽油设备与站外建（构）筑物的安全间距（单位：m）</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8"/>
        <w:gridCol w:w="935"/>
        <w:gridCol w:w="1083"/>
        <w:gridCol w:w="1644"/>
        <w:gridCol w:w="1116"/>
        <w:gridCol w:w="967"/>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3" w:type="dxa"/>
            <w:gridSpan w:val="4"/>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10"/>
                <w:sz w:val="21"/>
                <w:szCs w:val="21"/>
                <w14:textFill>
                  <w14:solidFill>
                    <w14:schemeClr w14:val="tx1"/>
                  </w14:solidFill>
                </w14:textFill>
              </w:rPr>
              <w:t>站外建（构）筑物</w:t>
            </w:r>
          </w:p>
        </w:tc>
        <w:tc>
          <w:tcPr>
            <w:tcW w:w="5788" w:type="dxa"/>
            <w:gridSpan w:val="4"/>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20"/>
                <w:sz w:val="21"/>
                <w:szCs w:val="21"/>
                <w14:textFill>
                  <w14:solidFill>
                    <w14:schemeClr w14:val="tx1"/>
                  </w14:solidFill>
                </w14:textFill>
              </w:rPr>
              <w:t>站内</w:t>
            </w:r>
            <w:r>
              <w:rPr>
                <w:rFonts w:hint="eastAsia"/>
                <w:color w:val="000000" w:themeColor="text1"/>
                <w:spacing w:val="10"/>
                <w:sz w:val="21"/>
                <w:szCs w:val="21"/>
                <w14:textFill>
                  <w14:solidFill>
                    <w14:schemeClr w14:val="tx1"/>
                  </w14:solidFill>
                </w14:textFill>
              </w:rPr>
              <w:t>汽油设备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3" w:type="dxa"/>
            <w:gridSpan w:val="4"/>
            <w:vMerge w:val="continue"/>
            <w:vAlign w:val="center"/>
          </w:tcPr>
          <w:p>
            <w:pPr>
              <w:adjustRightInd w:val="0"/>
              <w:spacing w:line="240" w:lineRule="auto"/>
              <w:ind w:firstLine="0" w:firstLineChars="0"/>
              <w:jc w:val="center"/>
              <w:rPr>
                <w:color w:val="000000" w:themeColor="text1"/>
                <w:spacing w:val="10"/>
                <w:sz w:val="21"/>
                <w:szCs w:val="21"/>
                <w14:textFill>
                  <w14:solidFill>
                    <w14:schemeClr w14:val="tx1"/>
                  </w14:solidFill>
                </w14:textFill>
              </w:rPr>
            </w:pPr>
          </w:p>
        </w:tc>
        <w:tc>
          <w:tcPr>
            <w:tcW w:w="1644" w:type="dxa"/>
            <w:vAlign w:val="center"/>
          </w:tcPr>
          <w:p>
            <w:pPr>
              <w:adjustRightInd w:val="0"/>
              <w:spacing w:line="240" w:lineRule="auto"/>
              <w:ind w:firstLine="0" w:firstLineChars="0"/>
              <w:jc w:val="center"/>
              <w:rPr>
                <w:color w:val="000000" w:themeColor="text1"/>
                <w:spacing w:val="20"/>
                <w:sz w:val="21"/>
                <w:szCs w:val="21"/>
                <w14:textFill>
                  <w14:solidFill>
                    <w14:schemeClr w14:val="tx1"/>
                  </w14:solidFill>
                </w14:textFill>
              </w:rPr>
            </w:pPr>
            <w:r>
              <w:rPr>
                <w:rFonts w:hint="eastAsia"/>
                <w:color w:val="000000" w:themeColor="text1"/>
                <w:spacing w:val="20"/>
                <w:sz w:val="21"/>
                <w:szCs w:val="21"/>
                <w14:textFill>
                  <w14:solidFill>
                    <w14:schemeClr w14:val="tx1"/>
                  </w14:solidFill>
                </w14:textFill>
              </w:rPr>
              <w:t>埋地油罐</w:t>
            </w:r>
          </w:p>
        </w:tc>
        <w:tc>
          <w:tcPr>
            <w:tcW w:w="1116"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96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通气管管口</w:t>
            </w:r>
          </w:p>
        </w:tc>
        <w:tc>
          <w:tcPr>
            <w:tcW w:w="2061" w:type="dxa"/>
            <w:vMerge w:val="restart"/>
            <w:vAlign w:val="center"/>
          </w:tcPr>
          <w:p>
            <w:pPr>
              <w:adjustRightInd w:val="0"/>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3" w:type="dxa"/>
            <w:gridSpan w:val="4"/>
            <w:vMerge w:val="continue"/>
            <w:vAlign w:val="center"/>
          </w:tcPr>
          <w:p>
            <w:pPr>
              <w:adjustRightInd w:val="0"/>
              <w:spacing w:line="240" w:lineRule="auto"/>
              <w:ind w:firstLine="0" w:firstLineChars="0"/>
              <w:rPr>
                <w:color w:val="000000" w:themeColor="text1"/>
                <w:sz w:val="21"/>
                <w:szCs w:val="21"/>
                <w14:textFill>
                  <w14:solidFill>
                    <w14:schemeClr w14:val="tx1"/>
                  </w14:solidFill>
                </w14:textFill>
              </w:rPr>
            </w:pP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r>
              <w:rPr>
                <w:rFonts w:hint="eastAsia"/>
                <w:color w:val="000000" w:themeColor="text1"/>
                <w:sz w:val="21"/>
                <w:szCs w:val="21"/>
                <w14:textFill>
                  <w14:solidFill>
                    <w14:schemeClr w14:val="tx1"/>
                  </w14:solidFill>
                </w14:textFill>
              </w:rPr>
              <w:t>级站</w:t>
            </w:r>
          </w:p>
        </w:tc>
        <w:tc>
          <w:tcPr>
            <w:tcW w:w="111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3" w:type="dxa"/>
            <w:gridSpan w:val="4"/>
            <w:vMerge w:val="continue"/>
            <w:vAlign w:val="center"/>
          </w:tcPr>
          <w:p>
            <w:pPr>
              <w:adjustRightInd w:val="0"/>
              <w:spacing w:line="240" w:lineRule="auto"/>
              <w:ind w:firstLine="0" w:firstLineChars="0"/>
              <w:rPr>
                <w:color w:val="000000" w:themeColor="text1"/>
                <w:sz w:val="21"/>
                <w:szCs w:val="21"/>
                <w14:textFill>
                  <w14:solidFill>
                    <w14:schemeClr w14:val="tx1"/>
                  </w14:solidFill>
                </w14:textFill>
              </w:rPr>
            </w:pPr>
          </w:p>
        </w:tc>
        <w:tc>
          <w:tcPr>
            <w:tcW w:w="3727" w:type="dxa"/>
            <w:gridSpan w:val="3"/>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有卸油和加油油气回收系统</w:t>
            </w:r>
          </w:p>
        </w:tc>
        <w:tc>
          <w:tcPr>
            <w:tcW w:w="2061" w:type="dxa"/>
            <w:vMerge w:val="continue"/>
            <w:vAlign w:val="center"/>
          </w:tcPr>
          <w:p>
            <w:pPr>
              <w:adjustRightInd w:val="0"/>
              <w:spacing w:line="240" w:lineRule="auto"/>
              <w:ind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重要公共建筑物</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明火地点或散发火花地点</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17.5</w:t>
            </w:r>
          </w:p>
        </w:tc>
        <w:tc>
          <w:tcPr>
            <w:tcW w:w="1116"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967"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b/>
                <w:bCs/>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民用建筑物保护类别</w:t>
            </w: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一类保护物</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116"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967"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二类保护物</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116"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967"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三类保护物</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1116"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967"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2061"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w:t>
            </w:r>
            <w:r>
              <w:rPr>
                <w:rFonts w:hint="eastAsia"/>
                <w:color w:val="000000" w:themeColor="text1"/>
                <w:sz w:val="21"/>
                <w:szCs w:val="21"/>
                <w:lang w:eastAsia="zh-CN"/>
                <w14:textFill>
                  <w14:solidFill>
                    <w14:schemeClr w14:val="tx1"/>
                  </w14:solidFill>
                </w14:textFill>
              </w:rPr>
              <w:t>面</w:t>
            </w:r>
            <w:r>
              <w:rPr>
                <w:rFonts w:hint="eastAsia"/>
                <w:color w:val="000000" w:themeColor="text1"/>
                <w:sz w:val="21"/>
                <w:szCs w:val="21"/>
                <w:lang w:val="en-US" w:eastAsia="zh-CN"/>
                <w14:textFill>
                  <w14:solidFill>
                    <w14:schemeClr w14:val="tx1"/>
                  </w14:solidFill>
                </w14:textFill>
              </w:rPr>
              <w:t>取水点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w:t>
            </w:r>
          </w:p>
        </w:tc>
        <w:tc>
          <w:tcPr>
            <w:tcW w:w="1116"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967"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甲、乙类物品生产厂房、 库房和甲、乙类液体储罐</w:t>
            </w:r>
          </w:p>
        </w:tc>
        <w:tc>
          <w:tcPr>
            <w:tcW w:w="1083"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w:t>
            </w:r>
          </w:p>
        </w:tc>
        <w:tc>
          <w:tcPr>
            <w:tcW w:w="1116"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200" w:type="dxa"/>
            <w:gridSpan w:val="3"/>
            <w:vMerge w:val="restart"/>
            <w:vAlign w:val="center"/>
          </w:tcPr>
          <w:p>
            <w:pPr>
              <w:adjustRightInd w:val="0"/>
              <w:spacing w:line="240" w:lineRule="auto"/>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丙、丁、戊类物品生产厂房库房和丙类液体储罐以及容积不大于50m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的埋地甲、乙类液体储罐</w:t>
            </w:r>
          </w:p>
        </w:tc>
        <w:tc>
          <w:tcPr>
            <w:tcW w:w="1083"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116"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2061"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东南面厂房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gridSpan w:val="3"/>
            <w:vMerge w:val="continue"/>
            <w:vAlign w:val="center"/>
          </w:tcPr>
          <w:p>
            <w:pPr>
              <w:adjustRightInd w:val="0"/>
              <w:spacing w:line="240" w:lineRule="auto"/>
              <w:ind w:firstLine="42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w:t>
            </w:r>
          </w:p>
        </w:tc>
        <w:tc>
          <w:tcPr>
            <w:tcW w:w="1116"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165</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158</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室外变配电站</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5.5</w:t>
            </w:r>
          </w:p>
        </w:tc>
        <w:tc>
          <w:tcPr>
            <w:tcW w:w="1116"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967" w:type="dxa"/>
            <w:vAlign w:val="center"/>
          </w:tcPr>
          <w:p>
            <w:pPr>
              <w:adjustRightIn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铁路、地上城市轨道线路</w:t>
            </w:r>
          </w:p>
        </w:tc>
        <w:tc>
          <w:tcPr>
            <w:tcW w:w="1083" w:type="dxa"/>
            <w:vAlign w:val="center"/>
          </w:tcPr>
          <w:p>
            <w:pPr>
              <w:pStyle w:val="66"/>
              <w:adjustRightInd w:val="0"/>
              <w:snapToGrid w:val="0"/>
              <w:ind w:firstLine="0" w:firstLineChars="0"/>
              <w:rPr>
                <w:rFonts w:cs="宋体"/>
                <w:color w:val="000000" w:themeColor="text1"/>
                <w:spacing w:val="2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城市快速路、主干路和高速公路、一级公路、二级公路</w:t>
            </w:r>
          </w:p>
        </w:tc>
        <w:tc>
          <w:tcPr>
            <w:tcW w:w="1083"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1116" w:type="dxa"/>
            <w:vAlign w:val="center"/>
          </w:tcPr>
          <w:p>
            <w:pPr>
              <w:adjustRightIn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967" w:type="dxa"/>
            <w:vAlign w:val="center"/>
          </w:tcPr>
          <w:p>
            <w:pPr>
              <w:adjustRightIn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06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城市次干路、支路和三级公路、四级公路</w:t>
            </w: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116"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061"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南面公路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44"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116"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967"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2061"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架空通信线</w:t>
            </w: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116"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061"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南面架空通信线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44"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116"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967"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2061"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架空电力线路</w:t>
            </w:r>
          </w:p>
        </w:tc>
        <w:tc>
          <w:tcPr>
            <w:tcW w:w="935" w:type="dxa"/>
            <w:vMerge w:val="restart"/>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无绝缘层</w:t>
            </w: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1.0H，且</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6.5m</w:t>
            </w:r>
          </w:p>
        </w:tc>
        <w:tc>
          <w:tcPr>
            <w:tcW w:w="1116"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2061"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北</w:t>
            </w:r>
            <w:r>
              <w:rPr>
                <w:rFonts w:hint="default"/>
                <w:color w:val="000000" w:themeColor="text1"/>
                <w:sz w:val="21"/>
                <w:szCs w:val="21"/>
                <w:lang w:val="en-US" w:eastAsia="zh-CN"/>
                <w14:textFill>
                  <w14:solidFill>
                    <w14:schemeClr w14:val="tx1"/>
                  </w14:solidFill>
                </w14:textFill>
              </w:rPr>
              <w:t>面架空高压电力线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bookmarkStart w:id="125" w:name="OLE_LINK25"/>
            <w:r>
              <w:rPr>
                <w:rFonts w:hint="eastAsia"/>
                <w:color w:val="000000" w:themeColor="text1"/>
                <w:sz w:val="21"/>
                <w:szCs w:val="21"/>
                <w14:textFill>
                  <w14:solidFill>
                    <w14:schemeClr w14:val="tx1"/>
                  </w14:solidFill>
                </w14:textFill>
              </w:rPr>
              <w:t>实测</w:t>
            </w:r>
            <w:bookmarkEnd w:id="125"/>
          </w:p>
        </w:tc>
        <w:tc>
          <w:tcPr>
            <w:tcW w:w="1644"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1116"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84</w:t>
            </w:r>
          </w:p>
        </w:tc>
        <w:tc>
          <w:tcPr>
            <w:tcW w:w="2061"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bookmarkStart w:id="126" w:name="OLE_LINK28"/>
            <w:r>
              <w:rPr>
                <w:rFonts w:hint="eastAsia"/>
                <w:color w:val="000000" w:themeColor="text1"/>
                <w:sz w:val="21"/>
                <w:szCs w:val="21"/>
                <w14:textFill>
                  <w14:solidFill>
                    <w14:schemeClr w14:val="tx1"/>
                  </w14:solidFill>
                </w14:textFill>
              </w:rPr>
              <w:t>实测</w:t>
            </w:r>
            <w:bookmarkEnd w:id="126"/>
          </w:p>
        </w:tc>
        <w:tc>
          <w:tcPr>
            <w:tcW w:w="1644" w:type="dxa"/>
            <w:vAlign w:val="top"/>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p>
        </w:tc>
        <w:tc>
          <w:tcPr>
            <w:tcW w:w="1116" w:type="dxa"/>
            <w:vAlign w:val="top"/>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967" w:type="dxa"/>
            <w:vAlign w:val="top"/>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2061"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bookmarkStart w:id="127" w:name="OLE_LINK27"/>
            <w:r>
              <w:rPr>
                <w:rFonts w:hint="eastAsia"/>
                <w:color w:val="000000" w:themeColor="text1"/>
                <w:sz w:val="21"/>
                <w:szCs w:val="21"/>
                <w:lang w:val="en-US" w:eastAsia="zh-CN"/>
                <w14:textFill>
                  <w14:solidFill>
                    <w14:schemeClr w14:val="tx1"/>
                  </w14:solidFill>
                </w14:textFill>
              </w:rPr>
              <w:t>南面架空电力线</w:t>
            </w:r>
            <w:bookmarkEnd w:id="1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116" w:type="dxa"/>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29</w:t>
            </w:r>
          </w:p>
        </w:tc>
        <w:tc>
          <w:tcPr>
            <w:tcW w:w="967" w:type="dxa"/>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2061" w:type="dxa"/>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西面架空电力线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有绝缘层</w:t>
            </w:r>
          </w:p>
        </w:tc>
        <w:tc>
          <w:tcPr>
            <w:tcW w:w="1083"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644"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0.75H，且大</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5m</w:t>
            </w:r>
          </w:p>
        </w:tc>
        <w:tc>
          <w:tcPr>
            <w:tcW w:w="1116"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061"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3"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44"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16"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06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bl>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表2-2 柴油设备与站外建（构）筑物的安全间距（单位：m）</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8"/>
        <w:gridCol w:w="937"/>
        <w:gridCol w:w="1085"/>
        <w:gridCol w:w="1698"/>
        <w:gridCol w:w="1139"/>
        <w:gridCol w:w="967"/>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站外建（构）筑物</w:t>
            </w:r>
          </w:p>
        </w:tc>
        <w:tc>
          <w:tcPr>
            <w:tcW w:w="6195" w:type="dxa"/>
            <w:gridSpan w:val="4"/>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站内柴油设备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continue"/>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埋地油罐</w:t>
            </w:r>
          </w:p>
        </w:tc>
        <w:tc>
          <w:tcPr>
            <w:tcW w:w="113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96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通气管管口</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1698" w:type="dxa"/>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r>
              <w:rPr>
                <w:rFonts w:hint="eastAsia"/>
                <w:color w:val="000000" w:themeColor="text1"/>
                <w:sz w:val="21"/>
                <w:szCs w:val="21"/>
                <w14:textFill>
                  <w14:solidFill>
                    <w14:schemeClr w14:val="tx1"/>
                  </w14:solidFill>
                </w14:textFill>
              </w:rPr>
              <w:t>级站</w:t>
            </w:r>
          </w:p>
        </w:tc>
        <w:tc>
          <w:tcPr>
            <w:tcW w:w="1139"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967"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2391"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重要公共建筑物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明火地点或散发火花地点</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民用建筑物保护类别</w:t>
            </w: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391"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西面取水点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139"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62.6</w:t>
            </w:r>
          </w:p>
        </w:tc>
        <w:tc>
          <w:tcPr>
            <w:tcW w:w="2391"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甲、乙类物品生产厂房、库房和甲、乙类液体储罐</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139"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391"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791" w:type="dxa"/>
            <w:gridSpan w:val="3"/>
            <w:vMerge w:val="restart"/>
            <w:vAlign w:val="center"/>
          </w:tcPr>
          <w:p>
            <w:pPr>
              <w:adjustRightInd w:val="0"/>
              <w:spacing w:line="240" w:lineRule="auto"/>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丙、丁、戊类物品生产厂房库房和丙类液体储罐以及容积不大于50m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的埋地甲、乙类液体储罐</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139"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391"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东南面厂房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152</w:t>
            </w:r>
          </w:p>
        </w:tc>
        <w:tc>
          <w:tcPr>
            <w:tcW w:w="1139"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161</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157</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室外变配电站</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12.5</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12.5</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铁路、地上城市轨道线路</w:t>
            </w:r>
          </w:p>
        </w:tc>
        <w:tc>
          <w:tcPr>
            <w:tcW w:w="1085" w:type="dxa"/>
            <w:vAlign w:val="center"/>
          </w:tcPr>
          <w:p>
            <w:pPr>
              <w:pStyle w:val="66"/>
              <w:adjustRightInd w:val="0"/>
              <w:snapToGrid w:val="0"/>
              <w:ind w:firstLine="0" w:firstLineChars="0"/>
              <w:rPr>
                <w:rFonts w:cs="宋体"/>
                <w:color w:val="000000" w:themeColor="text1"/>
                <w:spacing w:val="2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城市快速路、主干路和高速公路、一级公路、二级公路</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13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67"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391"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城市次干路、支路和三级公路、四级公路</w:t>
            </w: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139"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391"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南面公路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139"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967"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2391"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架空通信线</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139"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967"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1"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南面架空通信线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698"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139"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18.5</w:t>
            </w:r>
          </w:p>
        </w:tc>
        <w:tc>
          <w:tcPr>
            <w:tcW w:w="967"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2391"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架空电力线路</w:t>
            </w:r>
          </w:p>
        </w:tc>
        <w:tc>
          <w:tcPr>
            <w:tcW w:w="937" w:type="dxa"/>
            <w:vMerge w:val="restart"/>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无绝缘层</w:t>
            </w: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0.75H，且</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6.5m</w:t>
            </w:r>
          </w:p>
        </w:tc>
        <w:tc>
          <w:tcPr>
            <w:tcW w:w="1139"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6.5</w:t>
            </w:r>
          </w:p>
        </w:tc>
        <w:tc>
          <w:tcPr>
            <w:tcW w:w="967"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6.5</w:t>
            </w:r>
          </w:p>
        </w:tc>
        <w:tc>
          <w:tcPr>
            <w:tcW w:w="2391" w:type="dxa"/>
            <w:vMerge w:val="restart"/>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北</w:t>
            </w:r>
            <w:r>
              <w:rPr>
                <w:rFonts w:hint="default" w:cs="宋体"/>
                <w:color w:val="000000" w:themeColor="text1"/>
                <w:sz w:val="21"/>
                <w:szCs w:val="21"/>
                <w:lang w:val="en-US" w:eastAsia="zh-CN"/>
                <w14:textFill>
                  <w14:solidFill>
                    <w14:schemeClr w14:val="tx1"/>
                  </w14:solidFill>
                </w14:textFill>
              </w:rPr>
              <w:t>面</w:t>
            </w:r>
            <w:r>
              <w:rPr>
                <w:rFonts w:hint="eastAsia" w:cs="宋体"/>
                <w:color w:val="000000" w:themeColor="text1"/>
                <w:sz w:val="21"/>
                <w:szCs w:val="21"/>
                <w14:textFill>
                  <w14:solidFill>
                    <w14:schemeClr w14:val="tx1"/>
                  </w14:solidFill>
                </w14:textFill>
              </w:rPr>
              <w:t>架空</w:t>
            </w:r>
            <w:r>
              <w:rPr>
                <w:rFonts w:hint="eastAsia" w:cs="宋体"/>
                <w:color w:val="000000" w:themeColor="text1"/>
                <w:sz w:val="21"/>
                <w:szCs w:val="21"/>
                <w:lang w:val="en-US" w:eastAsia="zh-CN"/>
                <w14:textFill>
                  <w14:solidFill>
                    <w14:schemeClr w14:val="tx1"/>
                  </w14:solidFill>
                </w14:textFill>
              </w:rPr>
              <w:t>高压电力线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bookmarkStart w:id="128" w:name="OLE_LINK26"/>
            <w:r>
              <w:rPr>
                <w:rFonts w:hint="eastAsia" w:cs="宋体"/>
                <w:color w:val="000000" w:themeColor="text1"/>
                <w:sz w:val="21"/>
                <w:szCs w:val="21"/>
                <w14:textFill>
                  <w14:solidFill>
                    <w14:schemeClr w14:val="tx1"/>
                  </w14:solidFill>
                </w14:textFill>
              </w:rPr>
              <w:t>实测</w:t>
            </w:r>
            <w:bookmarkEnd w:id="128"/>
          </w:p>
        </w:tc>
        <w:tc>
          <w:tcPr>
            <w:tcW w:w="1698" w:type="dxa"/>
            <w:vAlign w:val="top"/>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85</w:t>
            </w:r>
          </w:p>
        </w:tc>
        <w:tc>
          <w:tcPr>
            <w:tcW w:w="1139" w:type="dxa"/>
            <w:vAlign w:val="top"/>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102</w:t>
            </w:r>
          </w:p>
        </w:tc>
        <w:tc>
          <w:tcPr>
            <w:tcW w:w="967" w:type="dxa"/>
            <w:vAlign w:val="top"/>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84</w:t>
            </w:r>
          </w:p>
        </w:tc>
        <w:tc>
          <w:tcPr>
            <w:tcW w:w="2391" w:type="dxa"/>
            <w:vMerge w:val="continue"/>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bookmarkStart w:id="129" w:name="OLE_LINK30"/>
            <w:r>
              <w:rPr>
                <w:rFonts w:hint="eastAsia" w:cs="宋体"/>
                <w:color w:val="000000" w:themeColor="text1"/>
                <w:sz w:val="21"/>
                <w:szCs w:val="21"/>
                <w14:textFill>
                  <w14:solidFill>
                    <w14:schemeClr w14:val="tx1"/>
                  </w14:solidFill>
                </w14:textFill>
              </w:rPr>
              <w:t>实测</w:t>
            </w:r>
            <w:bookmarkEnd w:id="129"/>
          </w:p>
        </w:tc>
        <w:tc>
          <w:tcPr>
            <w:tcW w:w="1698" w:type="dxa"/>
            <w:vAlign w:val="top"/>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28</w:t>
            </w:r>
          </w:p>
        </w:tc>
        <w:tc>
          <w:tcPr>
            <w:tcW w:w="1139" w:type="dxa"/>
            <w:vAlign w:val="top"/>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23</w:t>
            </w:r>
          </w:p>
        </w:tc>
        <w:tc>
          <w:tcPr>
            <w:tcW w:w="967" w:type="dxa"/>
            <w:vAlign w:val="top"/>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34</w:t>
            </w:r>
          </w:p>
        </w:tc>
        <w:tc>
          <w:tcPr>
            <w:tcW w:w="2391"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南面</w:t>
            </w:r>
            <w:bookmarkStart w:id="130" w:name="OLE_LINK29"/>
            <w:r>
              <w:rPr>
                <w:rFonts w:hint="eastAsia" w:cs="宋体"/>
                <w:color w:val="000000" w:themeColor="text1"/>
                <w:sz w:val="21"/>
                <w:szCs w:val="21"/>
                <w:lang w:val="en-US" w:eastAsia="zh-CN"/>
                <w14:textFill>
                  <w14:solidFill>
                    <w14:schemeClr w14:val="tx1"/>
                  </w14:solidFill>
                </w14:textFill>
              </w:rPr>
              <w:t>架空电力线</w:t>
            </w:r>
            <w:bookmarkEnd w:id="1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top"/>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63</w:t>
            </w:r>
          </w:p>
        </w:tc>
        <w:tc>
          <w:tcPr>
            <w:tcW w:w="1139" w:type="dxa"/>
            <w:vAlign w:val="top"/>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29</w:t>
            </w:r>
          </w:p>
        </w:tc>
        <w:tc>
          <w:tcPr>
            <w:tcW w:w="967" w:type="dxa"/>
            <w:vAlign w:val="top"/>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60.6</w:t>
            </w:r>
          </w:p>
        </w:tc>
        <w:tc>
          <w:tcPr>
            <w:tcW w:w="2391" w:type="dxa"/>
            <w:vAlign w:val="center"/>
          </w:tcPr>
          <w:p>
            <w:pPr>
              <w:pStyle w:val="66"/>
              <w:adjustRightInd w:val="0"/>
              <w:snapToGrid w:val="0"/>
              <w:ind w:firstLine="0" w:firstLineChars="0"/>
              <w:rPr>
                <w:rFonts w:hint="eastAsia"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西面架空电力线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有绝缘层</w:t>
            </w: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698"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0.5H，且</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5m</w:t>
            </w:r>
          </w:p>
        </w:tc>
        <w:tc>
          <w:tcPr>
            <w:tcW w:w="1139"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967"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2391" w:type="dxa"/>
            <w:vMerge w:val="restart"/>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69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139"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967"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1"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bl>
    <w:p>
      <w:pPr>
        <w:pStyle w:val="3"/>
        <w:rPr>
          <w:color w:val="000000" w:themeColor="text1"/>
          <w14:textFill>
            <w14:solidFill>
              <w14:schemeClr w14:val="tx1"/>
            </w14:solidFill>
          </w14:textFill>
        </w:rPr>
      </w:pPr>
      <w:bookmarkStart w:id="131" w:name="_Toc231982076"/>
      <w:bookmarkStart w:id="132" w:name="_Toc236123673"/>
      <w:bookmarkStart w:id="133" w:name="_Toc233515704"/>
      <w:bookmarkStart w:id="134" w:name="_Toc23896"/>
      <w:bookmarkStart w:id="135" w:name="_Toc231983385"/>
      <w:bookmarkStart w:id="136" w:name="_Toc231835940"/>
      <w:bookmarkStart w:id="137" w:name="_Toc11664"/>
      <w:bookmarkStart w:id="138" w:name="_Toc275268717"/>
      <w:bookmarkStart w:id="139" w:name="_Toc235587809"/>
      <w:bookmarkStart w:id="140" w:name="_Toc248220519"/>
      <w:bookmarkStart w:id="141" w:name="_Toc232084123"/>
      <w:r>
        <w:rPr>
          <w:color w:val="000000" w:themeColor="text1"/>
          <w14:textFill>
            <w14:solidFill>
              <w14:schemeClr w14:val="tx1"/>
            </w14:solidFill>
          </w14:textFill>
        </w:rPr>
        <w:t>平面布置</w:t>
      </w:r>
      <w:bookmarkEnd w:id="131"/>
      <w:bookmarkEnd w:id="132"/>
      <w:bookmarkEnd w:id="133"/>
      <w:bookmarkEnd w:id="134"/>
      <w:bookmarkEnd w:id="135"/>
      <w:bookmarkEnd w:id="136"/>
      <w:bookmarkEnd w:id="137"/>
      <w:bookmarkEnd w:id="138"/>
      <w:bookmarkEnd w:id="139"/>
      <w:bookmarkEnd w:id="140"/>
      <w:bookmarkEnd w:id="141"/>
    </w:p>
    <w:p>
      <w:pPr>
        <w:snapToGrid/>
        <w:spacing w:line="560" w:lineRule="exact"/>
        <w:jc w:val="left"/>
        <w:rPr>
          <w:color w:val="000000" w:themeColor="text1"/>
          <w:szCs w:val="28"/>
          <w14:textFill>
            <w14:solidFill>
              <w14:schemeClr w14:val="tx1"/>
            </w14:solidFill>
          </w14:textFill>
        </w:rPr>
      </w:pPr>
      <w:bookmarkStart w:id="142" w:name="OLE_LINK2"/>
      <w:r>
        <w:rPr>
          <w:rFonts w:hint="eastAsia"/>
          <w:color w:val="000000" w:themeColor="text1"/>
          <w:szCs w:val="28"/>
          <w:lang w:eastAsia="zh-CN"/>
          <w14:textFill>
            <w14:solidFill>
              <w14:schemeClr w14:val="tx1"/>
            </w14:solidFill>
          </w14:textFill>
        </w:rPr>
        <w:t>丘北县树皮路顺加油站</w:t>
      </w:r>
      <w:r>
        <w:rPr>
          <w:rFonts w:hint="eastAsia"/>
          <w:color w:val="000000" w:themeColor="text1"/>
          <w:szCs w:val="28"/>
          <w14:textFill>
            <w14:solidFill>
              <w14:schemeClr w14:val="tx1"/>
            </w14:solidFill>
          </w14:textFill>
        </w:rPr>
        <w:t>坐</w:t>
      </w:r>
      <w:r>
        <w:rPr>
          <w:rFonts w:hint="eastAsia"/>
          <w:color w:val="000000" w:themeColor="text1"/>
          <w:szCs w:val="28"/>
          <w:lang w:val="en-US" w:eastAsia="zh-CN"/>
          <w14:textFill>
            <w14:solidFill>
              <w14:schemeClr w14:val="tx1"/>
            </w14:solidFill>
          </w14:textFill>
        </w:rPr>
        <w:t>北</w:t>
      </w:r>
      <w:r>
        <w:rPr>
          <w:rFonts w:hint="eastAsia"/>
          <w:color w:val="000000" w:themeColor="text1"/>
          <w:szCs w:val="28"/>
          <w14:textFill>
            <w14:solidFill>
              <w14:schemeClr w14:val="tx1"/>
            </w14:solidFill>
          </w14:textFill>
        </w:rPr>
        <w:t>朝</w:t>
      </w:r>
      <w:r>
        <w:rPr>
          <w:rFonts w:hint="eastAsia"/>
          <w:color w:val="000000" w:themeColor="text1"/>
          <w:szCs w:val="28"/>
          <w:lang w:val="en-US" w:eastAsia="zh-CN"/>
          <w14:textFill>
            <w14:solidFill>
              <w14:schemeClr w14:val="tx1"/>
            </w14:solidFill>
          </w14:textFill>
        </w:rPr>
        <w:t>南</w:t>
      </w:r>
      <w:r>
        <w:rPr>
          <w:rFonts w:hint="eastAsia"/>
          <w:color w:val="000000" w:themeColor="text1"/>
          <w:szCs w:val="28"/>
          <w14:textFill>
            <w14:solidFill>
              <w14:schemeClr w14:val="tx1"/>
            </w14:solidFill>
          </w14:textFill>
        </w:rPr>
        <w:t>，平面布置按功能分为</w:t>
      </w:r>
      <w:r>
        <w:rPr>
          <w:rFonts w:hint="eastAsia"/>
          <w:color w:val="000000" w:themeColor="text1"/>
          <w:szCs w:val="28"/>
          <w:lang w:val="en-US" w:eastAsia="zh-CN"/>
          <w14:textFill>
            <w14:solidFill>
              <w14:schemeClr w14:val="tx1"/>
            </w14:solidFill>
          </w14:textFill>
        </w:rPr>
        <w:t>辅房</w:t>
      </w:r>
      <w:r>
        <w:rPr>
          <w:rFonts w:hint="eastAsia"/>
          <w:color w:val="000000" w:themeColor="text1"/>
          <w:szCs w:val="28"/>
          <w14:textFill>
            <w14:solidFill>
              <w14:schemeClr w14:val="tx1"/>
            </w14:solidFill>
          </w14:textFill>
        </w:rPr>
        <w:t>、站房、</w:t>
      </w:r>
      <w:r>
        <w:rPr>
          <w:rFonts w:hint="eastAsia"/>
          <w:color w:val="000000" w:themeColor="text1"/>
          <w:szCs w:val="28"/>
          <w:lang w:val="en-US" w:eastAsia="zh-CN"/>
          <w14:textFill>
            <w14:solidFill>
              <w14:schemeClr w14:val="tx1"/>
            </w14:solidFill>
          </w14:textFill>
        </w:rPr>
        <w:t>加油区、油罐区</w:t>
      </w:r>
      <w:r>
        <w:rPr>
          <w:rFonts w:hint="eastAsia"/>
          <w:color w:val="000000" w:themeColor="text1"/>
          <w:szCs w:val="28"/>
          <w14:textFill>
            <w14:solidFill>
              <w14:schemeClr w14:val="tx1"/>
            </w14:solidFill>
          </w14:textFill>
        </w:rPr>
        <w:t>。加油区位于</w:t>
      </w:r>
      <w:r>
        <w:rPr>
          <w:rFonts w:hint="eastAsia"/>
          <w:color w:val="000000" w:themeColor="text1"/>
          <w:szCs w:val="28"/>
          <w:lang w:val="en-US" w:eastAsia="zh-CN"/>
          <w14:textFill>
            <w14:solidFill>
              <w14:schemeClr w14:val="tx1"/>
            </w14:solidFill>
          </w14:textFill>
        </w:rPr>
        <w:t>站区中</w:t>
      </w:r>
      <w:r>
        <w:rPr>
          <w:rFonts w:hint="eastAsia"/>
          <w:color w:val="000000" w:themeColor="text1"/>
          <w:szCs w:val="28"/>
          <w14:textFill>
            <w14:solidFill>
              <w14:schemeClr w14:val="tx1"/>
            </w14:solidFill>
          </w14:textFill>
        </w:rPr>
        <w:t>部，站房位于站区</w:t>
      </w:r>
      <w:r>
        <w:rPr>
          <w:rFonts w:hint="eastAsia"/>
          <w:color w:val="000000" w:themeColor="text1"/>
          <w:szCs w:val="28"/>
          <w:lang w:val="en-US" w:eastAsia="zh-CN"/>
          <w14:textFill>
            <w14:solidFill>
              <w14:schemeClr w14:val="tx1"/>
            </w14:solidFill>
          </w14:textFill>
        </w:rPr>
        <w:t>北侧</w:t>
      </w:r>
      <w:r>
        <w:rPr>
          <w:rFonts w:hint="eastAsia"/>
          <w:color w:val="000000" w:themeColor="text1"/>
          <w:szCs w:val="28"/>
          <w14:textFill>
            <w14:solidFill>
              <w14:schemeClr w14:val="tx1"/>
            </w14:solidFill>
          </w14:textFill>
        </w:rPr>
        <w:t>，油罐区位于站</w:t>
      </w:r>
      <w:r>
        <w:rPr>
          <w:rFonts w:hint="eastAsia"/>
          <w:color w:val="000000" w:themeColor="text1"/>
          <w:szCs w:val="28"/>
          <w:lang w:val="en-US" w:eastAsia="zh-CN"/>
          <w14:textFill>
            <w14:solidFill>
              <w14:schemeClr w14:val="tx1"/>
            </w14:solidFill>
          </w14:textFill>
        </w:rPr>
        <w:t>区东北侧</w:t>
      </w:r>
      <w:r>
        <w:rPr>
          <w:rFonts w:hint="eastAsia"/>
          <w:color w:val="000000" w:themeColor="text1"/>
          <w:szCs w:val="28"/>
          <w14:textFill>
            <w14:solidFill>
              <w14:schemeClr w14:val="tx1"/>
            </w14:solidFill>
          </w14:textFill>
        </w:rPr>
        <w:t>，卸油区设置在油罐区</w:t>
      </w:r>
      <w:r>
        <w:rPr>
          <w:rFonts w:hint="eastAsia"/>
          <w:color w:val="000000" w:themeColor="text1"/>
          <w:szCs w:val="28"/>
          <w:lang w:val="en-US" w:eastAsia="zh-CN"/>
          <w14:textFill>
            <w14:solidFill>
              <w14:schemeClr w14:val="tx1"/>
            </w14:solidFill>
          </w14:textFill>
        </w:rPr>
        <w:t>南侧，辅房位于加油区西侧和东侧。</w:t>
      </w:r>
      <w:r>
        <w:rPr>
          <w:rFonts w:hint="eastAsia"/>
          <w:color w:val="000000" w:themeColor="text1"/>
          <w:szCs w:val="28"/>
          <w14:textFill>
            <w14:solidFill>
              <w14:schemeClr w14:val="tx1"/>
            </w14:solidFill>
          </w14:textFill>
        </w:rPr>
        <w:t>加油站站房、罩棚耐火等级均为二级。加油站入口与出口分开设置，加油站</w:t>
      </w:r>
      <w:r>
        <w:rPr>
          <w:rFonts w:hint="eastAsia"/>
          <w:color w:val="000000" w:themeColor="text1"/>
          <w:szCs w:val="28"/>
          <w:lang w:val="en-US" w:eastAsia="zh-CN"/>
          <w14:textFill>
            <w14:solidFill>
              <w14:schemeClr w14:val="tx1"/>
            </w14:solidFill>
          </w14:textFill>
        </w:rPr>
        <w:t>面向公路一侧设置有绿化带与外界隔离</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北面、东面</w:t>
      </w:r>
      <w:r>
        <w:rPr>
          <w:rFonts w:hint="eastAsia"/>
          <w:color w:val="000000" w:themeColor="text1"/>
          <w:szCs w:val="28"/>
          <w14:textFill>
            <w14:solidFill>
              <w14:schemeClr w14:val="tx1"/>
            </w14:solidFill>
          </w14:textFill>
        </w:rPr>
        <w:t>设置不低于2</w:t>
      </w:r>
      <w:r>
        <w:rPr>
          <w:color w:val="000000" w:themeColor="text1"/>
          <w:szCs w:val="28"/>
          <w14:textFill>
            <w14:solidFill>
              <w14:schemeClr w14:val="tx1"/>
            </w14:solidFill>
          </w14:textFill>
        </w:rPr>
        <w:t>.2m</w:t>
      </w:r>
      <w:r>
        <w:rPr>
          <w:rFonts w:hint="eastAsia"/>
          <w:color w:val="000000" w:themeColor="text1"/>
          <w:szCs w:val="28"/>
          <w14:textFill>
            <w14:solidFill>
              <w14:schemeClr w14:val="tx1"/>
            </w14:solidFill>
          </w14:textFill>
        </w:rPr>
        <w:t>的实体围墙与外界隔开，加油站平面布置具体如下：</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加油区：</w:t>
      </w:r>
      <w:r>
        <w:rPr>
          <w:rFonts w:hint="eastAsia"/>
          <w:color w:val="000000" w:themeColor="text1"/>
          <w14:textFill>
            <w14:solidFill>
              <w14:schemeClr w14:val="tx1"/>
            </w14:solidFill>
          </w14:textFill>
        </w:rPr>
        <w:t>加油区设置</w:t>
      </w:r>
      <w:r>
        <w:rPr>
          <w:rFonts w:hint="eastAsia"/>
          <w:color w:val="000000" w:themeColor="text1"/>
          <w:lang w:val="en-US" w:eastAsia="zh-CN"/>
          <w14:textFill>
            <w14:solidFill>
              <w14:schemeClr w14:val="tx1"/>
            </w14:solidFill>
          </w14:textFill>
        </w:rPr>
        <w:t>1台四枪加油机，3台双枪加油机</w:t>
      </w:r>
      <w:r>
        <w:rPr>
          <w:rFonts w:hint="eastAsia"/>
          <w:color w:val="000000" w:themeColor="text1"/>
          <w14:textFill>
            <w14:solidFill>
              <w14:schemeClr w14:val="tx1"/>
            </w14:solidFill>
          </w14:textFill>
        </w:rPr>
        <w:t>，加油枪软管上设置安全拉断阀，</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台加油机设置在</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座加油岛上；加油岛宽1.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m，高出站内地坪0.2m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加油岛端部设置了0.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m高防撞栏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加油区设置建筑面积为306㎡的网架结构罩棚，</w:t>
      </w:r>
      <w:r>
        <w:rPr>
          <w:rFonts w:hint="eastAsia"/>
          <w:color w:val="000000" w:themeColor="text1"/>
          <w14:textFill>
            <w14:solidFill>
              <w14:schemeClr w14:val="tx1"/>
            </w14:solidFill>
          </w14:textFill>
        </w:rPr>
        <w:t>加油站罩棚有效高度为</w:t>
      </w:r>
      <w:r>
        <w:rPr>
          <w:rFonts w:hint="eastAsia"/>
          <w:color w:val="000000" w:themeColor="text1"/>
          <w:lang w:val="en-US" w:eastAsia="zh-CN"/>
          <w14:textFill>
            <w14:solidFill>
              <w14:schemeClr w14:val="tx1"/>
            </w14:solidFill>
          </w14:textFill>
        </w:rPr>
        <w:t>7.2</w:t>
      </w:r>
      <w:r>
        <w:rPr>
          <w:rFonts w:hint="eastAsia"/>
          <w:color w:val="000000" w:themeColor="text1"/>
          <w14:textFill>
            <w14:solidFill>
              <w14:schemeClr w14:val="tx1"/>
            </w14:solidFill>
          </w14:textFill>
        </w:rPr>
        <w:t>m。</w:t>
      </w:r>
    </w:p>
    <w:p>
      <w:pPr>
        <w:ind w:firstLine="562"/>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油罐区</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油罐区设置</w:t>
      </w:r>
      <w:r>
        <w:rPr>
          <w:bCs/>
          <w:color w:val="000000" w:themeColor="text1"/>
          <w14:textFill>
            <w14:solidFill>
              <w14:schemeClr w14:val="tx1"/>
            </w14:solidFill>
          </w14:textFill>
        </w:rPr>
        <w:t>在</w:t>
      </w:r>
      <w:r>
        <w:rPr>
          <w:rFonts w:hint="eastAsia"/>
          <w:bCs/>
          <w:color w:val="000000" w:themeColor="text1"/>
          <w:lang w:val="en-US" w:eastAsia="zh-CN"/>
          <w14:textFill>
            <w14:solidFill>
              <w14:schemeClr w14:val="tx1"/>
            </w14:solidFill>
          </w14:textFill>
        </w:rPr>
        <w:t>站区东北</w:t>
      </w:r>
      <w:r>
        <w:rPr>
          <w:rFonts w:hint="eastAsia"/>
          <w:bCs/>
          <w:color w:val="000000" w:themeColor="text1"/>
          <w14:textFill>
            <w14:solidFill>
              <w14:schemeClr w14:val="tx1"/>
            </w14:solidFill>
          </w14:textFill>
        </w:rPr>
        <w:t>侧</w:t>
      </w:r>
      <w:r>
        <w:rPr>
          <w:rFonts w:hint="eastAsia"/>
          <w:color w:val="000000" w:themeColor="text1"/>
          <w14:textFill>
            <w14:solidFill>
              <w14:schemeClr w14:val="tx1"/>
            </w14:solidFill>
          </w14:textFill>
        </w:rPr>
        <w:t>，设置有</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个SF双层油罐，</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0m³0#柴油罐</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#汽油罐1个，</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#汽油罐1个，总容积</w:t>
      </w:r>
      <w:r>
        <w:rPr>
          <w:rFonts w:hint="eastAsia"/>
          <w:color w:val="000000" w:themeColor="text1"/>
          <w:lang w:val="en-US" w:eastAsia="zh-CN"/>
          <w14:textFill>
            <w14:solidFill>
              <w14:schemeClr w14:val="tx1"/>
            </w14:solidFill>
          </w14:textFill>
        </w:rPr>
        <w:t>140</w:t>
      </w:r>
      <w:r>
        <w:rPr>
          <w:rFonts w:hint="eastAsia"/>
          <w:color w:val="000000" w:themeColor="text1"/>
          <w14:textFill>
            <w14:solidFill>
              <w14:schemeClr w14:val="tx1"/>
            </w14:solidFill>
          </w14:textFill>
        </w:rPr>
        <w:t>m³，柴油罐容积折半计入油罐总容积为</w:t>
      </w:r>
      <w:r>
        <w:rPr>
          <w:rFonts w:hint="eastAsia"/>
          <w:color w:val="000000" w:themeColor="text1"/>
          <w:lang w:val="en-US" w:eastAsia="zh-CN"/>
          <w14:textFill>
            <w14:solidFill>
              <w14:schemeClr w14:val="tx1"/>
            </w14:solidFill>
          </w14:textFill>
        </w:rPr>
        <w:t>115</w:t>
      </w:r>
      <w:r>
        <w:rPr>
          <w:rFonts w:hint="eastAsia"/>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为二级加油站</w:t>
      </w:r>
      <w:r>
        <w:rPr>
          <w:rFonts w:hint="eastAsia"/>
          <w:color w:val="000000" w:themeColor="text1"/>
          <w14:textFill>
            <w14:solidFill>
              <w14:schemeClr w14:val="tx1"/>
            </w14:solidFill>
          </w14:textFill>
        </w:rPr>
        <w:t>，油罐埋地布置于罐池内，油罐采用防腐处理，每个油罐单独采用DN50通气管，通气管</w:t>
      </w:r>
      <w:r>
        <w:rPr>
          <w:rFonts w:hint="eastAsia"/>
          <w:color w:val="000000" w:themeColor="text1"/>
          <w:lang w:val="en-US" w:eastAsia="zh-CN"/>
          <w14:textFill>
            <w14:solidFill>
              <w14:schemeClr w14:val="tx1"/>
            </w14:solidFill>
          </w14:textFill>
        </w:rPr>
        <w:t>高出地面4.5m</w:t>
      </w:r>
      <w:r>
        <w:rPr>
          <w:rFonts w:hint="eastAsia"/>
          <w:color w:val="000000" w:themeColor="text1"/>
          <w14:textFill>
            <w14:solidFill>
              <w14:schemeClr w14:val="tx1"/>
            </w14:solidFill>
          </w14:textFill>
        </w:rPr>
        <w:t>，</w:t>
      </w:r>
      <w:r>
        <w:rPr>
          <w:rFonts w:hint="eastAsia"/>
          <w:color w:val="000000" w:themeColor="text1"/>
          <w:szCs w:val="28"/>
          <w14:textFill>
            <w14:solidFill>
              <w14:schemeClr w14:val="tx1"/>
            </w14:solidFill>
          </w14:textFill>
        </w:rPr>
        <w:t>汽油罐的通气管管口装设阻火器，柴油罐通气管管口装设阻火器。每个油罐均设置了检测立管，设置防渗漏报警装置，每个油罐均设置了液位仪，防渗漏报警信号和液位报警信号均引至站房办公室。加油站在爆炸危险区域内工艺管道上法兰两端等连接处，均用铜片跨接。</w:t>
      </w:r>
      <w:r>
        <w:rPr>
          <w:rFonts w:hint="eastAsia"/>
          <w:color w:val="000000" w:themeColor="text1"/>
          <w14:textFill>
            <w14:solidFill>
              <w14:schemeClr w14:val="tx1"/>
            </w14:solidFill>
          </w14:textFill>
        </w:rPr>
        <w:t>每个油罐单独设置人孔操作井，油罐区设置了观察井。</w:t>
      </w:r>
    </w:p>
    <w:p>
      <w:pPr>
        <w:keepNext w:val="0"/>
        <w:keepLines w:val="0"/>
        <w:pageBreakBefore w:val="0"/>
        <w:widowControl w:val="0"/>
        <w:kinsoku w:val="0"/>
        <w:wordWrap/>
        <w:overflowPunct w:val="0"/>
        <w:topLinePunct w:val="0"/>
        <w:autoSpaceDE/>
        <w:autoSpaceDN/>
        <w:bidi w:val="0"/>
        <w:adjustRightInd/>
        <w:snapToGrid/>
        <w:textAlignment w:val="auto"/>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在油罐区</w:t>
      </w:r>
      <w:r>
        <w:rPr>
          <w:rFonts w:hint="eastAsia"/>
          <w:color w:val="000000" w:themeColor="text1"/>
          <w:szCs w:val="28"/>
          <w:lang w:val="en-US" w:eastAsia="zh-CN"/>
          <w14:textFill>
            <w14:solidFill>
              <w14:schemeClr w14:val="tx1"/>
            </w14:solidFill>
          </w14:textFill>
        </w:rPr>
        <w:t>南侧</w:t>
      </w:r>
      <w:r>
        <w:rPr>
          <w:rFonts w:hint="eastAsia"/>
          <w:color w:val="000000" w:themeColor="text1"/>
          <w:szCs w:val="28"/>
          <w14:textFill>
            <w14:solidFill>
              <w14:schemeClr w14:val="tx1"/>
            </w14:solidFill>
          </w14:textFill>
        </w:rPr>
        <w:t>设置密闭卸油点，密闭卸油点设置了</w:t>
      </w:r>
      <w:r>
        <w:rPr>
          <w:rFonts w:hint="eastAsia"/>
          <w:color w:val="000000" w:themeColor="text1"/>
          <w:szCs w:val="28"/>
          <w:lang w:val="en-US" w:eastAsia="zh-CN"/>
          <w14:textFill>
            <w14:solidFill>
              <w14:schemeClr w14:val="tx1"/>
            </w14:solidFill>
          </w14:textFill>
        </w:rPr>
        <w:t>3</w:t>
      </w:r>
      <w:r>
        <w:rPr>
          <w:rFonts w:hint="eastAsia"/>
          <w:color w:val="000000" w:themeColor="text1"/>
          <w:szCs w:val="28"/>
          <w14:textFill>
            <w14:solidFill>
              <w14:schemeClr w14:val="tx1"/>
            </w14:solidFill>
          </w14:textFill>
        </w:rPr>
        <w:t>个卸油口和</w:t>
      </w:r>
      <w:r>
        <w:rPr>
          <w:rFonts w:hint="eastAsia"/>
          <w:color w:val="000000" w:themeColor="text1"/>
          <w:szCs w:val="28"/>
          <w:lang w:val="en-US" w:eastAsia="zh-CN"/>
          <w14:textFill>
            <w14:solidFill>
              <w14:schemeClr w14:val="tx1"/>
            </w14:solidFill>
          </w14:textFill>
        </w:rPr>
        <w:t>2</w:t>
      </w:r>
      <w:r>
        <w:rPr>
          <w:rFonts w:hint="eastAsia"/>
          <w:color w:val="000000" w:themeColor="text1"/>
          <w:szCs w:val="28"/>
          <w14:textFill>
            <w14:solidFill>
              <w14:schemeClr w14:val="tx1"/>
            </w14:solidFill>
          </w14:textFill>
        </w:rPr>
        <w:t>个汽油卸油油气回收管口，密闭卸油点与汽、柴油通气管的距离均大于3m（规范：汽油通气管与密闭卸油点为3m，柴油为2m），卸油口配备有静电夹及人体静电导除桩。密闭卸油口，每个油罐各自设置卸油接口，接口上有明显的油品标识。卸油接口装设快速接头及密封盖。在卸油</w:t>
      </w:r>
      <w:r>
        <w:rPr>
          <w:rFonts w:hint="eastAsia"/>
          <w:color w:val="000000" w:themeColor="text1"/>
          <w:szCs w:val="28"/>
          <w:lang w:val="en-US" w:eastAsia="zh-CN"/>
          <w14:textFill>
            <w14:solidFill>
              <w14:schemeClr w14:val="tx1"/>
            </w14:solidFill>
          </w14:textFill>
        </w:rPr>
        <w:t>区设置</w:t>
      </w:r>
      <w:r>
        <w:rPr>
          <w:rFonts w:hint="eastAsia"/>
          <w:color w:val="000000" w:themeColor="text1"/>
          <w:szCs w:val="28"/>
          <w14:textFill>
            <w14:solidFill>
              <w14:schemeClr w14:val="tx1"/>
            </w14:solidFill>
          </w14:textFill>
        </w:rPr>
        <w:t>有2m³消防沙</w:t>
      </w:r>
      <w:r>
        <w:rPr>
          <w:rFonts w:hint="eastAsia"/>
          <w:color w:val="000000" w:themeColor="text1"/>
          <w:szCs w:val="28"/>
          <w:lang w:val="en-US" w:eastAsia="zh-CN"/>
          <w14:textFill>
            <w14:solidFill>
              <w14:schemeClr w14:val="tx1"/>
            </w14:solidFill>
          </w14:textFill>
        </w:rPr>
        <w:t>池</w:t>
      </w:r>
      <w:r>
        <w:rPr>
          <w:rFonts w:hint="eastAsia"/>
          <w:color w:val="000000" w:themeColor="text1"/>
          <w:szCs w:val="28"/>
          <w14:textFill>
            <w14:solidFill>
              <w14:schemeClr w14:val="tx1"/>
            </w14:solidFill>
          </w14:textFill>
        </w:rPr>
        <w:t>。</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站房：</w:t>
      </w:r>
      <w:r>
        <w:rPr>
          <w:rFonts w:hint="eastAsia"/>
          <w:color w:val="000000" w:themeColor="text1"/>
          <w:szCs w:val="28"/>
          <w14:textFill>
            <w14:solidFill>
              <w14:schemeClr w14:val="tx1"/>
            </w14:solidFill>
          </w14:textFill>
        </w:rPr>
        <w:t>站房</w:t>
      </w:r>
      <w:r>
        <w:rPr>
          <w:rFonts w:hint="eastAsia"/>
          <w:color w:val="000000" w:themeColor="text1"/>
          <w14:textFill>
            <w14:solidFill>
              <w14:schemeClr w14:val="tx1"/>
            </w14:solidFill>
          </w14:textFill>
        </w:rPr>
        <w:t>为一栋2层砖混结构建筑，耐火等级为二级，布置有</w:t>
      </w:r>
      <w:r>
        <w:rPr>
          <w:rFonts w:hint="eastAsia"/>
          <w:color w:val="000000" w:themeColor="text1"/>
          <w:lang w:val="en-US" w:eastAsia="zh-CN"/>
          <w14:textFill>
            <w14:solidFill>
              <w14:schemeClr w14:val="tx1"/>
            </w14:solidFill>
          </w14:textFill>
        </w:rPr>
        <w:t>办公室、值班室、杂物间</w:t>
      </w:r>
      <w:r>
        <w:rPr>
          <w:rFonts w:hint="eastAsia"/>
          <w:color w:val="000000" w:themeColor="text1"/>
          <w14:textFill>
            <w14:solidFill>
              <w14:schemeClr w14:val="tx1"/>
            </w14:solidFill>
          </w14:textFill>
        </w:rPr>
        <w:t>等。</w:t>
      </w:r>
    </w:p>
    <w:p>
      <w:pPr>
        <w:ind w:firstLine="562"/>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辅房：</w:t>
      </w:r>
      <w:r>
        <w:rPr>
          <w:rFonts w:hint="eastAsia"/>
          <w:color w:val="000000" w:themeColor="text1"/>
          <w:lang w:val="en-US" w:eastAsia="zh-CN"/>
          <w14:textFill>
            <w14:solidFill>
              <w14:schemeClr w14:val="tx1"/>
            </w14:solidFill>
          </w14:textFill>
        </w:rPr>
        <w:t>辅助均为砖混结构，站区西侧辅房设置发配电室和厨房；站区东侧辅助设置卫生间、危废间。</w:t>
      </w:r>
    </w:p>
    <w:p>
      <w:pPr>
        <w:snapToGrid/>
        <w:ind w:firstLine="562"/>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站区道路及出入口设置情况：</w:t>
      </w:r>
      <w:r>
        <w:rPr>
          <w:rFonts w:hint="eastAsia"/>
          <w:color w:val="000000" w:themeColor="text1"/>
          <w14:textFill>
            <w14:solidFill>
              <w14:schemeClr w14:val="tx1"/>
            </w14:solidFill>
          </w14:textFill>
        </w:rPr>
        <w:t>加油站</w:t>
      </w:r>
      <w:bookmarkStart w:id="143" w:name="OLE_LINK33"/>
      <w:r>
        <w:rPr>
          <w:rFonts w:hint="eastAsia"/>
          <w:color w:val="000000" w:themeColor="text1"/>
          <w:lang w:val="en-US" w:eastAsia="zh-CN"/>
          <w14:textFill>
            <w14:solidFill>
              <w14:schemeClr w14:val="tx1"/>
            </w14:solidFill>
          </w14:textFill>
        </w:rPr>
        <w:t>东南</w:t>
      </w:r>
      <w:r>
        <w:rPr>
          <w:rFonts w:hint="eastAsia"/>
          <w:color w:val="000000" w:themeColor="text1"/>
          <w14:textFill>
            <w14:solidFill>
              <w14:schemeClr w14:val="tx1"/>
            </w14:solidFill>
          </w14:textFill>
        </w:rPr>
        <w:t>面</w:t>
      </w:r>
      <w:bookmarkEnd w:id="143"/>
      <w:r>
        <w:rPr>
          <w:rFonts w:hint="eastAsia"/>
          <w:color w:val="000000" w:themeColor="text1"/>
          <w:lang w:val="en-US" w:eastAsia="zh-CN"/>
          <w14:textFill>
            <w14:solidFill>
              <w14:schemeClr w14:val="tx1"/>
            </w14:solidFill>
          </w14:textFill>
        </w:rPr>
        <w:t>设置“入口”，西南</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设置“出口”</w:t>
      </w:r>
      <w:r>
        <w:rPr>
          <w:rFonts w:hint="eastAsia"/>
          <w:color w:val="000000" w:themeColor="text1"/>
          <w:szCs w:val="28"/>
          <w:lang w:eastAsia="zh-CN"/>
          <w14:textFill>
            <w14:solidFill>
              <w14:schemeClr w14:val="tx1"/>
            </w14:solidFill>
          </w14:textFill>
        </w:rPr>
        <w:t>；</w:t>
      </w:r>
      <w:r>
        <w:rPr>
          <w:rFonts w:hint="eastAsia"/>
          <w:color w:val="000000" w:themeColor="text1"/>
          <w:szCs w:val="28"/>
          <w14:textFill>
            <w14:solidFill>
              <w14:schemeClr w14:val="tx1"/>
            </w14:solidFill>
          </w14:textFill>
        </w:rPr>
        <w:t>加油站</w:t>
      </w:r>
      <w:r>
        <w:rPr>
          <w:rFonts w:hint="eastAsia"/>
          <w:color w:val="000000" w:themeColor="text1"/>
          <w:szCs w:val="28"/>
          <w:lang w:val="en-US" w:eastAsia="zh-CN"/>
          <w14:textFill>
            <w14:solidFill>
              <w14:schemeClr w14:val="tx1"/>
            </w14:solidFill>
          </w14:textFill>
        </w:rPr>
        <w:t>面向公路一侧设置有绿化带与外界隔离</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北面、东面</w:t>
      </w:r>
      <w:r>
        <w:rPr>
          <w:rFonts w:hint="eastAsia"/>
          <w:color w:val="000000" w:themeColor="text1"/>
          <w:szCs w:val="28"/>
          <w14:textFill>
            <w14:solidFill>
              <w14:schemeClr w14:val="tx1"/>
            </w14:solidFill>
          </w14:textFill>
        </w:rPr>
        <w:t>设置不低于2</w:t>
      </w:r>
      <w:r>
        <w:rPr>
          <w:color w:val="000000" w:themeColor="text1"/>
          <w:szCs w:val="28"/>
          <w14:textFill>
            <w14:solidFill>
              <w14:schemeClr w14:val="tx1"/>
            </w14:solidFill>
          </w14:textFill>
        </w:rPr>
        <w:t>.2m</w:t>
      </w:r>
      <w:r>
        <w:rPr>
          <w:rFonts w:hint="eastAsia"/>
          <w:color w:val="000000" w:themeColor="text1"/>
          <w:szCs w:val="28"/>
          <w14:textFill>
            <w14:solidFill>
              <w14:schemeClr w14:val="tx1"/>
            </w14:solidFill>
          </w14:textFill>
        </w:rPr>
        <w:t>的实体围墙与外界隔开，站内路面为水泥路面。</w:t>
      </w:r>
    </w:p>
    <w:p>
      <w:pPr>
        <w:ind w:firstLine="562"/>
        <w:rPr>
          <w:color w:val="000000" w:themeColor="text1"/>
          <w14:textFill>
            <w14:solidFill>
              <w14:schemeClr w14:val="tx1"/>
            </w14:solidFill>
          </w14:textFill>
        </w:rPr>
      </w:pPr>
      <w:r>
        <w:rPr>
          <w:rFonts w:hint="eastAsia"/>
          <w:b/>
          <w:bCs/>
          <w:color w:val="000000" w:themeColor="text1"/>
          <w:szCs w:val="28"/>
          <w14:textFill>
            <w14:solidFill>
              <w14:schemeClr w14:val="tx1"/>
            </w14:solidFill>
          </w14:textFill>
        </w:rPr>
        <w:t>工艺管线布置</w:t>
      </w: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加油站进油管线采用DN80的聚乙烯复合管，出油管线采用DN50的聚乙烯复合管，卸油油气回收管及加油油气回收管采用DN80的聚乙烯复合管，通气管为DN50的无缝钢管；加油工艺为潜油泵发油，输油管线从油罐顶部通过埋地敷设至加油机，工艺管线敷设在混凝土场地下，未穿越站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加油站的油罐区、油品卸车点、加油区以及通气管口周边属于加油站的防火防爆区域，除了保持安全防护距离足够的前提，在电气选型、防雷防静电、防火器材、通风状况等按加油站防火防爆的相关规定执行。</w:t>
      </w:r>
    </w:p>
    <w:p>
      <w:pPr>
        <w:rPr>
          <w:snapToGrid w:val="0"/>
          <w:color w:val="000000" w:themeColor="text1"/>
          <w:kern w:val="0"/>
          <w:szCs w:val="28"/>
          <w14:textFill>
            <w14:solidFill>
              <w14:schemeClr w14:val="tx1"/>
            </w14:solidFill>
          </w14:textFill>
        </w:rPr>
      </w:pPr>
      <w:r>
        <w:rPr>
          <w:rFonts w:hint="eastAsia"/>
          <w:color w:val="000000" w:themeColor="text1"/>
          <w:kern w:val="3"/>
          <w:szCs w:val="28"/>
          <w14:textFill>
            <w14:solidFill>
              <w14:schemeClr w14:val="tx1"/>
            </w14:solidFill>
          </w14:textFill>
        </w:rPr>
        <w:t>加油站站内设施之间的防火距离如表2-3，</w:t>
      </w:r>
      <w:r>
        <w:rPr>
          <w:rFonts w:hint="eastAsia"/>
          <w:color w:val="000000" w:themeColor="text1"/>
          <w14:textFill>
            <w14:solidFill>
              <w14:schemeClr w14:val="tx1"/>
            </w14:solidFill>
          </w14:textFill>
        </w:rPr>
        <w:t>加油站平面布置详见图2-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eastAsia="宋体"/>
          <w:b/>
          <w:bCs/>
          <w:snapToGrid w:val="0"/>
          <w:color w:val="000000" w:themeColor="text1"/>
          <w:kern w:val="0"/>
          <w:szCs w:val="28"/>
          <w:lang w:eastAsia="zh-CN"/>
          <w14:textFill>
            <w14:solidFill>
              <w14:schemeClr w14:val="tx1"/>
            </w14:solidFill>
          </w14:textFill>
        </w:rPr>
      </w:pPr>
      <w:r>
        <w:rPr>
          <w:rFonts w:hint="eastAsia" w:eastAsia="宋体"/>
          <w:b/>
          <w:bCs/>
          <w:snapToGrid w:val="0"/>
          <w:color w:val="000000" w:themeColor="text1"/>
          <w:kern w:val="0"/>
          <w:szCs w:val="28"/>
          <w:lang w:eastAsia="zh-CN"/>
          <w14:textFill>
            <w14:solidFill>
              <w14:schemeClr w14:val="tx1"/>
            </w14:solidFill>
          </w14:textFill>
        </w:rPr>
        <w:drawing>
          <wp:inline distT="0" distB="0" distL="114300" distR="114300">
            <wp:extent cx="5676265" cy="7772400"/>
            <wp:effectExtent l="0" t="0" r="0" b="0"/>
            <wp:docPr id="8" name="图片 8" descr="总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总平面布置图"/>
                    <pic:cNvPicPr>
                      <a:picLocks noChangeAspect="1"/>
                    </pic:cNvPicPr>
                  </pic:nvPicPr>
                  <pic:blipFill>
                    <a:blip r:embed="rId47">
                      <a:lum bright="12000"/>
                    </a:blip>
                    <a:srcRect r="2625"/>
                    <a:stretch>
                      <a:fillRect/>
                    </a:stretch>
                  </pic:blipFill>
                  <pic:spPr>
                    <a:xfrm rot="10800000">
                      <a:off x="0" y="0"/>
                      <a:ext cx="5676265" cy="7772400"/>
                    </a:xfrm>
                    <a:prstGeom prst="rect">
                      <a:avLst/>
                    </a:prstGeom>
                  </pic:spPr>
                </pic:pic>
              </a:graphicData>
            </a:graphic>
          </wp:inline>
        </w:drawing>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加油站平面布置示意图</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表2-3 站内设施的防火间距（单位：m）</w:t>
      </w:r>
    </w:p>
    <w:tbl>
      <w:tblPr>
        <w:tblStyle w:val="33"/>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7"/>
        <w:gridCol w:w="1056"/>
        <w:gridCol w:w="876"/>
        <w:gridCol w:w="792"/>
        <w:gridCol w:w="936"/>
        <w:gridCol w:w="972"/>
        <w:gridCol w:w="708"/>
        <w:gridCol w:w="768"/>
        <w:gridCol w:w="612"/>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3" w:type="dxa"/>
            <w:gridSpan w:val="2"/>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设施名称</w:t>
            </w:r>
          </w:p>
        </w:tc>
        <w:tc>
          <w:tcPr>
            <w:tcW w:w="876"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汽油罐</w:t>
            </w:r>
          </w:p>
        </w:tc>
        <w:tc>
          <w:tcPr>
            <w:tcW w:w="792"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柴油罐</w:t>
            </w:r>
          </w:p>
        </w:tc>
        <w:tc>
          <w:tcPr>
            <w:tcW w:w="936"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汽油通气管管口</w:t>
            </w:r>
          </w:p>
        </w:tc>
        <w:tc>
          <w:tcPr>
            <w:tcW w:w="972"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柴油通气管管口</w:t>
            </w:r>
          </w:p>
        </w:tc>
        <w:tc>
          <w:tcPr>
            <w:tcW w:w="708"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油品卸车点</w:t>
            </w:r>
          </w:p>
        </w:tc>
        <w:tc>
          <w:tcPr>
            <w:tcW w:w="768"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加油机</w:t>
            </w:r>
          </w:p>
        </w:tc>
        <w:tc>
          <w:tcPr>
            <w:tcW w:w="612"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站房</w:t>
            </w:r>
          </w:p>
        </w:tc>
        <w:tc>
          <w:tcPr>
            <w:tcW w:w="582" w:type="dxa"/>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站区围墙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汽油罐</w:t>
            </w:r>
          </w:p>
        </w:tc>
        <w:tc>
          <w:tcPr>
            <w:tcW w:w="1056" w:type="dxa"/>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continue"/>
            <w:vAlign w:val="center"/>
          </w:tcPr>
          <w:p>
            <w:pPr>
              <w:pStyle w:val="92"/>
              <w:rPr>
                <w:color w:val="000000" w:themeColor="text1"/>
                <w14:textFill>
                  <w14:solidFill>
                    <w14:schemeClr w14:val="tx1"/>
                  </w14:solidFill>
                </w14:textFill>
              </w:rPr>
            </w:pPr>
          </w:p>
        </w:tc>
        <w:tc>
          <w:tcPr>
            <w:tcW w:w="105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876"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58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柴油罐</w:t>
            </w:r>
          </w:p>
        </w:tc>
        <w:tc>
          <w:tcPr>
            <w:tcW w:w="1056" w:type="dxa"/>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continue"/>
            <w:vAlign w:val="center"/>
          </w:tcPr>
          <w:p>
            <w:pPr>
              <w:pStyle w:val="92"/>
              <w:rPr>
                <w:color w:val="000000" w:themeColor="text1"/>
                <w14:textFill>
                  <w14:solidFill>
                    <w14:schemeClr w14:val="tx1"/>
                  </w14:solidFill>
                </w14:textFill>
              </w:rPr>
            </w:pPr>
          </w:p>
        </w:tc>
        <w:tc>
          <w:tcPr>
            <w:tcW w:w="105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876"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79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bookmarkStart w:id="144" w:name="OLE_LINK34"/>
            <w:r>
              <w:rPr>
                <w:rFonts w:hint="eastAsia"/>
                <w:color w:val="000000" w:themeColor="text1"/>
                <w14:textFill>
                  <w14:solidFill>
                    <w14:schemeClr w14:val="tx1"/>
                  </w14:solidFill>
                </w14:textFill>
              </w:rPr>
              <w:t>—</w:t>
            </w:r>
            <w:bookmarkEnd w:id="144"/>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w:t>
            </w:r>
          </w:p>
        </w:tc>
        <w:tc>
          <w:tcPr>
            <w:tcW w:w="58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汽油通气管管口</w:t>
            </w:r>
          </w:p>
        </w:tc>
        <w:tc>
          <w:tcPr>
            <w:tcW w:w="1056" w:type="dxa"/>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continue"/>
            <w:vAlign w:val="center"/>
          </w:tcPr>
          <w:p>
            <w:pPr>
              <w:pStyle w:val="92"/>
              <w:rPr>
                <w:color w:val="000000" w:themeColor="text1"/>
                <w14:textFill>
                  <w14:solidFill>
                    <w14:schemeClr w14:val="tx1"/>
                  </w14:solidFill>
                </w14:textFill>
              </w:rPr>
            </w:pPr>
          </w:p>
        </w:tc>
        <w:tc>
          <w:tcPr>
            <w:tcW w:w="105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58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柴油通气管管口</w:t>
            </w:r>
          </w:p>
        </w:tc>
        <w:tc>
          <w:tcPr>
            <w:tcW w:w="1056" w:type="dxa"/>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continue"/>
            <w:vAlign w:val="center"/>
          </w:tcPr>
          <w:p>
            <w:pPr>
              <w:pStyle w:val="92"/>
              <w:rPr>
                <w:color w:val="000000" w:themeColor="text1"/>
                <w14:textFill>
                  <w14:solidFill>
                    <w14:schemeClr w14:val="tx1"/>
                  </w14:solidFill>
                </w14:textFill>
              </w:rPr>
            </w:pPr>
          </w:p>
        </w:tc>
        <w:tc>
          <w:tcPr>
            <w:tcW w:w="105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58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restart"/>
            <w:vAlign w:val="center"/>
          </w:tcPr>
          <w:p>
            <w:pPr>
              <w:pStyle w:val="92"/>
              <w:rPr>
                <w:color w:val="000000" w:themeColor="text1"/>
                <w14:textFill>
                  <w14:solidFill>
                    <w14:schemeClr w14:val="tx1"/>
                  </w14:solidFill>
                </w14:textFill>
              </w:rPr>
            </w:pPr>
            <w:bookmarkStart w:id="145" w:name="OLE_LINK38" w:colFirst="3" w:colLast="4"/>
            <w:r>
              <w:rPr>
                <w:rFonts w:hint="eastAsia"/>
                <w:color w:val="000000" w:themeColor="text1"/>
                <w14:textFill>
                  <w14:solidFill>
                    <w14:schemeClr w14:val="tx1"/>
                  </w14:solidFill>
                </w14:textFill>
              </w:rPr>
              <w:t>油品卸车点</w:t>
            </w:r>
          </w:p>
        </w:tc>
        <w:tc>
          <w:tcPr>
            <w:tcW w:w="1056" w:type="dxa"/>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bookmarkEnd w:id="1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continue"/>
            <w:vAlign w:val="center"/>
          </w:tcPr>
          <w:p>
            <w:pPr>
              <w:pStyle w:val="92"/>
              <w:rPr>
                <w:color w:val="000000" w:themeColor="text1"/>
                <w14:textFill>
                  <w14:solidFill>
                    <w14:schemeClr w14:val="tx1"/>
                  </w14:solidFill>
                </w14:textFill>
              </w:rPr>
            </w:pPr>
          </w:p>
        </w:tc>
        <w:tc>
          <w:tcPr>
            <w:tcW w:w="105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rFonts w:hint="default" w:eastAsia="宋体"/>
                <w:color w:val="000000" w:themeColor="text1"/>
                <w:lang w:val="en-US" w:eastAsia="zh-CN"/>
                <w14:textFill>
                  <w14:solidFill>
                    <w14:schemeClr w14:val="tx1"/>
                  </w14:solidFill>
                </w14:textFill>
              </w:rPr>
            </w:pPr>
            <w:bookmarkStart w:id="146" w:name="OLE_LINK35"/>
            <w:r>
              <w:rPr>
                <w:rFonts w:hint="eastAsia"/>
                <w:color w:val="000000" w:themeColor="text1"/>
                <w:lang w:val="en-US" w:eastAsia="zh-CN"/>
                <w14:textFill>
                  <w14:solidFill>
                    <w14:schemeClr w14:val="tx1"/>
                  </w14:solidFill>
                </w14:textFill>
              </w:rPr>
              <w:t>8.5</w:t>
            </w:r>
            <w:bookmarkEnd w:id="146"/>
          </w:p>
        </w:tc>
        <w:tc>
          <w:tcPr>
            <w:tcW w:w="97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加油机</w:t>
            </w:r>
          </w:p>
        </w:tc>
        <w:tc>
          <w:tcPr>
            <w:tcW w:w="1056" w:type="dxa"/>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37" w:type="dxa"/>
            <w:vMerge w:val="continue"/>
            <w:vAlign w:val="center"/>
          </w:tcPr>
          <w:p>
            <w:pPr>
              <w:pStyle w:val="92"/>
              <w:rPr>
                <w:color w:val="000000" w:themeColor="text1"/>
                <w14:textFill>
                  <w14:solidFill>
                    <w14:schemeClr w14:val="tx1"/>
                  </w14:solidFill>
                </w14:textFill>
              </w:rPr>
            </w:pPr>
          </w:p>
        </w:tc>
        <w:tc>
          <w:tcPr>
            <w:tcW w:w="105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87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6"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0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8"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2" w:type="dxa"/>
            <w:vAlign w:val="center"/>
          </w:tcPr>
          <w:p>
            <w:pPr>
              <w:pStyle w:val="9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13</w:t>
            </w:r>
            <w:r>
              <w:rPr>
                <w:rFonts w:hint="eastAsia"/>
                <w:color w:val="000000" w:themeColor="text1"/>
                <w14:textFill>
                  <w14:solidFill>
                    <w14:schemeClr w14:val="tx1"/>
                  </w14:solidFill>
                </w14:textFill>
              </w:rPr>
              <w:t>）</w:t>
            </w:r>
          </w:p>
        </w:tc>
        <w:tc>
          <w:tcPr>
            <w:tcW w:w="582" w:type="dxa"/>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45"/>
        <w:spacing w:line="24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注：表中（</w:t>
      </w:r>
      <w:r>
        <w:rPr>
          <w:color w:val="000000" w:themeColor="text1"/>
          <w:sz w:val="24"/>
          <w:szCs w:val="24"/>
          <w:lang w:val="zh-CN"/>
          <w14:textFill>
            <w14:solidFill>
              <w14:schemeClr w14:val="tx1"/>
            </w14:solidFill>
          </w14:textFill>
        </w:rPr>
        <w:t>—</w:t>
      </w:r>
      <w:r>
        <w:rPr>
          <w:rFonts w:hint="eastAsia"/>
          <w:color w:val="000000" w:themeColor="text1"/>
          <w:sz w:val="24"/>
          <w:szCs w:val="24"/>
          <w14:textFill>
            <w14:solidFill>
              <w14:schemeClr w14:val="tx1"/>
            </w14:solidFill>
          </w14:textFill>
        </w:rPr>
        <w:t>）表示无防火间距要求。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从表2-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可得知，该加油站的各设施间的防火间距符合《汽车加油加气站加氢技术标准》（GB50156-2021）表5.0.13-1的要求。</w:t>
      </w:r>
      <w:bookmarkEnd w:id="142"/>
    </w:p>
    <w:p>
      <w:pPr>
        <w:pStyle w:val="3"/>
        <w:rPr>
          <w:color w:val="000000" w:themeColor="text1"/>
          <w14:textFill>
            <w14:solidFill>
              <w14:schemeClr w14:val="tx1"/>
            </w14:solidFill>
          </w14:textFill>
        </w:rPr>
      </w:pPr>
      <w:bookmarkStart w:id="147" w:name="_Toc95275616"/>
      <w:bookmarkStart w:id="148" w:name="_Toc148078262"/>
      <w:bookmarkStart w:id="149" w:name="_Toc101358807"/>
      <w:bookmarkStart w:id="150" w:name="_Toc231976602"/>
      <w:bookmarkStart w:id="151" w:name="_Toc231975880"/>
      <w:bookmarkStart w:id="152" w:name="_Toc95275426"/>
      <w:bookmarkStart w:id="153" w:name="_Toc387163397"/>
      <w:bookmarkStart w:id="154" w:name="_Toc3420"/>
      <w:bookmarkStart w:id="155" w:name="_Toc26613"/>
      <w:bookmarkStart w:id="156" w:name="_Toc236123681"/>
      <w:bookmarkStart w:id="157" w:name="_Toc235587817"/>
      <w:bookmarkStart w:id="158" w:name="_Toc231835949"/>
      <w:bookmarkStart w:id="159" w:name="_Toc233515709"/>
      <w:bookmarkStart w:id="160" w:name="_Toc231982085"/>
      <w:bookmarkStart w:id="161" w:name="_Toc231983394"/>
      <w:bookmarkStart w:id="162" w:name="_Toc248220527"/>
      <w:bookmarkStart w:id="163" w:name="_Toc232084132"/>
      <w:bookmarkStart w:id="164" w:name="_Toc275268728"/>
      <w:r>
        <w:rPr>
          <w:color w:val="000000" w:themeColor="text1"/>
          <w14:textFill>
            <w14:solidFill>
              <w14:schemeClr w14:val="tx1"/>
            </w14:solidFill>
          </w14:textFill>
        </w:rPr>
        <w:t>加油站</w:t>
      </w:r>
      <w:bookmarkEnd w:id="147"/>
      <w:bookmarkEnd w:id="148"/>
      <w:bookmarkEnd w:id="149"/>
      <w:bookmarkEnd w:id="150"/>
      <w:bookmarkEnd w:id="151"/>
      <w:bookmarkEnd w:id="152"/>
      <w:r>
        <w:rPr>
          <w:color w:val="000000" w:themeColor="text1"/>
          <w14:textFill>
            <w14:solidFill>
              <w14:schemeClr w14:val="tx1"/>
            </w14:solidFill>
          </w14:textFill>
        </w:rPr>
        <w:t>工艺</w:t>
      </w:r>
      <w:bookmarkEnd w:id="153"/>
      <w:r>
        <w:rPr>
          <w:rFonts w:hint="eastAsia"/>
          <w:color w:val="000000" w:themeColor="text1"/>
          <w14:textFill>
            <w14:solidFill>
              <w14:schemeClr w14:val="tx1"/>
            </w14:solidFill>
          </w14:textFill>
        </w:rPr>
        <w:t>流程</w:t>
      </w:r>
      <w:bookmarkEnd w:id="154"/>
      <w:bookmarkEnd w:id="15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pt-BR"/>
          <w14:textFill>
            <w14:solidFill>
              <w14:schemeClr w14:val="tx1"/>
            </w14:solidFill>
          </w14:textFill>
        </w:rPr>
        <w:t>汽油卸油及加油工艺</w:t>
      </w:r>
    </w:p>
    <w:p>
      <w:pPr>
        <w:pStyle w:val="101"/>
        <w:keepNext w:val="0"/>
        <w:keepLines w:val="0"/>
        <w:pageBreakBefore w:val="0"/>
        <w:widowControl w:val="0"/>
        <w:kinsoku/>
        <w:wordWrap/>
        <w:overflowPunct/>
        <w:topLinePunct/>
        <w:autoSpaceDE/>
        <w:autoSpaceDN/>
        <w:bidi w:val="0"/>
        <w:adjustRightInd w:val="0"/>
        <w:snapToGrid w:val="0"/>
        <w:spacing w:line="500" w:lineRule="exact"/>
        <w:ind w:firstLine="560"/>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该项目汽油加油采用潜油泵工艺流程，即汽油经油罐车运输至加油站，静置5min后，在卸车点采用密闭卸油方式及潜油泵发油、自封式加油枪加油工艺。工艺流程为：油品经油罐车运输至加油站，在卸车点采用密闭卸油方式将油品卸入埋地储油罐；常温常压条件下，油品在储油罐内以液体形式存在；加油时，通过装设在油罐上的潜油泵将油罐内的油品送至加油机，加油机再通过自封式加油枪注入用户汽车油箱。</w:t>
      </w:r>
    </w:p>
    <w:p>
      <w:pPr>
        <w:keepNext w:val="0"/>
        <w:keepLines w:val="0"/>
        <w:pageBreakBefore w:val="0"/>
        <w:widowControl w:val="0"/>
        <w:kinsoku/>
        <w:wordWrap/>
        <w:overflowPunct/>
        <w:autoSpaceDE/>
        <w:autoSpaceDN/>
        <w:bidi w:val="0"/>
        <w:snapToGrid w:val="0"/>
        <w:spacing w:line="500" w:lineRule="exact"/>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卸油时埋地油罐因注入汽油而排出的油气，由油气回收管收集回油罐车中，由油罐车带回油库后，再经冷凝、吸附等方式处理。加油时车辆油箱因注入汽油而向外排的油气，由加油枪前端油气回收管通过加油机内真空泵抽吸，经油气回收管道送</w:t>
      </w:r>
      <w:r>
        <w:rPr>
          <w:rFonts w:hint="eastAsia" w:cs="宋体"/>
          <w:color w:val="000000" w:themeColor="text1"/>
          <w:kern w:val="2"/>
          <w:sz w:val="28"/>
          <w:lang w:val="en-US" w:eastAsia="zh-CN" w:bidi="ar-SA"/>
          <w14:textFill>
            <w14:solidFill>
              <w14:schemeClr w14:val="tx1"/>
            </w14:solidFill>
          </w14:textFill>
        </w:rPr>
        <w:t>回</w:t>
      </w:r>
      <w:r>
        <w:rPr>
          <w:rFonts w:hint="eastAsia" w:ascii="宋体" w:hAnsi="宋体" w:eastAsia="宋体" w:cs="宋体"/>
          <w:color w:val="000000" w:themeColor="text1"/>
          <w:kern w:val="2"/>
          <w:sz w:val="28"/>
          <w:lang w:val="en-US" w:eastAsia="zh-CN" w:bidi="ar-SA"/>
          <w14:textFill>
            <w14:solidFill>
              <w14:schemeClr w14:val="tx1"/>
            </w14:solidFill>
          </w14:textFill>
        </w:rPr>
        <w:t>油罐中暂存。</w:t>
      </w:r>
    </w:p>
    <w:p>
      <w:pPr>
        <w:keepNext w:val="0"/>
        <w:keepLines w:val="0"/>
        <w:pageBreakBefore w:val="0"/>
        <w:widowControl w:val="0"/>
        <w:kinsoku/>
        <w:wordWrap/>
        <w:overflowPunct/>
        <w:autoSpaceDE/>
        <w:autoSpaceDN/>
        <w:bidi w:val="0"/>
        <w:snapToGrid w:val="0"/>
        <w:spacing w:line="500" w:lineRule="exact"/>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汽油卸油及加油工艺流程图（有卸油、加油油气回收）：</w:t>
      </w:r>
    </w:p>
    <w:p>
      <w:pPr>
        <w:pStyle w:val="7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000000" w:themeColor="text1"/>
          <w:kern w:val="3"/>
          <w14:textFill>
            <w14:solidFill>
              <w14:schemeClr w14:val="tx1"/>
            </w14:solidFill>
          </w14:textFill>
        </w:rPr>
      </w:pPr>
      <w:r>
        <w:rPr>
          <w:rFonts w:hint="eastAsia"/>
          <w:color w:val="000000" w:themeColor="text1"/>
          <w:kern w:val="3"/>
          <w14:textFill>
            <w14:solidFill>
              <w14:schemeClr w14:val="tx1"/>
            </w14:solidFill>
          </w14:textFill>
        </w:rPr>
        <w:object>
          <v:shape id="_x0000_i1028" o:spt="75" type="#_x0000_t75" style="height:151.4pt;width:458.7pt;" o:ole="t" filled="f" o:preferrelative="t" stroked="f" coordsize="21600,21600">
            <v:path/>
            <v:fill on="f" focussize="0,0"/>
            <v:stroke on="f"/>
            <v:imagedata r:id="rId49" o:title=""/>
            <o:lock v:ext="edit" aspectratio="f"/>
            <w10:wrap type="none"/>
            <w10:anchorlock/>
          </v:shape>
          <o:OLEObject Type="Embed" ProgID="Visio.Drawing.15" ShapeID="_x0000_i1028" DrawAspect="Content" ObjectID="_1468075726" r:id="rId48">
            <o:LockedField>false</o:LockedField>
          </o:OLEObject>
        </w:object>
      </w:r>
    </w:p>
    <w:p>
      <w:pPr>
        <w:pStyle w:val="78"/>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000000" w:themeColor="text1"/>
          <w14:textFill>
            <w14:solidFill>
              <w14:schemeClr w14:val="tx1"/>
            </w14:solidFill>
          </w14:textFill>
        </w:rPr>
      </w:pPr>
      <w:r>
        <w:rPr>
          <w:rFonts w:hint="eastAsia"/>
          <w:color w:val="000000" w:themeColor="text1"/>
          <w:kern w:val="3"/>
          <w14:textFill>
            <w14:solidFill>
              <w14:schemeClr w14:val="tx1"/>
            </w14:solidFill>
          </w14:textFill>
        </w:rPr>
        <w:t>图2-</w:t>
      </w:r>
      <w:r>
        <w:rPr>
          <w:color w:val="000000" w:themeColor="text1"/>
          <w:kern w:val="3"/>
          <w14:textFill>
            <w14:solidFill>
              <w14:schemeClr w14:val="tx1"/>
            </w14:solidFill>
          </w14:textFill>
        </w:rPr>
        <w:t>4</w:t>
      </w:r>
      <w:r>
        <w:rPr>
          <w:rFonts w:hint="eastAsia"/>
          <w:color w:val="000000" w:themeColor="text1"/>
          <w:kern w:val="3"/>
          <w14:textFill>
            <w14:solidFill>
              <w14:schemeClr w14:val="tx1"/>
            </w14:solidFill>
          </w14:textFill>
        </w:rPr>
        <w:t>汽油卸油及加油工艺流程示意图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项目柴油加油采用潜油泵工艺流程，即柴油经油罐车运输至加油站，静置5min后，在卸车点采用密闭卸油方式将柴油卸入埋地柴油储罐；常温常压条件下，柴油在储油罐内以液体形式存在；加油时，与加油机相对应的潜油泵，将油品由油罐中泵出，经出油管道送入加油机，通过自封式加油枪注入汽车油箱。</w:t>
      </w:r>
    </w:p>
    <w:p>
      <w:pPr>
        <w:spacing w:after="50"/>
        <w:ind w:firstLine="576" w:firstLineChars="206"/>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柴油加油工艺流程图：</w:t>
      </w:r>
    </w:p>
    <w:p>
      <w:pPr>
        <w:pStyle w:val="39"/>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316230</wp:posOffset>
                </wp:positionH>
                <wp:positionV relativeFrom="paragraph">
                  <wp:posOffset>158750</wp:posOffset>
                </wp:positionV>
                <wp:extent cx="5061585" cy="396240"/>
                <wp:effectExtent l="4445" t="4445" r="8890" b="10795"/>
                <wp:wrapNone/>
                <wp:docPr id="52" name="组合 52"/>
                <wp:cNvGraphicFramePr/>
                <a:graphic xmlns:a="http://schemas.openxmlformats.org/drawingml/2006/main">
                  <a:graphicData uri="http://schemas.microsoft.com/office/word/2010/wordprocessingGroup">
                    <wpg:wgp>
                      <wpg:cNvGrpSpPr/>
                      <wpg:grpSpPr>
                        <a:xfrm>
                          <a:off x="0" y="0"/>
                          <a:ext cx="5061585" cy="396240"/>
                          <a:chOff x="0" y="0"/>
                          <a:chExt cx="9345" cy="624"/>
                        </a:xfrm>
                      </wpg:grpSpPr>
                      <wps:wsp>
                        <wps:cNvPr id="33" name="文本框 33"/>
                        <wps:cNvSpPr txBox="1"/>
                        <wps:spPr>
                          <a:xfrm>
                            <a:off x="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油罐车</w:t>
                              </w:r>
                            </w:p>
                          </w:txbxContent>
                        </wps:txbx>
                        <wps:bodyPr upright="1"/>
                      </wps:wsp>
                      <wps:wsp>
                        <wps:cNvPr id="34" name="文本框 34"/>
                        <wps:cNvSpPr txBox="1"/>
                        <wps:spPr>
                          <a:xfrm>
                            <a:off x="198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储油罐</w:t>
                              </w:r>
                            </w:p>
                          </w:txbxContent>
                        </wps:txbx>
                        <wps:bodyPr upright="1"/>
                      </wps:wsp>
                      <wps:wsp>
                        <wps:cNvPr id="41" name="文本框 41"/>
                        <wps:cNvSpPr txBox="1"/>
                        <wps:spPr>
                          <a:xfrm>
                            <a:off x="396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潜油泵</w:t>
                              </w:r>
                            </w:p>
                          </w:txbxContent>
                        </wps:txbx>
                        <wps:bodyPr upright="1"/>
                      </wps:wsp>
                      <wps:wsp>
                        <wps:cNvPr id="42" name="文本框 42"/>
                        <wps:cNvSpPr txBox="1"/>
                        <wps:spPr>
                          <a:xfrm>
                            <a:off x="5925"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加油机</w:t>
                              </w:r>
                            </w:p>
                          </w:txbxContent>
                        </wps:txbx>
                        <wps:bodyPr upright="1"/>
                      </wps:wsp>
                      <wps:wsp>
                        <wps:cNvPr id="46" name="文本框 46"/>
                        <wps:cNvSpPr txBox="1"/>
                        <wps:spPr>
                          <a:xfrm>
                            <a:off x="7905" y="0"/>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加油车辆</w:t>
                              </w:r>
                            </w:p>
                          </w:txbxContent>
                        </wps:txbx>
                        <wps:bodyPr upright="1"/>
                      </wps:wsp>
                      <wps:wsp>
                        <wps:cNvPr id="47" name="直接连接符 47"/>
                        <wps:cNvCnPr/>
                        <wps:spPr>
                          <a:xfrm>
                            <a:off x="1245" y="312"/>
                            <a:ext cx="720" cy="1"/>
                          </a:xfrm>
                          <a:prstGeom prst="line">
                            <a:avLst/>
                          </a:prstGeom>
                          <a:ln w="9525" cap="flat" cmpd="sng">
                            <a:solidFill>
                              <a:srgbClr val="000000"/>
                            </a:solidFill>
                            <a:prstDash val="solid"/>
                            <a:headEnd type="none" w="med" len="med"/>
                            <a:tailEnd type="triangle" w="med" len="med"/>
                          </a:ln>
                        </wps:spPr>
                        <wps:bodyPr/>
                      </wps:wsp>
                      <wps:wsp>
                        <wps:cNvPr id="48" name="直接连接符 48"/>
                        <wps:cNvCnPr/>
                        <wps:spPr>
                          <a:xfrm>
                            <a:off x="3240" y="312"/>
                            <a:ext cx="720" cy="1"/>
                          </a:xfrm>
                          <a:prstGeom prst="line">
                            <a:avLst/>
                          </a:prstGeom>
                          <a:ln w="9525" cap="flat" cmpd="sng">
                            <a:solidFill>
                              <a:srgbClr val="000000"/>
                            </a:solidFill>
                            <a:prstDash val="solid"/>
                            <a:headEnd type="none" w="med" len="med"/>
                            <a:tailEnd type="triangle" w="med" len="med"/>
                          </a:ln>
                        </wps:spPr>
                        <wps:bodyPr/>
                      </wps:wsp>
                      <wps:wsp>
                        <wps:cNvPr id="49" name="直接连接符 49"/>
                        <wps:cNvCnPr/>
                        <wps:spPr>
                          <a:xfrm>
                            <a:off x="5220" y="312"/>
                            <a:ext cx="720" cy="1"/>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a:off x="7185" y="312"/>
                            <a:ext cx="720"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4.9pt;margin-top:12.5pt;height:31.2pt;width:398.55pt;z-index:251659264;mso-width-relative:page;mso-height-relative:page;" coordsize="9345,624" o:gfxdata="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ESrpqLZAAAACAEAAA8AAAAAAAAAAQAgAAAAIgAAAGRycy9kb3ducmV2LnhtbFBLAQIUABQA&#10;AAAIAIdO4kCaI1I+fgMAAL0WAAAOAAAAAAAAAAEAIAAAACgBAABkcnMvZTJvRG9jLnhtbFBLBQYA&#10;AAAABgAGAFkBAAAYBwAAAAA=&#10;">
                <o:lock v:ext="edit" aspectratio="f"/>
                <v:shape id="_x0000_s1026" o:spid="_x0000_s1026" o:spt="202" type="#_x0000_t202" style="position:absolute;left:0;top:0;height:624;width:1260;"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油罐车</w:t>
                        </w:r>
                      </w:p>
                    </w:txbxContent>
                  </v:textbox>
                </v:shape>
                <v:shape id="_x0000_s1026" o:spid="_x0000_s1026" o:spt="202" type="#_x0000_t202" style="position:absolute;left:1980;top:0;height:624;width:126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储油罐</w:t>
                        </w:r>
                      </w:p>
                    </w:txbxContent>
                  </v:textbox>
                </v:shape>
                <v:shape id="_x0000_s1026" o:spid="_x0000_s1026" o:spt="202" type="#_x0000_t202" style="position:absolute;left:3960;top:0;height:624;width:1260;"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潜油泵</w:t>
                        </w:r>
                      </w:p>
                    </w:txbxContent>
                  </v:textbox>
                </v:shape>
                <v:shape id="_x0000_s1026" o:spid="_x0000_s1026" o:spt="202" type="#_x0000_t202" style="position:absolute;left:5925;top:0;height:624;width:1260;"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加油机</w:t>
                        </w:r>
                      </w:p>
                    </w:txbxContent>
                  </v:textbox>
                </v:shape>
                <v:shape id="_x0000_s1026" o:spid="_x0000_s1026" o:spt="202" type="#_x0000_t202" style="position:absolute;left:7905;top:0;height:624;width:1440;"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加油车辆</w:t>
                        </w:r>
                      </w:p>
                    </w:txbxContent>
                  </v:textbox>
                </v:shape>
                <v:line id="_x0000_s1026" o:spid="_x0000_s1026" o:spt="20" style="position:absolute;left:1245;top:312;height:1;width:720;"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240;top:312;height:1;width:720;"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220;top:312;height:1;width:720;"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185;top:312;height:1;width:720;"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pStyle w:val="39"/>
        <w:ind w:firstLine="480"/>
        <w:rPr>
          <w:color w:val="000000" w:themeColor="text1"/>
          <w14:textFill>
            <w14:solidFill>
              <w14:schemeClr w14:val="tx1"/>
            </w14:solidFill>
          </w14:textFill>
        </w:rPr>
      </w:pP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柴油卸油及加油工艺流程示意图</w:t>
      </w:r>
    </w:p>
    <w:p>
      <w:pPr>
        <w:pStyle w:val="3"/>
        <w:rPr>
          <w:color w:val="000000" w:themeColor="text1"/>
          <w14:textFill>
            <w14:solidFill>
              <w14:schemeClr w14:val="tx1"/>
            </w14:solidFill>
          </w14:textFill>
        </w:rPr>
      </w:pPr>
      <w:bookmarkStart w:id="165" w:name="_Toc28158"/>
      <w:bookmarkStart w:id="166" w:name="_Toc25101"/>
      <w:r>
        <w:rPr>
          <w:color w:val="000000" w:themeColor="text1"/>
          <w14:textFill>
            <w14:solidFill>
              <w14:schemeClr w14:val="tx1"/>
            </w14:solidFill>
          </w14:textFill>
        </w:rPr>
        <w:t>主要设施、设备及建构筑物</w:t>
      </w:r>
      <w:bookmarkEnd w:id="165"/>
      <w:bookmarkEnd w:id="166"/>
    </w:p>
    <w:p>
      <w:pPr>
        <w:pStyle w:val="4"/>
        <w:ind w:firstLine="562"/>
        <w:rPr>
          <w:color w:val="000000" w:themeColor="text1"/>
          <w14:textFill>
            <w14:solidFill>
              <w14:schemeClr w14:val="tx1"/>
            </w14:solidFill>
          </w14:textFill>
        </w:rPr>
      </w:pPr>
      <w:bookmarkStart w:id="167" w:name="_Toc13041"/>
      <w:bookmarkStart w:id="168" w:name="_Toc17258"/>
      <w:r>
        <w:rPr>
          <w:color w:val="000000" w:themeColor="text1"/>
          <w14:textFill>
            <w14:solidFill>
              <w14:schemeClr w14:val="tx1"/>
            </w14:solidFill>
          </w14:textFill>
        </w:rPr>
        <w:t>建、构筑物</w:t>
      </w:r>
      <w:bookmarkEnd w:id="167"/>
      <w:bookmarkEnd w:id="168"/>
    </w:p>
    <w:p>
      <w:pPr>
        <w:adjustRightInd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主要建（构）筑物包括站房、罩棚、辅房、油罐区等，具体情况见表2-4。</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表2-4主要建（构）筑物情况表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942"/>
        <w:gridCol w:w="942"/>
        <w:gridCol w:w="1564"/>
        <w:gridCol w:w="2499"/>
        <w:gridCol w:w="1564"/>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层数</w:t>
            </w:r>
          </w:p>
        </w:tc>
        <w:tc>
          <w:tcPr>
            <w:tcW w:w="832"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结构形式</w:t>
            </w:r>
          </w:p>
        </w:tc>
        <w:tc>
          <w:tcPr>
            <w:tcW w:w="1329"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建筑面积（㎡）</w:t>
            </w:r>
          </w:p>
        </w:tc>
        <w:tc>
          <w:tcPr>
            <w:tcW w:w="832"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耐火等级</w:t>
            </w:r>
          </w:p>
        </w:tc>
        <w:tc>
          <w:tcPr>
            <w:tcW w:w="501"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一层</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钢架结构</w:t>
            </w:r>
          </w:p>
        </w:tc>
        <w:tc>
          <w:tcPr>
            <w:tcW w:w="1329"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306</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01" w:type="pct"/>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p>
        </w:tc>
        <w:tc>
          <w:tcPr>
            <w:tcW w:w="501"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二层</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砖混结构</w:t>
            </w:r>
          </w:p>
        </w:tc>
        <w:tc>
          <w:tcPr>
            <w:tcW w:w="1329"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252</w:t>
            </w:r>
          </w:p>
        </w:tc>
        <w:tc>
          <w:tcPr>
            <w:tcW w:w="83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01" w:type="pct"/>
            <w:vAlign w:val="center"/>
          </w:tcPr>
          <w:p>
            <w:pPr>
              <w:pStyle w:val="77"/>
              <w:rPr>
                <w:color w:val="000000" w:themeColor="text1"/>
                <w14:textFill>
                  <w14:solidFill>
                    <w14:schemeClr w14:val="tx1"/>
                  </w14:solidFill>
                </w14:textFill>
              </w:rPr>
            </w:pPr>
          </w:p>
        </w:tc>
      </w:tr>
    </w:tbl>
    <w:p>
      <w:pPr>
        <w:pStyle w:val="4"/>
        <w:ind w:firstLine="562"/>
        <w:rPr>
          <w:color w:val="000000" w:themeColor="text1"/>
          <w14:textFill>
            <w14:solidFill>
              <w14:schemeClr w14:val="tx1"/>
            </w14:solidFill>
          </w14:textFill>
        </w:rPr>
      </w:pPr>
      <w:bookmarkStart w:id="169" w:name="_Toc14077"/>
      <w:bookmarkStart w:id="170" w:name="_Toc7120"/>
      <w:r>
        <w:rPr>
          <w:color w:val="000000" w:themeColor="text1"/>
          <w14:textFill>
            <w14:solidFill>
              <w14:schemeClr w14:val="tx1"/>
            </w14:solidFill>
          </w14:textFill>
        </w:rPr>
        <w:t>主要设备</w:t>
      </w:r>
      <w:bookmarkEnd w:id="169"/>
      <w:bookmarkEnd w:id="170"/>
    </w:p>
    <w:p>
      <w:pPr>
        <w:autoSpaceDE w:val="0"/>
        <w:autoSpaceDN w:val="0"/>
        <w:adjustRightInd w:val="0"/>
        <w:snapToGrid/>
        <w:spacing w:line="560" w:lineRule="exact"/>
        <w:rPr>
          <w:color w:val="000000" w:themeColor="text1"/>
          <w:szCs w:val="28"/>
          <w:lang w:val="zh-CN"/>
          <w14:textFill>
            <w14:solidFill>
              <w14:schemeClr w14:val="tx1"/>
            </w14:solidFill>
          </w14:textFill>
        </w:rPr>
      </w:pPr>
      <w:r>
        <w:rPr>
          <w:color w:val="000000" w:themeColor="text1"/>
          <w:szCs w:val="28"/>
          <w:lang w:val="zh-CN"/>
          <w14:textFill>
            <w14:solidFill>
              <w14:schemeClr w14:val="tx1"/>
            </w14:solidFill>
          </w14:textFill>
        </w:rPr>
        <w:t>涉及的主要设备详见表</w:t>
      </w:r>
      <w:r>
        <w:rPr>
          <w:rFonts w:hint="eastAsia"/>
          <w:color w:val="000000" w:themeColor="text1"/>
          <w:szCs w:val="28"/>
          <w:lang w:val="zh-CN"/>
          <w14:textFill>
            <w14:solidFill>
              <w14:schemeClr w14:val="tx1"/>
            </w14:solidFill>
          </w14:textFill>
        </w:rPr>
        <w:t>2-</w:t>
      </w:r>
      <w:r>
        <w:rPr>
          <w:rFonts w:hint="eastAsia"/>
          <w:color w:val="000000" w:themeColor="text1"/>
          <w:szCs w:val="28"/>
          <w14:textFill>
            <w14:solidFill>
              <w14:schemeClr w14:val="tx1"/>
            </w14:solidFill>
          </w14:textFill>
        </w:rPr>
        <w:t>5</w:t>
      </w:r>
      <w:r>
        <w:rPr>
          <w:color w:val="000000" w:themeColor="text1"/>
          <w:szCs w:val="28"/>
          <w:lang w:val="zh-CN"/>
          <w14:textFill>
            <w14:solidFill>
              <w14:schemeClr w14:val="tx1"/>
            </w14:solidFill>
          </w14:textFill>
        </w:rPr>
        <w:t>。</w: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表2-5 加油站主要设备一览表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175"/>
        <w:gridCol w:w="1110"/>
        <w:gridCol w:w="690"/>
        <w:gridCol w:w="2924"/>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设备名称</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型号规格</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设置位置</w:t>
            </w:r>
          </w:p>
        </w:tc>
        <w:tc>
          <w:tcPr>
            <w:tcW w:w="15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双枪</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台</w:t>
            </w:r>
          </w:p>
        </w:tc>
        <w:tc>
          <w:tcPr>
            <w:tcW w:w="2924" w:type="dxa"/>
            <w:vAlign w:val="center"/>
          </w:tcPr>
          <w:p>
            <w:pPr>
              <w:pStyle w:val="77"/>
              <w:rPr>
                <w:color w:val="000000" w:themeColor="text1"/>
                <w14:textFill>
                  <w14:solidFill>
                    <w14:schemeClr w14:val="tx1"/>
                  </w14:solidFill>
                </w14:textFill>
              </w:rPr>
            </w:pPr>
            <w:bookmarkStart w:id="171" w:name="OLE_LINK36"/>
            <w:r>
              <w:rPr>
                <w:rFonts w:hint="eastAsia"/>
                <w:color w:val="000000" w:themeColor="text1"/>
                <w14:textFill>
                  <w14:solidFill>
                    <w14:schemeClr w14:val="tx1"/>
                  </w14:solidFill>
                </w14:textFill>
              </w:rPr>
              <w:t>加油区</w:t>
            </w:r>
            <w:bookmarkEnd w:id="171"/>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175"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加油机</w:t>
            </w:r>
          </w:p>
        </w:tc>
        <w:tc>
          <w:tcPr>
            <w:tcW w:w="1110"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四枪</w:t>
            </w:r>
          </w:p>
        </w:tc>
        <w:tc>
          <w:tcPr>
            <w:tcW w:w="690"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1台</w:t>
            </w:r>
          </w:p>
        </w:tc>
        <w:tc>
          <w:tcPr>
            <w:tcW w:w="2924" w:type="dxa"/>
            <w:vAlign w:val="center"/>
          </w:tcPr>
          <w:p>
            <w:pPr>
              <w:pStyle w:val="7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0#柴油储罐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92#汽油储罐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配电柜</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配电室</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汽油</w:t>
            </w:r>
            <w:r>
              <w:rPr>
                <w:rFonts w:hint="eastAsia"/>
                <w:color w:val="000000" w:themeColor="text1"/>
                <w14:textFill>
                  <w14:solidFill>
                    <w14:schemeClr w14:val="tx1"/>
                  </w14:solidFill>
                </w14:textFill>
              </w:rPr>
              <w:t>发电机</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kW</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发电机房</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监控系统</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液位监控仪</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防渗漏监测报警装置</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default"/>
                <w:color w:val="000000" w:themeColor="text1"/>
                <w:lang w:val="en-US" w:eastAsia="zh-CN"/>
                <w14:textFill>
                  <w14:solidFill>
                    <w14:schemeClr w14:val="tx1"/>
                  </w14:solidFill>
                </w14:textFill>
              </w:rPr>
            </w:pPr>
            <w:bookmarkStart w:id="172" w:name="_Toc275268731"/>
            <w:bookmarkStart w:id="173" w:name="_Toc16746"/>
            <w:bookmarkStart w:id="174" w:name="_Toc13637"/>
            <w:r>
              <w:rPr>
                <w:rFonts w:hint="eastAsia"/>
                <w:color w:val="000000" w:themeColor="text1"/>
                <w:lang w:val="en-US" w:eastAsia="zh-CN"/>
                <w14:textFill>
                  <w14:solidFill>
                    <w14:schemeClr w14:val="tx1"/>
                  </w14:solidFill>
                </w14:textFill>
              </w:rPr>
              <w:t>11</w:t>
            </w:r>
          </w:p>
        </w:tc>
        <w:tc>
          <w:tcPr>
            <w:tcW w:w="2175"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视频监控探头</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8个</w:t>
            </w:r>
          </w:p>
        </w:tc>
        <w:tc>
          <w:tcPr>
            <w:tcW w:w="2924"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w:t>
            </w:r>
          </w:p>
        </w:tc>
        <w:tc>
          <w:tcPr>
            <w:tcW w:w="15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存储时间大于3个月</w:t>
            </w:r>
          </w:p>
        </w:tc>
      </w:tr>
      <w:bookmarkEnd w:id="156"/>
      <w:bookmarkEnd w:id="157"/>
      <w:bookmarkEnd w:id="158"/>
      <w:bookmarkEnd w:id="159"/>
      <w:bookmarkEnd w:id="160"/>
      <w:bookmarkEnd w:id="161"/>
      <w:bookmarkEnd w:id="162"/>
      <w:bookmarkEnd w:id="163"/>
      <w:bookmarkEnd w:id="164"/>
    </w:tbl>
    <w:p>
      <w:pPr>
        <w:pStyle w:val="3"/>
        <w:rPr>
          <w:color w:val="000000" w:themeColor="text1"/>
          <w14:textFill>
            <w14:solidFill>
              <w14:schemeClr w14:val="tx1"/>
            </w14:solidFill>
          </w14:textFill>
        </w:rPr>
      </w:pPr>
      <w:r>
        <w:rPr>
          <w:color w:val="000000" w:themeColor="text1"/>
          <w14:textFill>
            <w14:solidFill>
              <w14:schemeClr w14:val="tx1"/>
            </w14:solidFill>
          </w14:textFill>
        </w:rPr>
        <w:t>公用工程及辅助设施</w:t>
      </w:r>
      <w:bookmarkEnd w:id="172"/>
      <w:bookmarkEnd w:id="173"/>
      <w:bookmarkEnd w:id="174"/>
    </w:p>
    <w:p>
      <w:pPr>
        <w:pStyle w:val="4"/>
        <w:ind w:firstLine="562"/>
        <w:rPr>
          <w:color w:val="000000" w:themeColor="text1"/>
          <w14:textFill>
            <w14:solidFill>
              <w14:schemeClr w14:val="tx1"/>
            </w14:solidFill>
          </w14:textFill>
        </w:rPr>
      </w:pPr>
      <w:bookmarkStart w:id="175" w:name="_Toc275268732"/>
      <w:bookmarkStart w:id="176" w:name="_Toc30879"/>
      <w:bookmarkStart w:id="177" w:name="_Toc28831"/>
      <w:r>
        <w:rPr>
          <w:color w:val="000000" w:themeColor="text1"/>
          <w14:textFill>
            <w14:solidFill>
              <w14:schemeClr w14:val="tx1"/>
            </w14:solidFill>
          </w14:textFill>
        </w:rPr>
        <w:t>供配电</w:t>
      </w:r>
      <w:bookmarkEnd w:id="175"/>
      <w:bookmarkEnd w:id="176"/>
      <w:bookmarkEnd w:id="177"/>
    </w:p>
    <w:p>
      <w:pPr>
        <w:rPr>
          <w:color w:val="000000" w:themeColor="text1"/>
          <w14:textFill>
            <w14:solidFill>
              <w14:schemeClr w14:val="tx1"/>
            </w14:solidFill>
          </w14:textFill>
        </w:rPr>
      </w:pPr>
      <w:bookmarkStart w:id="178" w:name="_Toc275268733"/>
      <w:bookmarkStart w:id="179" w:name="_Toc231983399"/>
      <w:bookmarkStart w:id="180" w:name="_Toc235587822"/>
      <w:bookmarkStart w:id="181" w:name="_Toc232084137"/>
      <w:bookmarkStart w:id="182" w:name="_Toc233515714"/>
      <w:bookmarkStart w:id="183" w:name="_Toc231835954"/>
      <w:bookmarkStart w:id="184" w:name="_Toc236123686"/>
      <w:bookmarkStart w:id="185" w:name="_Toc231982090"/>
      <w:bookmarkStart w:id="186" w:name="_Toc248220532"/>
      <w:r>
        <w:rPr>
          <w:rFonts w:hint="eastAsia"/>
          <w:color w:val="000000" w:themeColor="text1"/>
          <w14:textFill>
            <w14:solidFill>
              <w14:schemeClr w14:val="tx1"/>
            </w14:solidFill>
          </w14:textFill>
        </w:rPr>
        <w:t>1.供电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用电为三级负荷，从当地站外供电网引入站内，经配电柜后送至站内的各用电设备。配电系统接地方式采用TN-C-S系统接地系统，进线电缆入户前PEN线重复接地，经站内总空气断路器开关端接地形式转变为TN-S系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2.配电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站内配电室至站内各用电设备的电器线路采用埋地敷设。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kW的</w:t>
      </w:r>
      <w:r>
        <w:rPr>
          <w:rFonts w:hint="eastAsia"/>
          <w:color w:val="000000" w:themeColor="text1"/>
          <w:lang w:val="en-US" w:eastAsia="zh-CN"/>
          <w14:textFill>
            <w14:solidFill>
              <w14:schemeClr w14:val="tx1"/>
            </w14:solidFill>
          </w14:textFill>
        </w:rPr>
        <w:t>汽油</w:t>
      </w:r>
      <w:r>
        <w:rPr>
          <w:rFonts w:hint="eastAsia"/>
          <w:color w:val="000000" w:themeColor="text1"/>
          <w14:textFill>
            <w14:solidFill>
              <w14:schemeClr w14:val="tx1"/>
            </w14:solidFill>
          </w14:textFill>
        </w:rPr>
        <w:t>发电机组作为停电时的备用电源。</w:t>
      </w:r>
    </w:p>
    <w:p>
      <w:pPr>
        <w:pStyle w:val="4"/>
        <w:ind w:firstLine="562"/>
        <w:rPr>
          <w:color w:val="000000" w:themeColor="text1"/>
          <w14:textFill>
            <w14:solidFill>
              <w14:schemeClr w14:val="tx1"/>
            </w14:solidFill>
          </w14:textFill>
        </w:rPr>
      </w:pPr>
      <w:bookmarkStart w:id="187" w:name="_Toc15805"/>
      <w:bookmarkStart w:id="188" w:name="_Toc7061"/>
      <w:r>
        <w:rPr>
          <w:color w:val="000000" w:themeColor="text1"/>
          <w14:textFill>
            <w14:solidFill>
              <w14:schemeClr w14:val="tx1"/>
            </w14:solidFill>
          </w14:textFill>
        </w:rPr>
        <w:t>给排水</w:t>
      </w:r>
      <w:bookmarkEnd w:id="178"/>
      <w:bookmarkEnd w:id="179"/>
      <w:bookmarkEnd w:id="180"/>
      <w:bookmarkEnd w:id="181"/>
      <w:bookmarkEnd w:id="182"/>
      <w:bookmarkEnd w:id="183"/>
      <w:bookmarkEnd w:id="184"/>
      <w:bookmarkEnd w:id="185"/>
      <w:bookmarkEnd w:id="186"/>
      <w:bookmarkEnd w:id="187"/>
      <w:bookmarkEnd w:id="18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供水：加油站的用水主要为生活用水，水源取自自来水管网，供水能够满足需要。</w:t>
      </w:r>
    </w:p>
    <w:p>
      <w:pPr>
        <w:autoSpaceDE w:val="0"/>
        <w:autoSpaceDN w:val="0"/>
        <w:adjustRightInd w:val="0"/>
        <w:rPr>
          <w:color w:val="000000" w:themeColor="text1"/>
          <w:szCs w:val="28"/>
          <w:lang w:val="zh-CN"/>
          <w14:textFill>
            <w14:solidFill>
              <w14:schemeClr w14:val="tx1"/>
            </w14:solidFill>
          </w14:textFill>
        </w:rPr>
      </w:pPr>
      <w:r>
        <w:rPr>
          <w:rFonts w:hint="eastAsia"/>
          <w:color w:val="000000" w:themeColor="text1"/>
          <w14:textFill>
            <w14:solidFill>
              <w14:schemeClr w14:val="tx1"/>
            </w14:solidFill>
          </w14:textFill>
        </w:rPr>
        <w:t>排水：站区排水采用雨污分流排水方式；室内排水系统采用污废合流排水方式；罩棚雨水经管道收集后排至站外</w:t>
      </w:r>
      <w:r>
        <w:rPr>
          <w:rFonts w:hint="eastAsia"/>
          <w:color w:val="000000" w:themeColor="text1"/>
          <w:lang w:val="en-US" w:eastAsia="zh-CN"/>
          <w14:textFill>
            <w14:solidFill>
              <w14:schemeClr w14:val="tx1"/>
            </w14:solidFill>
          </w14:textFill>
        </w:rPr>
        <w:t>排水沟</w:t>
      </w:r>
      <w:r>
        <w:rPr>
          <w:rFonts w:hint="eastAsia"/>
          <w:color w:val="000000" w:themeColor="text1"/>
          <w14:textFill>
            <w14:solidFill>
              <w14:schemeClr w14:val="tx1"/>
            </w14:solidFill>
          </w14:textFill>
        </w:rPr>
        <w:t>；</w:t>
      </w:r>
      <w:r>
        <w:rPr>
          <w:rFonts w:hint="eastAsia"/>
          <w:color w:val="000000" w:themeColor="text1"/>
          <w:szCs w:val="28"/>
          <w:lang w:val="zh-CN"/>
          <w14:textFill>
            <w14:solidFill>
              <w14:schemeClr w14:val="tx1"/>
            </w14:solidFill>
          </w14:textFill>
        </w:rPr>
        <w:t>加油区设置了环保水沟。</w:t>
      </w:r>
    </w:p>
    <w:p>
      <w:pPr>
        <w:pStyle w:val="3"/>
        <w:rPr>
          <w:color w:val="000000" w:themeColor="text1"/>
          <w14:textFill>
            <w14:solidFill>
              <w14:schemeClr w14:val="tx1"/>
            </w14:solidFill>
          </w14:textFill>
        </w:rPr>
      </w:pPr>
      <w:bookmarkStart w:id="189" w:name="_Toc13214"/>
      <w:bookmarkStart w:id="190" w:name="_Toc22293"/>
      <w:bookmarkStart w:id="191" w:name="_Toc387163399"/>
      <w:r>
        <w:rPr>
          <w:color w:val="000000" w:themeColor="text1"/>
          <w14:textFill>
            <w14:solidFill>
              <w14:schemeClr w14:val="tx1"/>
            </w14:solidFill>
          </w14:textFill>
        </w:rPr>
        <w:t>安全设施</w:t>
      </w:r>
      <w:bookmarkEnd w:id="189"/>
      <w:bookmarkEnd w:id="190"/>
      <w:bookmarkEnd w:id="191"/>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加油站消防</w:t>
      </w:r>
      <w:r>
        <w:rPr>
          <w:rFonts w:hint="eastAsia"/>
          <w:color w:val="000000" w:themeColor="text1"/>
          <w:lang w:val="zh-CN"/>
          <w14:textFill>
            <w14:solidFill>
              <w14:schemeClr w14:val="tx1"/>
            </w14:solidFill>
          </w14:textFill>
        </w:rPr>
        <w:t>和相关设备均按照《</w:t>
      </w:r>
      <w:r>
        <w:rPr>
          <w:rFonts w:hint="eastAsia"/>
          <w:color w:val="000000" w:themeColor="text1"/>
          <w14:textFill>
            <w14:solidFill>
              <w14:schemeClr w14:val="tx1"/>
            </w14:solidFill>
          </w14:textFill>
        </w:rPr>
        <w:t>汽车加油加气加氢技术标准</w:t>
      </w:r>
      <w:r>
        <w:rPr>
          <w:rFonts w:hint="eastAsia"/>
          <w:color w:val="000000" w:themeColor="text1"/>
          <w:lang w:val="zh-CN"/>
          <w14:textFill>
            <w14:solidFill>
              <w14:schemeClr w14:val="tx1"/>
            </w14:solidFill>
          </w14:textFill>
        </w:rPr>
        <w:t>》（GB50156-</w:t>
      </w:r>
      <w:r>
        <w:rPr>
          <w:rFonts w:hint="eastAsia"/>
          <w:color w:val="000000" w:themeColor="text1"/>
          <w14:textFill>
            <w14:solidFill>
              <w14:schemeClr w14:val="tx1"/>
            </w14:solidFill>
          </w14:textFill>
        </w:rPr>
        <w:t>2021</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来配备和执行</w:t>
      </w:r>
      <w:r>
        <w:rPr>
          <w:color w:val="000000" w:themeColor="text1"/>
          <w:lang w:val="zh-CN"/>
          <w14:textFill>
            <w14:solidFill>
              <w14:schemeClr w14:val="tx1"/>
            </w14:solidFill>
          </w14:textFill>
        </w:rPr>
        <w:t>。</w:t>
      </w:r>
    </w:p>
    <w:p>
      <w:pPr>
        <w:pStyle w:val="4"/>
        <w:ind w:firstLine="562"/>
        <w:rPr>
          <w:color w:val="000000" w:themeColor="text1"/>
          <w14:textFill>
            <w14:solidFill>
              <w14:schemeClr w14:val="tx1"/>
            </w14:solidFill>
          </w14:textFill>
        </w:rPr>
      </w:pPr>
      <w:bookmarkStart w:id="192" w:name="_Toc12797"/>
      <w:bookmarkStart w:id="193" w:name="_Toc13594"/>
      <w:r>
        <w:rPr>
          <w:color w:val="000000" w:themeColor="text1"/>
          <w14:textFill>
            <w14:solidFill>
              <w14:schemeClr w14:val="tx1"/>
            </w14:solidFill>
          </w14:textFill>
        </w:rPr>
        <w:t>预防事故设施</w:t>
      </w:r>
      <w:bookmarkEnd w:id="192"/>
      <w:bookmarkEnd w:id="19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1.检测、报警设施</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）加油站储油罐均设置了液位检测报警装置，并集中显示报警。</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）密闭卸油点设有静电夹，</w:t>
      </w:r>
      <w:r>
        <w:rPr>
          <w:rFonts w:hint="eastAsia"/>
          <w:color w:val="000000" w:themeColor="text1"/>
          <w14:textFill>
            <w14:solidFill>
              <w14:schemeClr w14:val="tx1"/>
            </w14:solidFill>
          </w14:textFill>
        </w:rPr>
        <w:t>油罐区入口处设置了</w:t>
      </w:r>
      <w:r>
        <w:rPr>
          <w:rFonts w:hint="eastAsia"/>
          <w:color w:val="000000" w:themeColor="text1"/>
          <w:lang w:val="zh-CN"/>
          <w14:textFill>
            <w14:solidFill>
              <w14:schemeClr w14:val="tx1"/>
            </w14:solidFill>
          </w14:textFill>
        </w:rPr>
        <w:t>静电接地</w:t>
      </w:r>
      <w:r>
        <w:rPr>
          <w:rFonts w:hint="eastAsia"/>
          <w:color w:val="000000" w:themeColor="text1"/>
          <w14:textFill>
            <w14:solidFill>
              <w14:schemeClr w14:val="tx1"/>
            </w14:solidFill>
          </w14:textFill>
        </w:rPr>
        <w:t>导除</w:t>
      </w:r>
      <w:r>
        <w:rPr>
          <w:rFonts w:hint="eastAsia"/>
          <w:color w:val="000000" w:themeColor="text1"/>
          <w:lang w:val="zh-CN"/>
          <w14:textFill>
            <w14:solidFill>
              <w14:schemeClr w14:val="tx1"/>
            </w14:solidFill>
          </w14:textFill>
        </w:rPr>
        <w:t>桩，用于监测卸油过程中静电接地状况。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（3）各区域设置监控设施（存储时间大于3个月）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设置8个监控探头</w:t>
      </w:r>
      <w:r>
        <w:rPr>
          <w:rFonts w:hint="eastAsia"/>
          <w:color w:val="000000" w:themeColor="text1"/>
          <w14:textFill>
            <w14:solidFill>
              <w14:schemeClr w14:val="tx1"/>
            </w14:solidFill>
          </w14:textFill>
        </w:rPr>
        <w:t>，监控范围应包括油罐区、加油区、站区出入口、</w:t>
      </w:r>
      <w:r>
        <w:rPr>
          <w:rFonts w:hint="eastAsia"/>
          <w:color w:val="000000" w:themeColor="text1"/>
          <w:lang w:val="en-US" w:eastAsia="zh-CN"/>
          <w14:textFill>
            <w14:solidFill>
              <w14:schemeClr w14:val="tx1"/>
            </w14:solidFill>
          </w14:textFill>
        </w:rPr>
        <w:t>值班室</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2.设备安全防护设施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加油站对配电柜及发电机做了接地处理，并按要求在配电柜及发电机前设置绝缘手套、绝缘鞋、绝缘胶垫等防护设施，确保加油站从业人员的作业安全。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（2）防雷、防静电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按照《汽车加油加气加氢站技术标准》的要求，油罐进行防雷接地，接地点2处，在加油罩棚设置避雷针；埋地油罐的罐体与非埋地部分的工艺管道、量油孔、阻火器、法兰等金属附件，作电气跨接并接地：在爆炸危险区域内工艺管道上的法兰、胶管两端等连接处，用金属线跨接；油罐车卸油场地设置有汽车油罐车卸油接地桩和静电接地报警仪。</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加油站防雷防静电设施202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22</w:t>
      </w:r>
      <w:r>
        <w:rPr>
          <w:rFonts w:hint="eastAsia"/>
          <w:color w:val="000000" w:themeColor="text1"/>
          <w14:textFill>
            <w14:solidFill>
              <w14:schemeClr w14:val="tx1"/>
            </w14:solidFill>
          </w14:textFill>
        </w:rPr>
        <w:t>日经云南省气象灾害防御技术中心签发“检测报告”，测结论为检符合，有效期至</w:t>
      </w: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22</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（3）防腐</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加油站油罐人孔等外露钢制部分和金属工艺管道外表面的防腐采用加强级防腐。油罐埋地前进行防腐处理，符合国家现行标准《石油化工设备和管道涂料防腐蚀设计标准》（SH/T3022-2019）的有关规定。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（4）抗漂浮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抗漂浮为用扁钢与抗浮锚栓连接固定。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（5）安装了加油油气回收和卸油油气回收系统。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3.防火防爆设施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加油机电机为防爆型，处于爆炸危险区域以外的站房、附属设施用房等建筑物内的照明灯具采用非防爆型，罩棚下的灯具选用防护等级不低于IP44级的节能型照明灯具。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办公室</w:t>
      </w:r>
      <w:r>
        <w:rPr>
          <w:rFonts w:hint="eastAsia"/>
          <w:color w:val="000000" w:themeColor="text1"/>
          <w14:textFill>
            <w14:solidFill>
              <w14:schemeClr w14:val="tx1"/>
            </w14:solidFill>
          </w14:textFill>
        </w:rPr>
        <w:t>、加油机操作面板处均设置了紧急停机装置。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4.安全警示标志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加油站安全警示标志设置情况，见表2-6。</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表2-6 安全警示标志情况一览表</w:t>
      </w:r>
    </w:p>
    <w:tbl>
      <w:tblPr>
        <w:tblStyle w:val="3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352"/>
        <w:gridCol w:w="2044"/>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535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警示标志名称</w:t>
            </w:r>
          </w:p>
        </w:tc>
        <w:tc>
          <w:tcPr>
            <w:tcW w:w="2044"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设置位置</w:t>
            </w:r>
          </w:p>
        </w:tc>
        <w:tc>
          <w:tcPr>
            <w:tcW w:w="88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352" w:type="dxa"/>
            <w:vAlign w:val="center"/>
          </w:tcPr>
          <w:p>
            <w:pPr>
              <w:pStyle w:val="77"/>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严禁烟火</w:t>
            </w:r>
            <w:r>
              <w:rPr>
                <w:rFonts w:hint="eastAsia"/>
                <w:color w:val="000000" w:themeColor="text1"/>
                <w:lang w:val="en-US" w:eastAsia="zh-CN"/>
                <w14:textFill>
                  <w14:solidFill>
                    <w14:schemeClr w14:val="tx1"/>
                  </w14:solidFill>
                </w14:textFill>
              </w:rPr>
              <w:t>、限速行驶、禁打手机、24小时监控</w:t>
            </w:r>
          </w:p>
        </w:tc>
        <w:tc>
          <w:tcPr>
            <w:tcW w:w="204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罩棚立柱、加油区</w:t>
            </w:r>
          </w:p>
        </w:tc>
        <w:tc>
          <w:tcPr>
            <w:tcW w:w="880"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35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油库重地、</w:t>
            </w:r>
            <w:r>
              <w:rPr>
                <w:rFonts w:hint="eastAsia"/>
                <w:color w:val="000000" w:themeColor="text1"/>
                <w:lang w:val="en-US" w:eastAsia="zh-CN"/>
                <w14:textFill>
                  <w14:solidFill>
                    <w14:schemeClr w14:val="tx1"/>
                  </w14:solidFill>
                </w14:textFill>
              </w:rPr>
              <w:t>严禁</w:t>
            </w:r>
            <w:r>
              <w:rPr>
                <w:rFonts w:hint="eastAsia"/>
                <w:color w:val="000000" w:themeColor="text1"/>
                <w14:textFill>
                  <w14:solidFill>
                    <w14:schemeClr w14:val="tx1"/>
                  </w14:solidFill>
                </w14:textFill>
              </w:rPr>
              <w:t>烟火</w:t>
            </w:r>
          </w:p>
        </w:tc>
        <w:tc>
          <w:tcPr>
            <w:tcW w:w="2044"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卸油</w:t>
            </w:r>
            <w:r>
              <w:rPr>
                <w:rFonts w:hint="eastAsia"/>
                <w:color w:val="000000" w:themeColor="text1"/>
                <w14:textFill>
                  <w14:solidFill>
                    <w14:schemeClr w14:val="tx1"/>
                  </w14:solidFill>
                </w14:textFill>
              </w:rPr>
              <w:t>区</w:t>
            </w:r>
          </w:p>
        </w:tc>
        <w:tc>
          <w:tcPr>
            <w:tcW w:w="880"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352"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当心触电、有电危险</w:t>
            </w:r>
          </w:p>
        </w:tc>
        <w:tc>
          <w:tcPr>
            <w:tcW w:w="2044"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配电室</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发电机房</w:t>
            </w:r>
          </w:p>
        </w:tc>
        <w:tc>
          <w:tcPr>
            <w:tcW w:w="880" w:type="dxa"/>
            <w:vAlign w:val="center"/>
          </w:tcPr>
          <w:p>
            <w:pPr>
              <w:pStyle w:val="77"/>
              <w:rPr>
                <w:color w:val="000000" w:themeColor="text1"/>
                <w14:textFill>
                  <w14:solidFill>
                    <w14:schemeClr w14:val="tx1"/>
                  </w14:solidFill>
                </w14:textFill>
              </w:rPr>
            </w:pP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5.作业场所防护设施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（1）卸油采用快速接头。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（2）卸油点设置静电接地报警仪，油罐区入口处设置消除人体静电桩。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（3）加油岛端部的加油机附近设置了防撞柱（栏），其高度为0.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w:t>
      </w:r>
    </w:p>
    <w:p>
      <w:pPr>
        <w:pStyle w:val="4"/>
        <w:ind w:firstLine="562"/>
        <w:rPr>
          <w:color w:val="000000" w:themeColor="text1"/>
          <w14:textFill>
            <w14:solidFill>
              <w14:schemeClr w14:val="tx1"/>
            </w14:solidFill>
          </w14:textFill>
        </w:rPr>
      </w:pPr>
      <w:bookmarkStart w:id="194" w:name="_Toc24100"/>
      <w:bookmarkStart w:id="195" w:name="_Toc28619"/>
      <w:bookmarkStart w:id="196" w:name="_Toc12396"/>
      <w:bookmarkStart w:id="197" w:name="_Toc16871"/>
      <w:r>
        <w:rPr>
          <w:color w:val="000000" w:themeColor="text1"/>
          <w14:textFill>
            <w14:solidFill>
              <w14:schemeClr w14:val="tx1"/>
            </w14:solidFill>
          </w14:textFill>
        </w:rPr>
        <w:t>控制事故设施</w:t>
      </w:r>
      <w:bookmarkEnd w:id="194"/>
      <w:bookmarkEnd w:id="195"/>
      <w:bookmarkEnd w:id="196"/>
      <w:bookmarkEnd w:id="19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1.泄压和止逆设施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每个油罐单独设置通气管。通气管设置阻火器，汽油通气管还设置了机械呼吸阀。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2.应急照明</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该站配备了一台</w:t>
      </w:r>
      <w:r>
        <w:rPr>
          <w:rFonts w:hint="eastAsia"/>
          <w:color w:val="000000" w:themeColor="text1"/>
          <w:lang w:val="en-US" w:eastAsia="zh-CN"/>
          <w14:textFill>
            <w14:solidFill>
              <w14:schemeClr w14:val="tx1"/>
            </w14:solidFill>
          </w14:textFill>
        </w:rPr>
        <w:t>15kW汽油</w:t>
      </w:r>
      <w:r>
        <w:rPr>
          <w:rFonts w:hint="eastAsia"/>
          <w:color w:val="000000" w:themeColor="text1"/>
          <w14:textFill>
            <w14:solidFill>
              <w14:schemeClr w14:val="tx1"/>
            </w14:solidFill>
          </w14:textFill>
        </w:rPr>
        <w:t>发电机。配备发电机为了预防油站突然停电时临时使用，防止无电带来的不便和及时的消除了隐患，降低事故发生机率，柴油发电机排烟管口安装阻火器。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3.紧急处理设施</w:t>
      </w:r>
    </w:p>
    <w:p>
      <w:pP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站区设置防爆型应急照明，配电室设置应急照明灯，发电机房设置应急照明灯</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4.应急灯及防爆配备情况</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应急灯、防爆灯及监控设备设置情况，见2-</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表。</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表2-</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 xml:space="preserve"> 应急灯、防爆灯及监控设备设置一览表</w:t>
      </w:r>
    </w:p>
    <w:tbl>
      <w:tblPr>
        <w:tblStyle w:val="3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072"/>
        <w:gridCol w:w="4591"/>
        <w:gridCol w:w="796"/>
        <w:gridCol w:w="765"/>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2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072" w:type="dxa"/>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459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设置地点</w:t>
            </w:r>
          </w:p>
        </w:tc>
        <w:tc>
          <w:tcPr>
            <w:tcW w:w="79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76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10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是否有效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2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7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应急灯</w:t>
            </w:r>
          </w:p>
        </w:tc>
        <w:tc>
          <w:tcPr>
            <w:tcW w:w="4591"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加油</w:t>
            </w:r>
            <w:r>
              <w:rPr>
                <w:rFonts w:hint="eastAsia"/>
                <w:color w:val="000000" w:themeColor="text1"/>
                <w:lang w:val="en-US" w:eastAsia="zh-CN"/>
                <w14:textFill>
                  <w14:solidFill>
                    <w14:schemeClr w14:val="tx1"/>
                  </w14:solidFill>
                </w14:textFill>
              </w:rPr>
              <w:t>区</w:t>
            </w:r>
            <w:r>
              <w:rPr>
                <w:rFonts w:hint="eastAsia"/>
                <w:color w:val="000000" w:themeColor="text1"/>
                <w14:textFill>
                  <w14:solidFill>
                    <w14:schemeClr w14:val="tx1"/>
                  </w14:solidFill>
                </w14:textFill>
              </w:rPr>
              <w:t>、营业室、配电室、</w:t>
            </w:r>
            <w:r>
              <w:rPr>
                <w:rFonts w:hint="eastAsia"/>
                <w:color w:val="000000" w:themeColor="text1"/>
                <w:lang w:val="en-US" w:eastAsia="zh-CN"/>
                <w14:textFill>
                  <w14:solidFill>
                    <w14:schemeClr w14:val="tx1"/>
                  </w14:solidFill>
                </w14:textFill>
              </w:rPr>
              <w:t>发电机房</w:t>
            </w:r>
          </w:p>
        </w:tc>
        <w:tc>
          <w:tcPr>
            <w:tcW w:w="796"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76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盏</w:t>
            </w:r>
          </w:p>
        </w:tc>
        <w:tc>
          <w:tcPr>
            <w:tcW w:w="11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07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防爆灯</w:t>
            </w:r>
          </w:p>
        </w:tc>
        <w:tc>
          <w:tcPr>
            <w:tcW w:w="4591"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加油区</w:t>
            </w:r>
          </w:p>
        </w:tc>
        <w:tc>
          <w:tcPr>
            <w:tcW w:w="796"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76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盏</w:t>
            </w:r>
          </w:p>
        </w:tc>
        <w:tc>
          <w:tcPr>
            <w:tcW w:w="11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2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07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监控设施</w:t>
            </w:r>
          </w:p>
        </w:tc>
        <w:tc>
          <w:tcPr>
            <w:tcW w:w="4591"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油罐区、加油区、站房</w:t>
            </w:r>
          </w:p>
        </w:tc>
        <w:tc>
          <w:tcPr>
            <w:tcW w:w="796"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76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11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pStyle w:val="4"/>
        <w:ind w:firstLine="562"/>
        <w:rPr>
          <w:color w:val="000000" w:themeColor="text1"/>
          <w14:textFill>
            <w14:solidFill>
              <w14:schemeClr w14:val="tx1"/>
            </w14:solidFill>
          </w14:textFill>
        </w:rPr>
      </w:pPr>
      <w:bookmarkStart w:id="198" w:name="_Toc16591"/>
      <w:bookmarkStart w:id="199" w:name="_Toc27010"/>
      <w:bookmarkStart w:id="200" w:name="_Toc5864"/>
      <w:bookmarkStart w:id="201" w:name="_Toc16940"/>
      <w:r>
        <w:rPr>
          <w:color w:val="000000" w:themeColor="text1"/>
          <w14:textFill>
            <w14:solidFill>
              <w14:schemeClr w14:val="tx1"/>
            </w14:solidFill>
          </w14:textFill>
        </w:rPr>
        <w:t>减少与消除影响事故设施</w:t>
      </w:r>
      <w:bookmarkEnd w:id="198"/>
      <w:bookmarkEnd w:id="199"/>
      <w:bookmarkEnd w:id="200"/>
      <w:bookmarkEnd w:id="20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1.防止事故蔓延设施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潜油泵供油，加油机上设置有油泵紧急停泵按钮，加油软管上设有安全拉断阀，加油机底部的供油管道上设有剪切阀，当加油机被撞或起火或加油枪被外力拉拽断裂时，剪切阀能自动关闭进油，防止油料大量泄漏引发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2.灭火设施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该加油站灭火设施配置情况，见表2-8。</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表2-8加油站灭火设施配置情况一览表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2912"/>
        <w:gridCol w:w="977"/>
        <w:gridCol w:w="1942"/>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549"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安全防护设施</w:t>
            </w:r>
          </w:p>
        </w:tc>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1033"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规格/型号</w:t>
            </w:r>
          </w:p>
        </w:tc>
        <w:tc>
          <w:tcPr>
            <w:tcW w:w="1376"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配备地点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手提式干粉灭火器</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8具</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MFZ/ABC8</w:t>
            </w: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推车式干粉灭火器</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1具</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MFTZ/ABC35</w:t>
            </w: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lang w:eastAsia="zh-CN"/>
              </w:rPr>
            </w:pPr>
            <w:r>
              <w:rPr>
                <w:rFonts w:hint="eastAsia"/>
                <w:sz w:val="21"/>
                <w:szCs w:val="21"/>
              </w:rPr>
              <w:t>水基型</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1具</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MPZ/6</w:t>
            </w: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bookmarkStart w:id="202" w:name="OLE_LINK37"/>
            <w:r>
              <w:rPr>
                <w:rFonts w:hint="eastAsia"/>
                <w:sz w:val="21"/>
                <w:szCs w:val="21"/>
              </w:rPr>
              <w:t>配发电室</w:t>
            </w:r>
            <w:bookmarkEnd w:id="2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二氧化碳</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1具</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MT/3</w:t>
            </w: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配发电室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灭火毯</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5块</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lang w:eastAsia="zh-CN"/>
              </w:rPr>
            </w:pPr>
            <w:r>
              <w:rPr>
                <w:rFonts w:hint="eastAsia"/>
                <w:sz w:val="21"/>
                <w:szCs w:val="21"/>
              </w:rPr>
              <w:t>消防</w:t>
            </w:r>
            <w:r>
              <w:rPr>
                <w:rFonts w:hint="eastAsia"/>
                <w:sz w:val="21"/>
                <w:szCs w:val="21"/>
                <w:lang w:val="en-US" w:eastAsia="zh-CN"/>
              </w:rPr>
              <w:t>沙</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1个</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2m³</w:t>
            </w: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lang w:val="en-US" w:eastAsia="zh-CN"/>
              </w:rPr>
            </w:pPr>
            <w:r>
              <w:rPr>
                <w:rFonts w:hint="eastAsia"/>
                <w:sz w:val="21"/>
                <w:szCs w:val="21"/>
                <w:lang w:val="en-US" w:eastAsia="zh-CN"/>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消防桶</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lang w:val="en-US" w:eastAsia="zh-CN"/>
              </w:rPr>
            </w:pPr>
            <w:r>
              <w:rPr>
                <w:rFonts w:hint="eastAsia"/>
                <w:sz w:val="21"/>
                <w:szCs w:val="21"/>
              </w:rPr>
              <w:t>3只</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消防沙箱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549"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消防铲</w:t>
            </w:r>
          </w:p>
        </w:tc>
        <w:tc>
          <w:tcPr>
            <w:tcW w:w="520"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lang w:val="en-US" w:eastAsia="zh-CN"/>
              </w:rPr>
            </w:pPr>
            <w:r>
              <w:rPr>
                <w:rFonts w:hint="eastAsia"/>
                <w:sz w:val="21"/>
                <w:szCs w:val="21"/>
              </w:rPr>
              <w:t>3把</w:t>
            </w:r>
          </w:p>
        </w:tc>
        <w:tc>
          <w:tcPr>
            <w:tcW w:w="10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p>
        </w:tc>
        <w:tc>
          <w:tcPr>
            <w:tcW w:w="137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rPr>
            </w:pPr>
            <w:r>
              <w:rPr>
                <w:rFonts w:hint="eastAsia"/>
                <w:sz w:val="21"/>
                <w:szCs w:val="21"/>
              </w:rPr>
              <w:t>消防沙箱</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、劳动防护用品</w:t>
      </w:r>
    </w:p>
    <w:p>
      <w:pPr>
        <w:rPr>
          <w:color w:val="000000" w:themeColor="text1"/>
          <w14:textFill>
            <w14:solidFill>
              <w14:schemeClr w14:val="tx1"/>
            </w14:solidFill>
          </w14:textFill>
        </w:rPr>
      </w:pPr>
      <w:r>
        <w:rPr>
          <w:color w:val="000000" w:themeColor="text1"/>
          <w:lang w:val="zh-CN"/>
          <w14:textFill>
            <w14:solidFill>
              <w14:schemeClr w14:val="tx1"/>
            </w14:solidFill>
          </w14:textFill>
        </w:rPr>
        <w:t>该加油站为从业人员定期发放防静电工作服、工作鞋、手套、口罩</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并有发放记录。</w:t>
      </w:r>
    </w:p>
    <w:p>
      <w:pPr>
        <w:pStyle w:val="3"/>
        <w:rPr>
          <w:color w:val="000000" w:themeColor="text1"/>
          <w14:textFill>
            <w14:solidFill>
              <w14:schemeClr w14:val="tx1"/>
            </w14:solidFill>
          </w14:textFill>
        </w:rPr>
      </w:pPr>
      <w:bookmarkStart w:id="203" w:name="_Toc275268741"/>
      <w:bookmarkStart w:id="204" w:name="_Toc20202"/>
      <w:bookmarkStart w:id="205" w:name="_Toc15242"/>
      <w:r>
        <w:rPr>
          <w:color w:val="000000" w:themeColor="text1"/>
          <w14:textFill>
            <w14:solidFill>
              <w14:schemeClr w14:val="tx1"/>
            </w14:solidFill>
          </w14:textFill>
        </w:rPr>
        <w:t>安全管理</w:t>
      </w:r>
      <w:bookmarkEnd w:id="203"/>
      <w:bookmarkEnd w:id="204"/>
      <w:bookmarkEnd w:id="205"/>
    </w:p>
    <w:p>
      <w:pPr>
        <w:pStyle w:val="4"/>
        <w:ind w:firstLine="562"/>
        <w:rPr>
          <w:color w:val="000000" w:themeColor="text1"/>
          <w14:textFill>
            <w14:solidFill>
              <w14:schemeClr w14:val="tx1"/>
            </w14:solidFill>
          </w14:textFill>
        </w:rPr>
      </w:pPr>
      <w:bookmarkStart w:id="206" w:name="_Toc4680"/>
      <w:bookmarkStart w:id="207" w:name="_Toc275268742"/>
      <w:bookmarkStart w:id="208" w:name="_Toc32722"/>
      <w:r>
        <w:rPr>
          <w:color w:val="000000" w:themeColor="text1"/>
          <w14:textFill>
            <w14:solidFill>
              <w14:schemeClr w14:val="tx1"/>
            </w14:solidFill>
          </w14:textFill>
        </w:rPr>
        <w:t>组织机构及人员</w:t>
      </w:r>
      <w:bookmarkEnd w:id="206"/>
      <w:bookmarkEnd w:id="207"/>
      <w:bookmarkEnd w:id="208"/>
    </w:p>
    <w:p>
      <w:pP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丘北县树皮路顺加油站</w:t>
      </w:r>
      <w:r>
        <w:rPr>
          <w:color w:val="000000" w:themeColor="text1"/>
          <w14:textFill>
            <w14:solidFill>
              <w14:schemeClr w14:val="tx1"/>
            </w14:solidFill>
          </w14:textFill>
        </w:rPr>
        <w:t>安全生产</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朱洪贵</w:t>
      </w:r>
      <w:r>
        <w:rPr>
          <w:rFonts w:hint="eastAsia"/>
          <w:color w:val="000000" w:themeColor="text1"/>
          <w14:textFill>
            <w14:solidFill>
              <w14:schemeClr w14:val="tx1"/>
            </w14:solidFill>
          </w14:textFill>
        </w:rPr>
        <w:t>，同时配置了安全管理人员。</w:t>
      </w:r>
      <w:r>
        <w:rPr>
          <w:rFonts w:hint="eastAsia"/>
          <w:color w:val="000000" w:themeColor="text1"/>
          <w:lang w:val="en-GB"/>
          <w14:textFill>
            <w14:solidFill>
              <w14:schemeClr w14:val="tx1"/>
            </w14:solidFill>
          </w14:textFill>
        </w:rPr>
        <w:t>站内设有</w:t>
      </w:r>
      <w:r>
        <w:rPr>
          <w:rFonts w:hint="eastAsia"/>
          <w:color w:val="000000" w:themeColor="text1"/>
          <w:lang w:val="en-GB" w:eastAsia="zh-CN"/>
          <w14:textFill>
            <w14:solidFill>
              <w14:schemeClr w14:val="tx1"/>
            </w14:solidFill>
          </w14:textFill>
        </w:rPr>
        <w:t>安全领导小组</w:t>
      </w:r>
      <w:r>
        <w:rPr>
          <w:rFonts w:hint="eastAsia"/>
          <w:color w:val="000000" w:themeColor="text1"/>
          <w:lang w:val="en-GB"/>
          <w14:textFill>
            <w14:solidFill>
              <w14:schemeClr w14:val="tx1"/>
            </w14:solidFill>
          </w14:textFill>
        </w:rPr>
        <w:t>，小组组长由</w:t>
      </w:r>
      <w:r>
        <w:rPr>
          <w:rFonts w:hint="eastAsia"/>
          <w:color w:val="000000" w:themeColor="text1"/>
          <w14:textFill>
            <w14:solidFill>
              <w14:schemeClr w14:val="tx1"/>
            </w14:solidFill>
          </w14:textFill>
        </w:rPr>
        <w:t>主要负责人</w:t>
      </w:r>
      <w:r>
        <w:rPr>
          <w:rFonts w:hint="eastAsia"/>
          <w:color w:val="000000" w:themeColor="text1"/>
          <w:lang w:val="en-GB"/>
          <w14:textFill>
            <w14:solidFill>
              <w14:schemeClr w14:val="tx1"/>
            </w14:solidFill>
          </w14:textFill>
        </w:rPr>
        <w:t>担任，并设有专职安全员。</w:t>
      </w:r>
      <w:r>
        <w:rPr>
          <w:rFonts w:hint="eastAsia"/>
          <w:color w:val="000000" w:themeColor="text1"/>
          <w:lang w:eastAsia="zh-CN"/>
          <w14:textFill>
            <w14:solidFill>
              <w14:schemeClr w14:val="tx1"/>
            </w14:solidFill>
          </w14:textFill>
        </w:rPr>
        <w:t>丘北县树皮路顺加油站</w:t>
      </w:r>
      <w:r>
        <w:rPr>
          <w:color w:val="000000" w:themeColor="text1"/>
          <w14:textFill>
            <w14:solidFill>
              <w14:schemeClr w14:val="tx1"/>
            </w14:solidFill>
          </w14:textFill>
        </w:rPr>
        <w:t>还成立了由</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负责的事故应急救援指挥领导小组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针对可能发生的事故制定了应采取的相关措施。</w:t>
      </w:r>
    </w:p>
    <w:p>
      <w:pPr>
        <w:rPr>
          <w:color w:val="000000" w:themeColor="text1"/>
          <w14:textFill>
            <w14:solidFill>
              <w14:schemeClr w14:val="tx1"/>
            </w14:solidFill>
          </w14:textFill>
        </w:rPr>
      </w:pPr>
      <w:r>
        <w:rPr>
          <w:color w:val="000000" w:themeColor="text1"/>
          <w14:textFill>
            <w14:solidFill>
              <w14:schemeClr w14:val="tx1"/>
            </w14:solidFill>
          </w14:textFill>
        </w:rPr>
        <w:t>加油站安全</w:t>
      </w:r>
      <w:r>
        <w:rPr>
          <w:rFonts w:hint="eastAsia"/>
          <w:color w:val="000000" w:themeColor="text1"/>
          <w14:textFill>
            <w14:solidFill>
              <w14:schemeClr w14:val="tx1"/>
            </w14:solidFill>
          </w14:textFill>
        </w:rPr>
        <w:t>管理组织机构图</w:t>
      </w:r>
      <w:r>
        <w:rPr>
          <w:color w:val="000000" w:themeColor="text1"/>
          <w14:textFill>
            <w14:solidFill>
              <w14:schemeClr w14:val="tx1"/>
            </w14:solidFill>
          </w14:textFill>
        </w:rPr>
        <w:t>见图2-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pPr>
        <w:pStyle w:val="7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object>
          <v:shape id="_x0000_i1027" o:spt="75" type="#_x0000_t75" style="height:135.75pt;width:93pt;" o:ole="t" filled="f" o:preferrelative="t" stroked="f" coordsize="21600,21600">
            <v:path/>
            <v:fill on="f" focussize="0,0"/>
            <v:stroke on="f"/>
            <v:imagedata r:id="rId51" o:title=""/>
            <o:lock v:ext="edit" aspectratio="f"/>
            <w10:wrap type="none"/>
            <w10:anchorlock/>
          </v:shape>
          <o:OLEObject Type="Embed" ProgID="Visio.Drawing.15" ShapeID="_x0000_i1027" DrawAspect="Content" ObjectID="_1468075727" r:id="rId50">
            <o:LockedField>false</o:LockedField>
          </o:OLEObject>
        </w:objec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图2-6加油站安全管理组织机构图</w:t>
      </w:r>
    </w:p>
    <w:p>
      <w:pPr>
        <w:pStyle w:val="4"/>
        <w:ind w:firstLine="562"/>
        <w:rPr>
          <w:color w:val="000000" w:themeColor="text1"/>
          <w14:textFill>
            <w14:solidFill>
              <w14:schemeClr w14:val="tx1"/>
            </w14:solidFill>
          </w14:textFill>
        </w:rPr>
      </w:pPr>
      <w:bookmarkStart w:id="209" w:name="_Toc248220542"/>
      <w:bookmarkStart w:id="210" w:name="_Toc191728141"/>
      <w:bookmarkStart w:id="211" w:name="_Toc236123693"/>
      <w:bookmarkStart w:id="212" w:name="_Toc6531"/>
      <w:bookmarkStart w:id="213" w:name="_Toc191729701"/>
      <w:bookmarkStart w:id="214" w:name="_Toc191729997"/>
      <w:bookmarkStart w:id="215" w:name="_Toc32608"/>
      <w:bookmarkStart w:id="216" w:name="_Toc235587829"/>
      <w:bookmarkStart w:id="217" w:name="_Toc208398699"/>
      <w:bookmarkStart w:id="218" w:name="_Toc194389905"/>
      <w:bookmarkStart w:id="219" w:name="_Toc275268743"/>
      <w:r>
        <w:rPr>
          <w:color w:val="000000" w:themeColor="text1"/>
          <w14:textFill>
            <w14:solidFill>
              <w14:schemeClr w14:val="tx1"/>
            </w14:solidFill>
          </w14:textFill>
        </w:rPr>
        <w:t>安全生产责任制</w:t>
      </w:r>
      <w:bookmarkEnd w:id="209"/>
      <w:bookmarkEnd w:id="210"/>
      <w:bookmarkEnd w:id="211"/>
      <w:bookmarkEnd w:id="212"/>
      <w:bookmarkEnd w:id="213"/>
      <w:bookmarkEnd w:id="214"/>
      <w:bookmarkEnd w:id="215"/>
      <w:bookmarkEnd w:id="216"/>
      <w:bookmarkEnd w:id="217"/>
      <w:bookmarkEnd w:id="218"/>
      <w:bookmarkEnd w:id="219"/>
    </w:p>
    <w:p>
      <w:pPr>
        <w:rPr>
          <w:color w:val="000000" w:themeColor="text1"/>
          <w:lang w:val="zh-CN"/>
          <w14:textFill>
            <w14:solidFill>
              <w14:schemeClr w14:val="tx1"/>
            </w14:solidFill>
          </w14:textFill>
        </w:rPr>
      </w:pPr>
      <w:bookmarkStart w:id="220" w:name="_Toc236123694"/>
      <w:bookmarkStart w:id="221" w:name="_Toc248220543"/>
      <w:bookmarkStart w:id="222" w:name="_Toc275268744"/>
      <w:bookmarkStart w:id="223" w:name="_Toc235587830"/>
      <w:bookmarkStart w:id="224" w:name="_Toc208398700"/>
      <w:bookmarkStart w:id="225" w:name="_Toc191728142"/>
      <w:bookmarkStart w:id="226" w:name="_Toc191729998"/>
      <w:bookmarkStart w:id="227" w:name="_Toc191729702"/>
      <w:bookmarkStart w:id="228" w:name="_Toc194389906"/>
      <w:r>
        <w:rPr>
          <w:color w:val="000000" w:themeColor="text1"/>
          <w:lang w:val="zh-CN"/>
          <w14:textFill>
            <w14:solidFill>
              <w14:schemeClr w14:val="tx1"/>
            </w14:solidFill>
          </w14:textFill>
        </w:rPr>
        <w:t>加油站根据国家相关要求</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建立了以下岗位职责：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1.安全领导小组的职责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2.主要负责人的安全职责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3.站长的安全职责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4.安全员的安全职责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5.加油员的安全职责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6.卸油员的安全职责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7.计量员的安全职责</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8.收银员的安全职责</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加油站已经按照相关主管部门的要求</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组织员工进行培训学习</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并将岗位职责落实到个人。</w:t>
      </w:r>
    </w:p>
    <w:p>
      <w:pPr>
        <w:pStyle w:val="4"/>
        <w:ind w:firstLine="562"/>
        <w:rPr>
          <w:color w:val="000000" w:themeColor="text1"/>
          <w14:textFill>
            <w14:solidFill>
              <w14:schemeClr w14:val="tx1"/>
            </w14:solidFill>
          </w14:textFill>
        </w:rPr>
      </w:pPr>
      <w:bookmarkStart w:id="229" w:name="_Toc19363"/>
      <w:bookmarkStart w:id="230" w:name="_Toc7697"/>
      <w:r>
        <w:rPr>
          <w:color w:val="000000" w:themeColor="text1"/>
          <w14:textFill>
            <w14:solidFill>
              <w14:schemeClr w14:val="tx1"/>
            </w14:solidFill>
          </w14:textFill>
        </w:rPr>
        <w:t>安全管理制度</w:t>
      </w:r>
      <w:bookmarkEnd w:id="220"/>
      <w:bookmarkEnd w:id="221"/>
      <w:bookmarkEnd w:id="222"/>
      <w:bookmarkEnd w:id="223"/>
      <w:bookmarkEnd w:id="224"/>
      <w:bookmarkEnd w:id="225"/>
      <w:bookmarkEnd w:id="226"/>
      <w:bookmarkEnd w:id="227"/>
      <w:bookmarkEnd w:id="228"/>
      <w:bookmarkEnd w:id="229"/>
      <w:bookmarkEnd w:id="230"/>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丘北县树皮路顺加油站根据国家相关要求并结合加油站实际情况，组织制定了以下安全生产管理制度：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1.识别和获取安全生产法律法规标准与其他要求管理制度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2.安全生产责任制管理制度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3.安全会议管理制度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4.领导干部带班制度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5.安全生产责任制考核制度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6.安全生产费用管理制度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7.安全生产奖惩管理制度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8.风险评价管理制度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9.隐患治理管理制度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10.变更管理制度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11.安全检查管理制度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12.防火、防爆管理，包括禁烟管理制度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13.仓库、罐区安全管理制度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14.生产设施管理制度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15.监视和测量设备管理制度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16.检维修管理制度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17.防雷、防静电、电气设备管理制度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18.电器线路的检查和管理制度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19.用火用电安全管理制度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20.设备器材维护、管理制度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21.消防安全管理制度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22.特种作业人员安全管理制度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23.劳动保护用品管理制度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24.安全活动管理制度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25.加油站接卸油管理制度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26.关键装置、重点部位安全管理制度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27.承包商管理制度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28.供应商管理制度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29.生产设施的报废和拆除管理制度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30.事故应急管理制度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31.职业卫生安全管理制度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32.作业场所职业危害因素检测管理制度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33.安全作业管理制度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34.文件档案管理制度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35.安全培训教育管理制度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36.安全警示标志管理制度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37.危险化学品管理制度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38.事故管理制度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39.重大危险源管理制度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40.管理制度、操作规程的评审和修订制度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41.特种设备安全管理制度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42.自评管理制度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43.建设项目安全“三同时”管理制度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44.加油站交通安全管理制度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45.岗位达标管理制度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46.安全生产风险分级管理控制制度</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47.加油站值班制度</w:t>
      </w:r>
      <w:r>
        <w:rPr>
          <w:rFonts w:hint="eastAsia"/>
          <w:color w:val="000000" w:themeColor="text1"/>
          <w:lang w:val="en-US" w:eastAsia="zh-CN"/>
          <w14:textFill>
            <w14:solidFill>
              <w14:schemeClr w14:val="tx1"/>
            </w14:solidFill>
          </w14:textFill>
        </w:rPr>
        <w:tab/>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加油站已经按照相关主管部门的要求，组织员工参加培训学习。</w:t>
      </w:r>
    </w:p>
    <w:p>
      <w:pPr>
        <w:pStyle w:val="4"/>
        <w:ind w:firstLine="562"/>
        <w:rPr>
          <w:color w:val="000000" w:themeColor="text1"/>
          <w14:textFill>
            <w14:solidFill>
              <w14:schemeClr w14:val="tx1"/>
            </w14:solidFill>
          </w14:textFill>
        </w:rPr>
      </w:pPr>
      <w:bookmarkStart w:id="231" w:name="_Toc208398701"/>
      <w:bookmarkStart w:id="232" w:name="_Toc248220544"/>
      <w:bookmarkStart w:id="233" w:name="_Toc191728143"/>
      <w:bookmarkStart w:id="234" w:name="_Toc191729703"/>
      <w:bookmarkStart w:id="235" w:name="_Toc235587831"/>
      <w:bookmarkStart w:id="236" w:name="_Toc11618"/>
      <w:bookmarkStart w:id="237" w:name="_Toc191729999"/>
      <w:bookmarkStart w:id="238" w:name="_Toc24382"/>
      <w:bookmarkStart w:id="239" w:name="_Toc194389907"/>
      <w:bookmarkStart w:id="240" w:name="_Toc236123695"/>
      <w:bookmarkStart w:id="241" w:name="_Toc275268745"/>
      <w:r>
        <w:rPr>
          <w:color w:val="000000" w:themeColor="text1"/>
          <w14:textFill>
            <w14:solidFill>
              <w14:schemeClr w14:val="tx1"/>
            </w14:solidFill>
          </w14:textFill>
        </w:rPr>
        <w:t>安全操作规程</w:t>
      </w:r>
      <w:bookmarkEnd w:id="231"/>
      <w:bookmarkEnd w:id="232"/>
      <w:bookmarkEnd w:id="233"/>
      <w:bookmarkEnd w:id="234"/>
      <w:bookmarkEnd w:id="235"/>
      <w:bookmarkEnd w:id="236"/>
      <w:bookmarkEnd w:id="237"/>
      <w:bookmarkEnd w:id="238"/>
      <w:bookmarkEnd w:id="239"/>
      <w:bookmarkEnd w:id="240"/>
      <w:bookmarkEnd w:id="241"/>
    </w:p>
    <w:p>
      <w:pPr>
        <w:rPr>
          <w:rFonts w:hint="eastAsia"/>
          <w:color w:val="000000" w:themeColor="text1"/>
          <w:lang w:val="en-US" w:eastAsia="zh-CN"/>
          <w14:textFill>
            <w14:solidFill>
              <w14:schemeClr w14:val="tx1"/>
            </w14:solidFill>
          </w14:textFill>
        </w:rPr>
      </w:pPr>
      <w:bookmarkStart w:id="242" w:name="_Toc342511263"/>
      <w:bookmarkStart w:id="243" w:name="_Toc25131"/>
      <w:bookmarkStart w:id="244" w:name="_Toc154069644"/>
      <w:bookmarkStart w:id="245" w:name="_Toc248220545"/>
      <w:bookmarkStart w:id="246" w:name="_Toc235587832"/>
      <w:bookmarkStart w:id="247" w:name="_Toc275268746"/>
      <w:bookmarkStart w:id="248" w:name="_Toc236123696"/>
      <w:r>
        <w:rPr>
          <w:rFonts w:hint="eastAsia"/>
          <w:color w:val="000000" w:themeColor="text1"/>
          <w:lang w:val="en-US" w:eastAsia="zh-CN"/>
          <w14:textFill>
            <w14:solidFill>
              <w14:schemeClr w14:val="tx1"/>
            </w14:solidFill>
          </w14:textFill>
        </w:rPr>
        <w:t>1.加油操作规程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2.卸油操作规程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3.变配电室操作规程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4.发电机操作规程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5.检维修作业安全操作规程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6.计量操作规程</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7.收银岗位操作规程</w:t>
      </w:r>
    </w:p>
    <w:p>
      <w:pPr>
        <w:rPr>
          <w:rFonts w:hint="eastAsia"/>
          <w:color w:val="000000" w:themeColor="text1"/>
          <w:lang w:val="en-GB" w:eastAsia="zh-CN"/>
          <w14:textFill>
            <w14:solidFill>
              <w14:schemeClr w14:val="tx1"/>
            </w14:solidFill>
          </w14:textFill>
        </w:rPr>
      </w:pPr>
      <w:r>
        <w:rPr>
          <w:rFonts w:hint="eastAsia"/>
          <w:color w:val="000000" w:themeColor="text1"/>
          <w:lang w:val="en-US" w:eastAsia="zh-CN"/>
          <w14:textFill>
            <w14:solidFill>
              <w14:schemeClr w14:val="tx1"/>
            </w14:solidFill>
          </w14:textFill>
        </w:rPr>
        <w:t>8.特殊情况处理规程</w:t>
      </w:r>
    </w:p>
    <w:p>
      <w:pPr>
        <w:pStyle w:val="4"/>
        <w:ind w:firstLine="560" w:firstLineChars="200"/>
        <w:rPr>
          <w:color w:val="000000" w:themeColor="text1"/>
          <w14:textFill>
            <w14:solidFill>
              <w14:schemeClr w14:val="tx1"/>
            </w14:solidFill>
          </w14:textFill>
        </w:rPr>
      </w:pPr>
      <w:bookmarkStart w:id="249" w:name="_Toc13049"/>
      <w:r>
        <w:rPr>
          <w:rFonts w:hint="eastAsia"/>
          <w:color w:val="000000" w:themeColor="text1"/>
          <w14:textFill>
            <w14:solidFill>
              <w14:schemeClr w14:val="tx1"/>
            </w14:solidFill>
          </w14:textFill>
        </w:rPr>
        <w:t>工作制度</w:t>
      </w:r>
      <w:bookmarkEnd w:id="242"/>
      <w:bookmarkEnd w:id="243"/>
      <w:bookmarkEnd w:id="244"/>
      <w:bookmarkEnd w:id="249"/>
    </w:p>
    <w:p>
      <w:pPr>
        <w:rPr>
          <w:color w:val="000000" w:themeColor="text1"/>
          <w14:textFill>
            <w14:solidFill>
              <w14:schemeClr w14:val="tx1"/>
            </w14:solidFill>
          </w14:textFill>
        </w:rPr>
      </w:pPr>
      <w:r>
        <w:rPr>
          <w:rFonts w:hint="eastAsia"/>
          <w:color w:val="000000" w:themeColor="text1"/>
          <w:lang w:val="en-GB" w:eastAsia="zh-CN"/>
          <w14:textFill>
            <w14:solidFill>
              <w14:schemeClr w14:val="tx1"/>
            </w14:solidFill>
          </w14:textFill>
        </w:rPr>
        <w:t>丘北县树皮路顺加油站</w:t>
      </w:r>
      <w:r>
        <w:rPr>
          <w:rFonts w:hint="eastAsia"/>
          <w:color w:val="000000" w:themeColor="text1"/>
          <w14:textFill>
            <w14:solidFill>
              <w14:schemeClr w14:val="tx1"/>
            </w14:solidFill>
          </w14:textFill>
        </w:rPr>
        <w:t>目前拥有员工</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白班4人，晚上2人值班</w:t>
      </w:r>
      <w:r>
        <w:rPr>
          <w:rFonts w:hint="eastAsia"/>
          <w:color w:val="000000" w:themeColor="text1"/>
          <w14:textFill>
            <w14:solidFill>
              <w14:schemeClr w14:val="tx1"/>
            </w14:solidFill>
          </w14:textFill>
        </w:rPr>
        <w:t>，</w:t>
      </w:r>
      <w:r>
        <w:rPr>
          <w:rFonts w:hint="eastAsia"/>
          <w:color w:val="000000" w:themeColor="text1"/>
          <w:lang w:val="en-GB"/>
          <w14:textFill>
            <w14:solidFill>
              <w14:schemeClr w14:val="tx1"/>
            </w14:solidFill>
          </w14:textFill>
        </w:rPr>
        <w:t>实行</w:t>
      </w:r>
      <w:r>
        <w:rPr>
          <w:color w:val="000000" w:themeColor="text1"/>
          <w14:textFill>
            <w14:solidFill>
              <w14:schemeClr w14:val="tx1"/>
            </w14:solidFill>
          </w14:textFill>
        </w:rPr>
        <w:t>1</w:t>
      </w:r>
      <w:r>
        <w:rPr>
          <w:rFonts w:hint="eastAsia"/>
          <w:color w:val="000000" w:themeColor="text1"/>
          <w:lang w:val="en-GB"/>
          <w14:textFill>
            <w14:solidFill>
              <w14:schemeClr w14:val="tx1"/>
            </w14:solidFill>
          </w14:textFill>
        </w:rPr>
        <w:t>班制。</w:t>
      </w:r>
    </w:p>
    <w:p>
      <w:pPr>
        <w:pStyle w:val="4"/>
        <w:ind w:firstLine="562"/>
        <w:rPr>
          <w:color w:val="000000" w:themeColor="text1"/>
          <w14:textFill>
            <w14:solidFill>
              <w14:schemeClr w14:val="tx1"/>
            </w14:solidFill>
          </w14:textFill>
        </w:rPr>
      </w:pPr>
      <w:bookmarkStart w:id="250" w:name="_Toc11544"/>
      <w:bookmarkStart w:id="251" w:name="_Toc26241"/>
      <w:r>
        <w:rPr>
          <w:rFonts w:hint="eastAsia"/>
          <w:color w:val="000000" w:themeColor="text1"/>
          <w14:textFill>
            <w14:solidFill>
              <w14:schemeClr w14:val="tx1"/>
            </w14:solidFill>
          </w14:textFill>
        </w:rPr>
        <w:t>安全管理台账</w:t>
      </w:r>
      <w:bookmarkEnd w:id="245"/>
      <w:bookmarkEnd w:id="246"/>
      <w:bookmarkEnd w:id="247"/>
      <w:bookmarkEnd w:id="248"/>
      <w:bookmarkEnd w:id="250"/>
      <w:bookmarkEnd w:id="25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安全管理台账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劳动用品发放记录</w:t>
      </w:r>
      <w:r>
        <w:rPr>
          <w:color w:val="000000" w:themeColor="text1"/>
          <w14:textFill>
            <w14:solidFill>
              <w14:schemeClr w14:val="tx1"/>
            </w14:solidFill>
          </w14:textFill>
        </w:rPr>
        <w:t>、安全教育培训记录</w:t>
      </w:r>
      <w:r>
        <w:rPr>
          <w:rFonts w:hint="eastAsia"/>
          <w:color w:val="000000" w:themeColor="text1"/>
          <w14:textFill>
            <w14:solidFill>
              <w14:schemeClr w14:val="tx1"/>
            </w14:solidFill>
          </w14:textFill>
        </w:rPr>
        <w:t>、应急预案演练记录等</w:t>
      </w:r>
      <w:r>
        <w:rPr>
          <w:color w:val="000000" w:themeColor="text1"/>
          <w14:textFill>
            <w14:solidFill>
              <w14:schemeClr w14:val="tx1"/>
            </w14:solidFill>
          </w14:textFill>
        </w:rPr>
        <w:t>。</w:t>
      </w:r>
    </w:p>
    <w:p>
      <w:pPr>
        <w:pStyle w:val="4"/>
        <w:ind w:firstLine="562"/>
        <w:rPr>
          <w:color w:val="000000" w:themeColor="text1"/>
          <w14:textFill>
            <w14:solidFill>
              <w14:schemeClr w14:val="tx1"/>
            </w14:solidFill>
          </w14:textFill>
        </w:rPr>
      </w:pPr>
      <w:bookmarkStart w:id="252" w:name="_Toc27237"/>
      <w:bookmarkStart w:id="253" w:name="_Toc385497279"/>
      <w:bookmarkStart w:id="254" w:name="_Toc8749"/>
      <w:bookmarkStart w:id="255" w:name="_Toc211394825"/>
      <w:bookmarkStart w:id="256" w:name="_Toc195176731"/>
      <w:r>
        <w:rPr>
          <w:rFonts w:hint="eastAsia"/>
          <w:color w:val="000000" w:themeColor="text1"/>
          <w14:textFill>
            <w14:solidFill>
              <w14:schemeClr w14:val="tx1"/>
            </w14:solidFill>
          </w14:textFill>
        </w:rPr>
        <w:t>人员培训情况</w:t>
      </w:r>
      <w:bookmarkEnd w:id="252"/>
      <w:bookmarkEnd w:id="253"/>
      <w:bookmarkEnd w:id="254"/>
    </w:p>
    <w:bookmarkEnd w:id="255"/>
    <w:bookmarkEnd w:id="256"/>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该站主要负责人</w:t>
      </w:r>
      <w:r>
        <w:rPr>
          <w:color w:val="000000" w:themeColor="text1"/>
          <w14:textFill>
            <w14:solidFill>
              <w14:schemeClr w14:val="tx1"/>
            </w14:solidFill>
          </w14:textFill>
        </w:rPr>
        <w:t>经过</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部门组织的安全培训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从业人员同时经过</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内部安全培训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加油站</w:t>
      </w:r>
      <w:r>
        <w:rPr>
          <w:rFonts w:hint="eastAsia"/>
          <w:color w:val="000000" w:themeColor="text1"/>
          <w14:textFill>
            <w14:solidFill>
              <w14:schemeClr w14:val="tx1"/>
            </w14:solidFill>
          </w14:textFill>
        </w:rPr>
        <w:t>持证人员</w:t>
      </w:r>
      <w:r>
        <w:rPr>
          <w:color w:val="000000" w:themeColor="text1"/>
          <w14:textFill>
            <w14:solidFill>
              <w14:schemeClr w14:val="tx1"/>
            </w14:solidFill>
          </w14:textFill>
        </w:rPr>
        <w:t>情况见表2-</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表2-9 </w:t>
      </w:r>
      <w:r>
        <w:rPr>
          <w:color w:val="000000" w:themeColor="text1"/>
          <w14:textFill>
            <w14:solidFill>
              <w14:schemeClr w14:val="tx1"/>
            </w14:solidFill>
          </w14:textFill>
        </w:rPr>
        <w:t>加油站持证人员情况一览表</w:t>
      </w:r>
    </w:p>
    <w:tbl>
      <w:tblPr>
        <w:tblStyle w:val="3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87"/>
        <w:gridCol w:w="1645"/>
        <w:gridCol w:w="2210"/>
        <w:gridCol w:w="20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姓名</w:t>
            </w:r>
          </w:p>
        </w:tc>
        <w:tc>
          <w:tcPr>
            <w:tcW w:w="88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性别</w:t>
            </w:r>
          </w:p>
        </w:tc>
        <w:tc>
          <w:tcPr>
            <w:tcW w:w="164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职务或职称</w:t>
            </w:r>
          </w:p>
        </w:tc>
        <w:tc>
          <w:tcPr>
            <w:tcW w:w="221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证书编号</w:t>
            </w:r>
          </w:p>
        </w:tc>
        <w:tc>
          <w:tcPr>
            <w:tcW w:w="201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发证机关</w:t>
            </w:r>
          </w:p>
        </w:tc>
        <w:tc>
          <w:tcPr>
            <w:tcW w:w="131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朱洪贵</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主要负责人</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35030119940404045X</w:t>
            </w:r>
          </w:p>
        </w:tc>
        <w:tc>
          <w:tcPr>
            <w:tcW w:w="20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13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2025.9.17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bookmarkStart w:id="257" w:name="_Toc19637"/>
            <w:bookmarkStart w:id="258" w:name="_Toc236123697"/>
            <w:bookmarkStart w:id="259" w:name="_Toc208398702"/>
            <w:bookmarkStart w:id="260" w:name="_Toc248220546"/>
            <w:bookmarkStart w:id="261" w:name="_Toc275268747"/>
            <w:bookmarkStart w:id="262" w:name="_Toc235587833"/>
            <w:bookmarkStart w:id="263" w:name="_Toc194389908"/>
            <w:r>
              <w:rPr>
                <w:rFonts w:hint="eastAsia"/>
                <w:color w:val="000000" w:themeColor="text1"/>
                <w:sz w:val="21"/>
                <w:szCs w:val="21"/>
                <w:lang w:val="en-US" w:eastAsia="zh-CN"/>
                <w14:textFill>
                  <w14:solidFill>
                    <w14:schemeClr w14:val="tx1"/>
                  </w14:solidFill>
                </w14:textFill>
              </w:rPr>
              <w:t>郭嘉鹏</w:t>
            </w:r>
          </w:p>
        </w:tc>
        <w:tc>
          <w:tcPr>
            <w:tcW w:w="8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6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安全员</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350322200202140812</w:t>
            </w:r>
          </w:p>
        </w:tc>
        <w:tc>
          <w:tcPr>
            <w:tcW w:w="20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13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default" w:ascii="宋体" w:hAnsi="宋体" w:eastAsia="宋体"/>
                <w:color w:val="000000" w:themeColor="text1"/>
                <w:sz w:val="21"/>
                <w:szCs w:val="21"/>
                <w:lang w:val="en-US" w:eastAsia="zh-CN"/>
                <w14:textFill>
                  <w14:solidFill>
                    <w14:schemeClr w14:val="tx1"/>
                  </w14:solidFill>
                </w14:textFill>
              </w:rPr>
              <w:t>202</w:t>
            </w:r>
            <w:r>
              <w:rPr>
                <w:rFonts w:hint="eastAsia" w:ascii="宋体" w:hAnsi="宋体" w:eastAsia="宋体"/>
                <w:color w:val="000000" w:themeColor="text1"/>
                <w:sz w:val="21"/>
                <w:szCs w:val="21"/>
                <w:lang w:val="en-US" w:eastAsia="zh-CN"/>
                <w14:textFill>
                  <w14:solidFill>
                    <w14:schemeClr w14:val="tx1"/>
                  </w14:solidFill>
                </w14:textFill>
              </w:rPr>
              <w:t>7.7.24</w:t>
            </w:r>
          </w:p>
        </w:tc>
      </w:tr>
    </w:tbl>
    <w:p>
      <w:pPr>
        <w:pStyle w:val="4"/>
        <w:ind w:firstLine="562"/>
        <w:rPr>
          <w:color w:val="000000" w:themeColor="text1"/>
          <w14:textFill>
            <w14:solidFill>
              <w14:schemeClr w14:val="tx1"/>
            </w14:solidFill>
          </w14:textFill>
        </w:rPr>
      </w:pPr>
      <w:bookmarkStart w:id="264" w:name="_Toc17104"/>
      <w:r>
        <w:rPr>
          <w:color w:val="000000" w:themeColor="text1"/>
          <w14:textFill>
            <w14:solidFill>
              <w14:schemeClr w14:val="tx1"/>
            </w14:solidFill>
          </w14:textFill>
        </w:rPr>
        <w:t>从业人员保险</w:t>
      </w:r>
      <w:bookmarkEnd w:id="257"/>
      <w:bookmarkEnd w:id="264"/>
    </w:p>
    <w:p>
      <w:pPr>
        <w:rPr>
          <w:color w:val="000000" w:themeColor="text1"/>
          <w:lang w:val="zh-CN"/>
          <w14:textFill>
            <w14:solidFill>
              <w14:schemeClr w14:val="tx1"/>
            </w14:solidFill>
          </w14:textFill>
        </w:rPr>
      </w:pPr>
      <w:r>
        <w:rPr>
          <w:rFonts w:hint="eastAsia"/>
          <w:color w:val="000000" w:themeColor="text1"/>
          <w:lang w:eastAsia="zh-CN"/>
          <w14:textFill>
            <w14:solidFill>
              <w14:schemeClr w14:val="tx1"/>
            </w14:solidFill>
          </w14:textFill>
        </w:rPr>
        <w:t>丘北县树皮路顺加油站</w:t>
      </w:r>
      <w:r>
        <w:rPr>
          <w:color w:val="000000" w:themeColor="text1"/>
          <w:lang w:val="zh-CN"/>
          <w14:textFill>
            <w14:solidFill>
              <w14:schemeClr w14:val="tx1"/>
            </w14:solidFill>
          </w14:textFill>
        </w:rPr>
        <w:t>为从业人员购</w:t>
      </w:r>
      <w:r>
        <w:rPr>
          <w:rFonts w:hint="eastAsia"/>
          <w:color w:val="000000" w:themeColor="text1"/>
          <w14:textFill>
            <w14:solidFill>
              <w14:schemeClr w14:val="tx1"/>
            </w14:solidFill>
          </w14:textFill>
        </w:rPr>
        <w:t>买了</w:t>
      </w:r>
      <w:r>
        <w:rPr>
          <w:rFonts w:hint="eastAsia"/>
          <w:color w:val="000000" w:themeColor="text1"/>
          <w:lang w:val="en-US" w:eastAsia="zh-CN"/>
          <w14:textFill>
            <w14:solidFill>
              <w14:schemeClr w14:val="tx1"/>
            </w14:solidFill>
          </w14:textFill>
        </w:rPr>
        <w:t>工伤保险及安全生产责任保险</w:t>
      </w:r>
      <w:r>
        <w:rPr>
          <w:rFonts w:hint="eastAsia"/>
          <w:color w:val="000000" w:themeColor="text1"/>
          <w14:textFill>
            <w14:solidFill>
              <w14:schemeClr w14:val="tx1"/>
            </w14:solidFill>
          </w14:textFill>
        </w:rPr>
        <w:t>，详见附件</w:t>
      </w:r>
      <w:r>
        <w:rPr>
          <w:color w:val="000000" w:themeColor="text1"/>
          <w:lang w:val="zh-CN"/>
          <w14:textFill>
            <w14:solidFill>
              <w14:schemeClr w14:val="tx1"/>
            </w14:solidFill>
          </w14:textFill>
        </w:rPr>
        <w:t>。</w:t>
      </w:r>
    </w:p>
    <w:p>
      <w:pPr>
        <w:pStyle w:val="4"/>
        <w:ind w:firstLine="562"/>
        <w:rPr>
          <w:color w:val="000000" w:themeColor="text1"/>
          <w14:textFill>
            <w14:solidFill>
              <w14:schemeClr w14:val="tx1"/>
            </w14:solidFill>
          </w14:textFill>
        </w:rPr>
      </w:pPr>
      <w:bookmarkStart w:id="265" w:name="_Toc14793"/>
      <w:bookmarkStart w:id="266" w:name="_Toc8864"/>
      <w:r>
        <w:rPr>
          <w:color w:val="000000" w:themeColor="text1"/>
          <w14:textFill>
            <w14:solidFill>
              <w14:schemeClr w14:val="tx1"/>
            </w14:solidFill>
          </w14:textFill>
        </w:rPr>
        <w:t>安全投入情况</w:t>
      </w:r>
      <w:bookmarkEnd w:id="265"/>
      <w:bookmarkEnd w:id="266"/>
    </w:p>
    <w:p>
      <w:pPr>
        <w:rPr>
          <w:rFonts w:hint="default" w:eastAsia="宋体"/>
          <w:color w:val="000000" w:themeColor="text1"/>
          <w:lang w:val="en-US" w:eastAsia="zh-CN"/>
          <w14:textFill>
            <w14:solidFill>
              <w14:schemeClr w14:val="tx1"/>
            </w14:solidFill>
          </w14:textFill>
        </w:rPr>
      </w:pPr>
      <w:r>
        <w:rPr>
          <w:rFonts w:hint="eastAsia"/>
          <w:color w:val="000000" w:themeColor="text1"/>
          <w:kern w:val="0"/>
          <w:szCs w:val="28"/>
          <w:lang w:eastAsia="zh-CN"/>
          <w14:textFill>
            <w14:solidFill>
              <w14:schemeClr w14:val="tx1"/>
            </w14:solidFill>
          </w14:textFill>
        </w:rPr>
        <w:t>丘北县树皮路顺加油站</w:t>
      </w:r>
      <w:r>
        <w:rPr>
          <w:rFonts w:hint="eastAsia"/>
          <w:color w:val="000000" w:themeColor="text1"/>
          <w:kern w:val="0"/>
          <w:szCs w:val="28"/>
          <w:lang w:val="en-US" w:eastAsia="zh-CN"/>
          <w14:textFill>
            <w14:solidFill>
              <w14:schemeClr w14:val="tx1"/>
            </w14:solidFill>
          </w14:textFill>
        </w:rPr>
        <w:t>2025年1</w:t>
      </w:r>
      <w:r>
        <w:rPr>
          <w:rFonts w:hint="default" w:ascii="Times New Roman" w:hAnsi="Times New Roman" w:cs="Times New Roman"/>
          <w:color w:val="000000" w:themeColor="text1"/>
          <w:kern w:val="0"/>
          <w:szCs w:val="28"/>
          <w:lang w:val="en-US" w:eastAsia="zh-CN"/>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3月</w:t>
      </w:r>
      <w:r>
        <w:rPr>
          <w:rFonts w:hint="eastAsia"/>
          <w:color w:val="000000" w:themeColor="text1"/>
          <w:kern w:val="0"/>
          <w:szCs w:val="28"/>
          <w:lang w:eastAsia="zh-CN"/>
          <w14:textFill>
            <w14:solidFill>
              <w14:schemeClr w14:val="tx1"/>
            </w14:solidFill>
          </w14:textFill>
        </w:rPr>
        <w:t>固定投入安全专项资金</w:t>
      </w:r>
      <w:r>
        <w:rPr>
          <w:rFonts w:hint="eastAsia"/>
          <w:color w:val="000000" w:themeColor="text1"/>
          <w:kern w:val="0"/>
          <w:szCs w:val="28"/>
          <w:lang w:val="en-US" w:eastAsia="zh-CN"/>
          <w14:textFill>
            <w14:solidFill>
              <w14:schemeClr w14:val="tx1"/>
            </w14:solidFill>
          </w14:textFill>
        </w:rPr>
        <w:t>1万元</w:t>
      </w:r>
      <w:r>
        <w:rPr>
          <w:rFonts w:hint="eastAsia"/>
          <w:color w:val="000000" w:themeColor="text1"/>
          <w:kern w:val="0"/>
          <w:szCs w:val="28"/>
          <w:lang w:eastAsia="zh-CN"/>
          <w14:textFill>
            <w14:solidFill>
              <w14:schemeClr w14:val="tx1"/>
            </w14:solidFill>
          </w14:textFill>
        </w:rPr>
        <w:t>，主要用于加油站消防设施保养及维护、从业人员劳保用品的购买、防雷防静电设施及站内其他安全设施保养维护等。</w:t>
      </w:r>
    </w:p>
    <w:bookmarkEnd w:id="258"/>
    <w:bookmarkEnd w:id="259"/>
    <w:bookmarkEnd w:id="260"/>
    <w:bookmarkEnd w:id="261"/>
    <w:bookmarkEnd w:id="262"/>
    <w:bookmarkEnd w:id="263"/>
    <w:p>
      <w:pPr>
        <w:pStyle w:val="3"/>
        <w:rPr>
          <w:color w:val="000000" w:themeColor="text1"/>
          <w14:textFill>
            <w14:solidFill>
              <w14:schemeClr w14:val="tx1"/>
            </w14:solidFill>
          </w14:textFill>
        </w:rPr>
      </w:pPr>
      <w:bookmarkStart w:id="267" w:name="_Toc20078"/>
      <w:bookmarkStart w:id="268" w:name="_Toc18419"/>
      <w:bookmarkStart w:id="269" w:name="_Toc387163401"/>
      <w:bookmarkStart w:id="270" w:name="_Toc236123698"/>
      <w:bookmarkStart w:id="271" w:name="_Toc275268748"/>
      <w:bookmarkStart w:id="272" w:name="_Toc235587834"/>
      <w:bookmarkStart w:id="273" w:name="_Toc248220547"/>
      <w:r>
        <w:rPr>
          <w:color w:val="000000" w:themeColor="text1"/>
          <w14:textFill>
            <w14:solidFill>
              <w14:schemeClr w14:val="tx1"/>
            </w14:solidFill>
          </w14:textFill>
        </w:rPr>
        <w:t>应急管理</w:t>
      </w:r>
      <w:bookmarkEnd w:id="267"/>
      <w:bookmarkEnd w:id="268"/>
      <w:bookmarkEnd w:id="269"/>
    </w:p>
    <w:p>
      <w:pPr>
        <w:pStyle w:val="4"/>
        <w:ind w:firstLine="562"/>
        <w:rPr>
          <w:color w:val="000000" w:themeColor="text1"/>
          <w14:textFill>
            <w14:solidFill>
              <w14:schemeClr w14:val="tx1"/>
            </w14:solidFill>
          </w14:textFill>
        </w:rPr>
      </w:pPr>
      <w:bookmarkStart w:id="274" w:name="_Toc11233"/>
      <w:bookmarkStart w:id="275" w:name="_Toc29968"/>
      <w:bookmarkStart w:id="276" w:name="_Toc237319984"/>
      <w:r>
        <w:rPr>
          <w:color w:val="000000" w:themeColor="text1"/>
          <w14:textFill>
            <w14:solidFill>
              <w14:schemeClr w14:val="tx1"/>
            </w14:solidFill>
          </w14:textFill>
        </w:rPr>
        <w:t>应急预案</w:t>
      </w:r>
      <w:bookmarkEnd w:id="274"/>
      <w:bookmarkEnd w:id="275"/>
      <w:bookmarkEnd w:id="276"/>
    </w:p>
    <w:p>
      <w:pPr>
        <w:widowControl/>
        <w:snapToGrid/>
        <w:jc w:val="left"/>
        <w:rPr>
          <w:color w:val="000000" w:themeColor="text1"/>
          <w:kern w:val="0"/>
          <w:szCs w:val="28"/>
          <w14:textFill>
            <w14:solidFill>
              <w14:schemeClr w14:val="tx1"/>
            </w14:solidFill>
          </w14:textFill>
        </w:rPr>
      </w:pPr>
      <w:bookmarkStart w:id="277" w:name="_Toc237319985"/>
      <w:r>
        <w:rPr>
          <w:rFonts w:hint="eastAsia"/>
          <w:color w:val="000000" w:themeColor="text1"/>
          <w:kern w:val="0"/>
          <w:szCs w:val="28"/>
          <w:lang w:eastAsia="zh-CN"/>
          <w14:textFill>
            <w14:solidFill>
              <w14:schemeClr w14:val="tx1"/>
            </w14:solidFill>
          </w14:textFill>
        </w:rPr>
        <w:t>丘北县树皮路顺加油站</w:t>
      </w:r>
      <w:r>
        <w:rPr>
          <w:rFonts w:hint="eastAsia"/>
          <w:color w:val="000000" w:themeColor="text1"/>
          <w:kern w:val="0"/>
          <w:szCs w:val="28"/>
          <w14:textFill>
            <w14:solidFill>
              <w14:schemeClr w14:val="tx1"/>
            </w14:solidFill>
          </w14:textFill>
        </w:rPr>
        <w:t>编制</w:t>
      </w:r>
      <w:r>
        <w:rPr>
          <w:color w:val="000000" w:themeColor="text1"/>
          <w:kern w:val="0"/>
          <w:szCs w:val="28"/>
          <w14:textFill>
            <w14:solidFill>
              <w14:schemeClr w14:val="tx1"/>
            </w14:solidFill>
          </w14:textFill>
        </w:rPr>
        <w:t>了</w:t>
      </w:r>
      <w:r>
        <w:rPr>
          <w:rFonts w:hint="eastAsia"/>
          <w:color w:val="000000" w:themeColor="text1"/>
          <w:kern w:val="0"/>
          <w:szCs w:val="28"/>
          <w14:textFill>
            <w14:solidFill>
              <w14:schemeClr w14:val="tx1"/>
            </w14:solidFill>
          </w14:textFill>
        </w:rPr>
        <w:t>《</w:t>
      </w:r>
      <w:r>
        <w:rPr>
          <w:rFonts w:hint="eastAsia"/>
          <w:color w:val="000000" w:themeColor="text1"/>
          <w:kern w:val="0"/>
          <w:szCs w:val="28"/>
          <w:lang w:eastAsia="zh-CN"/>
          <w14:textFill>
            <w14:solidFill>
              <w14:schemeClr w14:val="tx1"/>
            </w14:solidFill>
          </w14:textFill>
        </w:rPr>
        <w:t>丘北县树皮路顺加油站</w:t>
      </w:r>
      <w:r>
        <w:rPr>
          <w:rFonts w:hint="eastAsia"/>
          <w:color w:val="000000" w:themeColor="text1"/>
          <w:kern w:val="0"/>
          <w:szCs w:val="28"/>
          <w14:textFill>
            <w14:solidFill>
              <w14:schemeClr w14:val="tx1"/>
            </w14:solidFill>
          </w14:textFill>
        </w:rPr>
        <w:t>生产安全事故综合应急预</w:t>
      </w:r>
      <w:r>
        <w:rPr>
          <w:color w:val="000000" w:themeColor="text1"/>
          <w:kern w:val="0"/>
          <w:szCs w:val="28"/>
          <w14:textFill>
            <w14:solidFill>
              <w14:schemeClr w14:val="tx1"/>
            </w14:solidFill>
          </w14:textFill>
        </w:rPr>
        <w:t>案》</w:t>
      </w:r>
      <w:r>
        <w:rPr>
          <w:rFonts w:hint="eastAsia"/>
          <w:color w:val="000000" w:themeColor="text1"/>
          <w:kern w:val="0"/>
          <w:szCs w:val="28"/>
          <w14:textFill>
            <w14:solidFill>
              <w14:schemeClr w14:val="tx1"/>
            </w14:solidFill>
          </w14:textFill>
        </w:rPr>
        <w:t>，于202</w:t>
      </w:r>
      <w:r>
        <w:rPr>
          <w:rFonts w:hint="eastAsia"/>
          <w:color w:val="000000" w:themeColor="text1"/>
          <w:kern w:val="0"/>
          <w:szCs w:val="28"/>
          <w:lang w:val="en-US" w:eastAsia="zh-CN"/>
          <w14:textFill>
            <w14:solidFill>
              <w14:schemeClr w14:val="tx1"/>
            </w14:solidFill>
          </w14:textFill>
        </w:rPr>
        <w:t>5</w:t>
      </w:r>
      <w:r>
        <w:rPr>
          <w:color w:val="000000" w:themeColor="text1"/>
          <w:kern w:val="0"/>
          <w:szCs w:val="28"/>
          <w14:textFill>
            <w14:solidFill>
              <w14:schemeClr w14:val="tx1"/>
            </w14:solidFill>
          </w14:textFill>
        </w:rPr>
        <w:t>年</w:t>
      </w:r>
      <w:r>
        <w:rPr>
          <w:rFonts w:hint="eastAsia"/>
          <w:color w:val="000000" w:themeColor="text1"/>
          <w:kern w:val="0"/>
          <w:szCs w:val="28"/>
          <w:lang w:val="en-US" w:eastAsia="zh-CN"/>
          <w14:textFill>
            <w14:solidFill>
              <w14:schemeClr w14:val="tx1"/>
            </w14:solidFill>
          </w14:textFill>
        </w:rPr>
        <w:t>1</w:t>
      </w:r>
      <w:r>
        <w:rPr>
          <w:rFonts w:hint="eastAsia"/>
          <w:color w:val="000000" w:themeColor="text1"/>
          <w:kern w:val="0"/>
          <w:szCs w:val="28"/>
          <w14:textFill>
            <w14:solidFill>
              <w14:schemeClr w14:val="tx1"/>
            </w14:solidFill>
          </w14:textFill>
        </w:rPr>
        <w:t>月</w:t>
      </w:r>
      <w:r>
        <w:rPr>
          <w:rFonts w:hint="eastAsia"/>
          <w:color w:val="000000" w:themeColor="text1"/>
          <w:kern w:val="0"/>
          <w:szCs w:val="28"/>
          <w:lang w:val="en-US" w:eastAsia="zh-CN"/>
          <w14:textFill>
            <w14:solidFill>
              <w14:schemeClr w14:val="tx1"/>
            </w14:solidFill>
          </w14:textFill>
        </w:rPr>
        <w:t>15</w:t>
      </w:r>
      <w:r>
        <w:rPr>
          <w:rFonts w:hint="eastAsia"/>
          <w:color w:val="000000" w:themeColor="text1"/>
          <w:kern w:val="0"/>
          <w:szCs w:val="28"/>
          <w14:textFill>
            <w14:solidFill>
              <w14:schemeClr w14:val="tx1"/>
            </w14:solidFill>
          </w14:textFill>
        </w:rPr>
        <w:t>日到</w:t>
      </w:r>
      <w:r>
        <w:rPr>
          <w:rFonts w:hint="eastAsia"/>
          <w:color w:val="000000" w:themeColor="text1"/>
          <w:kern w:val="0"/>
          <w:szCs w:val="28"/>
          <w:lang w:val="en-US" w:eastAsia="zh-CN"/>
          <w14:textFill>
            <w14:solidFill>
              <w14:schemeClr w14:val="tx1"/>
            </w14:solidFill>
          </w14:textFill>
        </w:rPr>
        <w:t>丘北县</w:t>
      </w:r>
      <w:r>
        <w:rPr>
          <w:rFonts w:hint="eastAsia"/>
          <w:color w:val="000000" w:themeColor="text1"/>
          <w:kern w:val="0"/>
          <w:szCs w:val="28"/>
          <w14:textFill>
            <w14:solidFill>
              <w14:schemeClr w14:val="tx1"/>
            </w14:solidFill>
          </w14:textFill>
        </w:rPr>
        <w:t>应急管理局完成备案，备案编号：</w:t>
      </w:r>
      <w:r>
        <w:rPr>
          <w:rFonts w:hint="eastAsia"/>
          <w:color w:val="000000" w:themeColor="text1"/>
          <w:kern w:val="0"/>
          <w:szCs w:val="28"/>
          <w:lang w:val="en-US" w:eastAsia="zh-CN"/>
          <w14:textFill>
            <w14:solidFill>
              <w14:schemeClr w14:val="tx1"/>
            </w14:solidFill>
          </w14:textFill>
        </w:rPr>
        <w:t>532626</w:t>
      </w:r>
      <w:r>
        <w:rPr>
          <w:rFonts w:hint="eastAsia"/>
          <w:color w:val="000000" w:themeColor="text1"/>
          <w:kern w:val="0"/>
          <w:szCs w:val="28"/>
          <w14:textFill>
            <w14:solidFill>
              <w14:schemeClr w14:val="tx1"/>
            </w14:solidFill>
          </w14:textFill>
        </w:rPr>
        <w:t>-2025-00</w:t>
      </w:r>
      <w:r>
        <w:rPr>
          <w:rFonts w:hint="eastAsia"/>
          <w:color w:val="000000" w:themeColor="text1"/>
          <w:kern w:val="0"/>
          <w:szCs w:val="28"/>
          <w:lang w:val="en-US" w:eastAsia="zh-CN"/>
          <w14:textFill>
            <w14:solidFill>
              <w14:schemeClr w14:val="tx1"/>
            </w14:solidFill>
          </w14:textFill>
        </w:rPr>
        <w:t>3</w:t>
      </w:r>
      <w:r>
        <w:rPr>
          <w:rFonts w:hint="eastAsia"/>
          <w:color w:val="000000" w:themeColor="text1"/>
          <w:kern w:val="0"/>
          <w:szCs w:val="28"/>
          <w14:textFill>
            <w14:solidFill>
              <w14:schemeClr w14:val="tx1"/>
            </w14:solidFill>
          </w14:textFill>
        </w:rPr>
        <w:t>。</w:t>
      </w:r>
    </w:p>
    <w:p>
      <w:pPr>
        <w:pStyle w:val="4"/>
        <w:ind w:firstLine="562"/>
        <w:rPr>
          <w:color w:val="000000" w:themeColor="text1"/>
          <w14:textFill>
            <w14:solidFill>
              <w14:schemeClr w14:val="tx1"/>
            </w14:solidFill>
          </w14:textFill>
        </w:rPr>
      </w:pPr>
      <w:bookmarkStart w:id="278" w:name="_Toc24017"/>
      <w:bookmarkStart w:id="279" w:name="_Toc10988"/>
      <w:r>
        <w:rPr>
          <w:color w:val="000000" w:themeColor="text1"/>
          <w14:textFill>
            <w14:solidFill>
              <w14:schemeClr w14:val="tx1"/>
            </w14:solidFill>
          </w14:textFill>
        </w:rPr>
        <w:t>应急救援组织</w:t>
      </w:r>
      <w:bookmarkEnd w:id="277"/>
      <w:bookmarkEnd w:id="278"/>
      <w:bookmarkEnd w:id="279"/>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为及时处理加油站可能出现的事故</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加油站成立了相应的事故应急领导小组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组长为加油站</w:t>
      </w:r>
      <w:r>
        <w:rPr>
          <w:rFonts w:hint="eastAsia"/>
          <w:color w:val="000000" w:themeColor="text1"/>
          <w:lang w:val="zh-CN"/>
          <w14:textFill>
            <w14:solidFill>
              <w14:schemeClr w14:val="tx1"/>
            </w14:solidFill>
          </w14:textFill>
        </w:rPr>
        <w:t>负责人，</w:t>
      </w:r>
      <w:r>
        <w:rPr>
          <w:color w:val="000000" w:themeColor="text1"/>
          <w:lang w:val="zh-CN"/>
          <w14:textFill>
            <w14:solidFill>
              <w14:schemeClr w14:val="tx1"/>
            </w14:solidFill>
          </w14:textFill>
        </w:rPr>
        <w:t>由组长指挥进行事故处理。</w:t>
      </w:r>
    </w:p>
    <w:p>
      <w:pPr>
        <w:pStyle w:val="4"/>
        <w:ind w:firstLine="562"/>
        <w:rPr>
          <w:color w:val="000000" w:themeColor="text1"/>
          <w14:textFill>
            <w14:solidFill>
              <w14:schemeClr w14:val="tx1"/>
            </w14:solidFill>
          </w14:textFill>
        </w:rPr>
      </w:pPr>
      <w:bookmarkStart w:id="280" w:name="_Toc237319986"/>
      <w:bookmarkStart w:id="281" w:name="_Toc25223"/>
      <w:bookmarkStart w:id="282" w:name="_Toc17857"/>
      <w:r>
        <w:rPr>
          <w:color w:val="000000" w:themeColor="text1"/>
          <w14:textFill>
            <w14:solidFill>
              <w14:schemeClr w14:val="tx1"/>
            </w14:solidFill>
          </w14:textFill>
        </w:rPr>
        <w:t>器材配备</w:t>
      </w:r>
      <w:bookmarkEnd w:id="280"/>
      <w:bookmarkEnd w:id="281"/>
      <w:bookmarkEnd w:id="282"/>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根据加油站可能出现的事故类型</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加油站在现场配置了相应的救援器材</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主要有灭火器、灭火毯、消防桶、消防铲、消防</w:t>
      </w:r>
      <w:r>
        <w:rPr>
          <w:rFonts w:hint="eastAsia"/>
          <w:color w:val="000000" w:themeColor="text1"/>
          <w14:textFill>
            <w14:solidFill>
              <w14:schemeClr w14:val="tx1"/>
            </w14:solidFill>
          </w14:textFill>
        </w:rPr>
        <w:t>沙</w:t>
      </w:r>
      <w:r>
        <w:rPr>
          <w:color w:val="000000" w:themeColor="text1"/>
          <w:lang w:val="zh-CN"/>
          <w14:textFill>
            <w14:solidFill>
              <w14:schemeClr w14:val="tx1"/>
            </w14:solidFill>
          </w14:textFill>
        </w:rPr>
        <w:t>等。</w:t>
      </w:r>
    </w:p>
    <w:p>
      <w:pPr>
        <w:pStyle w:val="4"/>
        <w:ind w:firstLine="562"/>
        <w:rPr>
          <w:color w:val="000000" w:themeColor="text1"/>
          <w14:textFill>
            <w14:solidFill>
              <w14:schemeClr w14:val="tx1"/>
            </w14:solidFill>
          </w14:textFill>
        </w:rPr>
      </w:pPr>
      <w:bookmarkStart w:id="283" w:name="_Toc21242"/>
      <w:bookmarkStart w:id="284" w:name="_Toc10695"/>
      <w:bookmarkStart w:id="285" w:name="_Toc237319987"/>
      <w:r>
        <w:rPr>
          <w:color w:val="000000" w:themeColor="text1"/>
          <w14:textFill>
            <w14:solidFill>
              <w14:schemeClr w14:val="tx1"/>
            </w14:solidFill>
          </w14:textFill>
        </w:rPr>
        <w:t>演练情况</w:t>
      </w:r>
      <w:bookmarkEnd w:id="283"/>
      <w:bookmarkEnd w:id="284"/>
      <w:bookmarkEnd w:id="285"/>
    </w:p>
    <w:p>
      <w:pPr>
        <w:keepNext w:val="0"/>
        <w:keepLines w:val="0"/>
        <w:pageBreakBefore w:val="0"/>
        <w:widowControl w:val="0"/>
        <w:kinsoku/>
        <w:wordWrap/>
        <w:overflowPunct/>
        <w:topLinePunct w:val="0"/>
        <w:autoSpaceDE/>
        <w:autoSpaceDN/>
        <w:bidi w:val="0"/>
        <w:adjustRightInd/>
        <w:snapToGrid w:val="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丘北县树皮路顺加油站按《生产安全事故应急条例》（国务</w:t>
      </w:r>
      <w:r>
        <w:rPr>
          <w:rFonts w:hint="eastAsia"/>
          <w:color w:val="000000" w:themeColor="text1"/>
          <w14:textFill>
            <w14:solidFill>
              <w14:schemeClr w14:val="tx1"/>
            </w14:solidFill>
          </w14:textFill>
        </w:rPr>
        <w:t>院</w:t>
      </w:r>
      <w:r>
        <w:rPr>
          <w:rFonts w:hint="eastAsia"/>
          <w:color w:val="000000" w:themeColor="text1"/>
          <w:lang w:val="zh-CN"/>
          <w14:textFill>
            <w14:solidFill>
              <w14:schemeClr w14:val="tx1"/>
            </w14:solidFill>
          </w14:textFill>
        </w:rPr>
        <w:t>令第</w:t>
      </w:r>
      <w:r>
        <w:rPr>
          <w:rFonts w:hint="eastAsia"/>
          <w:color w:val="000000" w:themeColor="text1"/>
          <w14:textFill>
            <w14:solidFill>
              <w14:schemeClr w14:val="tx1"/>
            </w14:solidFill>
          </w14:textFill>
        </w:rPr>
        <w:t>708号</w:t>
      </w:r>
      <w:r>
        <w:rPr>
          <w:rFonts w:hint="eastAsia"/>
          <w:color w:val="000000" w:themeColor="text1"/>
          <w:lang w:val="zh-CN"/>
          <w14:textFill>
            <w14:solidFill>
              <w14:schemeClr w14:val="tx1"/>
            </w14:solidFill>
          </w14:textFill>
        </w:rPr>
        <w:t>）及《生产安全事故应急预案管理办法》的规定和要求，定期组织相关人员进行了加油站事故应急预案培训和演练，</w:t>
      </w:r>
      <w:r>
        <w:rPr>
          <w:rFonts w:hint="eastAsia"/>
          <w:color w:val="000000" w:themeColor="text1"/>
          <w14:textFill>
            <w14:solidFill>
              <w14:schemeClr w14:val="tx1"/>
            </w14:solidFill>
          </w14:textFill>
        </w:rPr>
        <w:t>演练记录详见附件</w:t>
      </w:r>
      <w:r>
        <w:rPr>
          <w:rFonts w:hint="eastAsia"/>
          <w:color w:val="000000" w:themeColor="text1"/>
          <w:lang w:val="zh-CN"/>
          <w14:textFill>
            <w14:solidFill>
              <w14:schemeClr w14:val="tx1"/>
            </w14:solidFill>
          </w14:textFill>
        </w:rPr>
        <w:t>。</w:t>
      </w:r>
    </w:p>
    <w:p>
      <w:pPr>
        <w:pStyle w:val="3"/>
        <w:rPr>
          <w:color w:val="000000" w:themeColor="text1"/>
          <w14:textFill>
            <w14:solidFill>
              <w14:schemeClr w14:val="tx1"/>
            </w14:solidFill>
          </w14:textFill>
        </w:rPr>
      </w:pPr>
      <w:bookmarkStart w:id="286" w:name="_Toc9486"/>
      <w:bookmarkStart w:id="287" w:name="_Toc8120"/>
      <w:r>
        <w:rPr>
          <w:rFonts w:hint="eastAsia"/>
          <w:color w:val="000000" w:themeColor="text1"/>
          <w14:textFill>
            <w14:solidFill>
              <w14:schemeClr w14:val="tx1"/>
            </w14:solidFill>
          </w14:textFill>
        </w:rPr>
        <w:t>安全生产标准化情况</w:t>
      </w:r>
      <w:bookmarkEnd w:id="286"/>
      <w:bookmarkEnd w:id="287"/>
    </w:p>
    <w:p>
      <w:pPr>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该加油站于202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月取得安全生产标准化证书（三级），有效期为202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月至202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加油站按照安全生产标准运行要求，每年开展自评工作</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288" w:name="_Toc3217"/>
      <w:r>
        <w:rPr>
          <w:rFonts w:hint="eastAsia"/>
          <w:color w:val="000000" w:themeColor="text1"/>
          <w14:textFill>
            <w14:solidFill>
              <w14:schemeClr w14:val="tx1"/>
            </w14:solidFill>
          </w14:textFill>
        </w:rPr>
        <w:t>取证以来的情况</w:t>
      </w:r>
      <w:bookmarkEnd w:id="28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年度取证以来，加油站情况如下：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1.营业执照、危险化学品经营许可证、成品油零售经营批准证书在有效期内；</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年度取证以来至评价基准日，加油站规模等未发生变化；</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年度取证以来至评价基准日未发生生产安全事故</w:t>
      </w:r>
      <w:r>
        <w:rPr>
          <w:rFonts w:hint="eastAsia"/>
          <w:color w:val="000000" w:themeColor="text1"/>
          <w:lang w:val="en-US" w:eastAsia="zh-CN"/>
          <w14:textFill>
            <w14:solidFill>
              <w14:schemeClr w14:val="tx1"/>
            </w14:solidFill>
          </w14:textFill>
        </w:rPr>
        <w:t>。</w:t>
      </w:r>
    </w:p>
    <w:p>
      <w:pPr>
        <w:rPr>
          <w:color w:val="000000" w:themeColor="text1"/>
          <w14:textFill>
            <w14:solidFill>
              <w14:schemeClr w14:val="tx1"/>
            </w14:solidFill>
          </w14:textFill>
        </w:rPr>
        <w:sectPr>
          <w:footerReference r:id="rId12" w:type="default"/>
          <w:pgSz w:w="11905" w:h="16838"/>
          <w:pgMar w:top="1417" w:right="1134" w:bottom="1134" w:left="1587" w:header="850" w:footer="850" w:gutter="0"/>
          <w:cols w:space="0" w:num="1"/>
          <w:docGrid w:type="linesAndChars" w:linePitch="386" w:charSpace="0"/>
        </w:sectPr>
      </w:pPr>
    </w:p>
    <w:bookmarkEnd w:id="270"/>
    <w:bookmarkEnd w:id="271"/>
    <w:bookmarkEnd w:id="272"/>
    <w:bookmarkEnd w:id="273"/>
    <w:p>
      <w:pPr>
        <w:pStyle w:val="2"/>
        <w:spacing w:before="193" w:after="193"/>
        <w:rPr>
          <w:color w:val="000000" w:themeColor="text1"/>
          <w14:textFill>
            <w14:solidFill>
              <w14:schemeClr w14:val="tx1"/>
            </w14:solidFill>
          </w14:textFill>
        </w:rPr>
      </w:pPr>
      <w:bookmarkStart w:id="289" w:name="_Toc195156246"/>
      <w:bookmarkStart w:id="290" w:name="_Toc213232897"/>
      <w:bookmarkStart w:id="291" w:name="_Toc387135669"/>
      <w:bookmarkStart w:id="292" w:name="_Toc9396"/>
      <w:r>
        <w:rPr>
          <w:rFonts w:hint="eastAsia"/>
          <w:color w:val="000000" w:themeColor="text1"/>
          <w14:textFill>
            <w14:solidFill>
              <w14:schemeClr w14:val="tx1"/>
            </w14:solidFill>
          </w14:textFill>
        </w:rPr>
        <w:t>危险、有害因素的辨识结果及依据说明</w:t>
      </w:r>
      <w:bookmarkEnd w:id="289"/>
      <w:bookmarkEnd w:id="290"/>
      <w:bookmarkEnd w:id="291"/>
      <w:bookmarkEnd w:id="292"/>
    </w:p>
    <w:p>
      <w:pPr>
        <w:pStyle w:val="3"/>
        <w:rPr>
          <w:color w:val="000000" w:themeColor="text1"/>
          <w14:textFill>
            <w14:solidFill>
              <w14:schemeClr w14:val="tx1"/>
            </w14:solidFill>
          </w14:textFill>
        </w:rPr>
      </w:pPr>
      <w:bookmarkStart w:id="293" w:name="_Toc188863901"/>
      <w:bookmarkStart w:id="294" w:name="_Toc8250"/>
      <w:bookmarkStart w:id="295" w:name="_Toc213232898"/>
      <w:bookmarkStart w:id="296" w:name="_Toc387135670"/>
      <w:bookmarkStart w:id="297" w:name="_Toc187699903"/>
      <w:bookmarkStart w:id="298" w:name="_Toc126983512"/>
      <w:bookmarkStart w:id="299" w:name="_Toc151881393"/>
      <w:bookmarkStart w:id="300" w:name="_Toc116653369"/>
      <w:bookmarkStart w:id="301" w:name="_Toc156661656"/>
      <w:bookmarkStart w:id="302" w:name="_Toc137953284"/>
      <w:bookmarkStart w:id="303" w:name="_Toc116653366"/>
      <w:r>
        <w:rPr>
          <w:rFonts w:hint="eastAsia"/>
          <w:color w:val="000000" w:themeColor="text1"/>
          <w14:textFill>
            <w14:solidFill>
              <w14:schemeClr w14:val="tx1"/>
            </w14:solidFill>
          </w14:textFill>
        </w:rPr>
        <w:t>危险、有害因素辨识与分析的依据</w:t>
      </w:r>
      <w:bookmarkEnd w:id="293"/>
      <w:bookmarkEnd w:id="294"/>
      <w:bookmarkEnd w:id="295"/>
      <w:bookmarkEnd w:id="296"/>
      <w:bookmarkEnd w:id="297"/>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根据危险有害因素的定义、产生原因及其分类，对系统中固有危险、相关危险有害因素及贮运过程的危险有害因素进行辨识与分析，采用的相关依据如下：</w:t>
      </w:r>
    </w:p>
    <w:bookmarkEnd w:id="298"/>
    <w:bookmarkEnd w:id="299"/>
    <w:bookmarkEnd w:id="300"/>
    <w:bookmarkEnd w:id="301"/>
    <w:bookmarkEnd w:id="302"/>
    <w:bookmarkEnd w:id="303"/>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bookmarkStart w:id="304" w:name="_Toc456527705"/>
      <w:bookmarkStart w:id="305" w:name="_Toc363315937"/>
      <w:bookmarkStart w:id="306" w:name="_Toc360569542"/>
      <w:bookmarkStart w:id="307" w:name="_Toc213232899"/>
      <w:bookmarkStart w:id="308" w:name="_Toc387135671"/>
      <w:bookmarkStart w:id="309" w:name="_Toc195156248"/>
      <w:r>
        <w:rPr>
          <w:rFonts w:hint="eastAsia"/>
          <w:color w:val="000000" w:themeColor="text1"/>
          <w14:textFill>
            <w14:solidFill>
              <w14:schemeClr w14:val="tx1"/>
            </w14:solidFill>
          </w14:textFill>
        </w:rPr>
        <w:t>《危险化学品安全管理条例》（国务院令第591号，645号令修订）；</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《企业职工伤亡事故分类》（GB6441-1986）；</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《生产过程危险和有害因素分类与代码》（GB/T13861-20</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《职业性接触毒物危害程度分级》（GBZ230-2010）；</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《化学品分类和危险性公示通则》（GB13690-2009）；</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《建筑设计防火规范（2018年版）》（GB50016-2014）；</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《危险化学品重大危险源辨识》（GB18218-20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w:t>
      </w:r>
      <w:r>
        <w:rPr>
          <w:rFonts w:hint="eastAsia" w:eastAsia="新宋体"/>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《危险化学品企业特殊作业安全规范》（GB30871-2022）；</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《特别管控危险化学品目录（第一版）》（应急管理部、工业和信息化部、公安部及交通运输部2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年第</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号公告）；</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汽油的理化特性；</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柴油的理化特性；</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相关事故案例。</w:t>
      </w:r>
    </w:p>
    <w:p>
      <w:pPr>
        <w:pStyle w:val="3"/>
        <w:rPr>
          <w:color w:val="000000" w:themeColor="text1"/>
          <w14:textFill>
            <w14:solidFill>
              <w14:schemeClr w14:val="tx1"/>
            </w14:solidFill>
          </w14:textFill>
        </w:rPr>
      </w:pPr>
      <w:bookmarkStart w:id="310" w:name="_Toc4620"/>
      <w:r>
        <w:rPr>
          <w:rFonts w:hint="eastAsia"/>
          <w:color w:val="000000" w:themeColor="text1"/>
          <w14:textFill>
            <w14:solidFill>
              <w14:schemeClr w14:val="tx1"/>
            </w14:solidFill>
          </w14:textFill>
        </w:rPr>
        <w:t>危险化学品特性</w:t>
      </w:r>
      <w:bookmarkEnd w:id="304"/>
      <w:bookmarkEnd w:id="305"/>
      <w:bookmarkEnd w:id="306"/>
      <w:bookmarkEnd w:id="310"/>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根据《危险化学品目录》（2022年调整）及《应急管理部办公厅关于修改《危险化学品目录（2015版）实施指南（试行）》涉及柴油部分内容的通知》（</w:t>
      </w:r>
      <w:r>
        <w:rPr>
          <w:color w:val="000000" w:themeColor="text1"/>
          <w14:textFill>
            <w14:solidFill>
              <w14:schemeClr w14:val="tx1"/>
            </w14:solidFill>
          </w14:textFill>
        </w:rPr>
        <w:t>应急厅函〔2022〕300号</w:t>
      </w:r>
      <w:r>
        <w:rPr>
          <w:rFonts w:hint="eastAsia"/>
          <w:color w:val="000000" w:themeColor="text1"/>
          <w14:textFill>
            <w14:solidFill>
              <w14:schemeClr w14:val="tx1"/>
            </w14:solidFill>
          </w14:textFill>
        </w:rPr>
        <w:t>，2022年12月5日发布，2023年1月1日起实施），加油站经营的汽油和柴油均属于危险化学品。</w:t>
      </w:r>
    </w:p>
    <w:p>
      <w:pPr>
        <w:pStyle w:val="4"/>
        <w:ind w:firstLine="562"/>
        <w:rPr>
          <w:color w:val="000000" w:themeColor="text1"/>
          <w14:textFill>
            <w14:solidFill>
              <w14:schemeClr w14:val="tx1"/>
            </w14:solidFill>
          </w14:textFill>
        </w:rPr>
      </w:pPr>
      <w:bookmarkStart w:id="311" w:name="_Toc360569543"/>
      <w:bookmarkStart w:id="312" w:name="_Toc16086"/>
      <w:bookmarkStart w:id="313" w:name="_Toc456527706"/>
      <w:bookmarkStart w:id="314" w:name="_Toc363315938"/>
      <w:r>
        <w:rPr>
          <w:rFonts w:hint="eastAsia"/>
          <w:color w:val="000000" w:themeColor="text1"/>
          <w14:textFill>
            <w14:solidFill>
              <w14:schemeClr w14:val="tx1"/>
            </w14:solidFill>
          </w14:textFill>
        </w:rPr>
        <w:t>汽油危险特性</w:t>
      </w:r>
      <w:bookmarkEnd w:id="311"/>
      <w:bookmarkEnd w:id="312"/>
      <w:bookmarkEnd w:id="313"/>
      <w:bookmarkEnd w:id="31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根据《危险化学品安全技术全书》（</w:t>
      </w:r>
      <w:r>
        <w:rPr>
          <w:rFonts w:hint="eastAsia"/>
          <w:color w:val="000000" w:themeColor="text1"/>
          <w:lang w:val="en-US" w:eastAsia="zh-CN"/>
          <w14:textFill>
            <w14:solidFill>
              <w14:schemeClr w14:val="tx1"/>
            </w14:solidFill>
          </w14:textFill>
        </w:rPr>
        <w:t>2017</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月第</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版，化学工业出版社），汽油的理化特性见表3-1。</w:t>
      </w:r>
    </w:p>
    <w:p>
      <w:pPr>
        <w:pStyle w:val="78"/>
        <w:rPr>
          <w:rFonts w:hint="eastAsia"/>
          <w:color w:val="000000" w:themeColor="text1"/>
          <w14:textFill>
            <w14:solidFill>
              <w14:schemeClr w14:val="tx1"/>
            </w14:solidFill>
          </w14:textFill>
        </w:rPr>
      </w:pPr>
    </w:p>
    <w:p>
      <w:pPr>
        <w:pStyle w:val="78"/>
        <w:rPr>
          <w:rFonts w:hint="eastAsia"/>
          <w:color w:val="000000" w:themeColor="text1"/>
          <w14:textFill>
            <w14:solidFill>
              <w14:schemeClr w14:val="tx1"/>
            </w14:solidFill>
          </w14:textFill>
        </w:rPr>
      </w:pP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 xml:space="preserve"> 汽油理化特性</w:t>
      </w:r>
    </w:p>
    <w:tbl>
      <w:tblPr>
        <w:tblStyle w:val="33"/>
        <w:tblW w:w="907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55"/>
        <w:gridCol w:w="1704"/>
        <w:gridCol w:w="1483"/>
        <w:gridCol w:w="408"/>
        <w:gridCol w:w="222"/>
        <w:gridCol w:w="716"/>
        <w:gridCol w:w="433"/>
        <w:gridCol w:w="240"/>
        <w:gridCol w:w="352"/>
        <w:gridCol w:w="516"/>
        <w:gridCol w:w="703"/>
        <w:gridCol w:w="227"/>
        <w:gridCol w:w="166"/>
        <w:gridCol w:w="1246"/>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bookmarkStart w:id="315" w:name="_Toc456527707"/>
            <w:bookmarkStart w:id="316" w:name="_Toc360569544"/>
            <w:bookmarkStart w:id="317" w:name="_Toc363315939"/>
            <w:r>
              <w:rPr>
                <w:color w:val="000000" w:themeColor="text1"/>
                <w14:textFill>
                  <w14:solidFill>
                    <w14:schemeClr w14:val="tx1"/>
                  </w14:solidFill>
                </w14:textFill>
              </w:rPr>
              <w:t>标识</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中文名</w:t>
            </w:r>
          </w:p>
        </w:tc>
        <w:tc>
          <w:tcPr>
            <w:tcW w:w="3502"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汽油</w:t>
            </w:r>
          </w:p>
        </w:tc>
        <w:tc>
          <w:tcPr>
            <w:tcW w:w="179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12"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1630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英文名</w:t>
            </w:r>
          </w:p>
        </w:tc>
        <w:tc>
          <w:tcPr>
            <w:tcW w:w="3502"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Gasoline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Petrol</w:t>
            </w:r>
          </w:p>
        </w:tc>
        <w:tc>
          <w:tcPr>
            <w:tcW w:w="179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1412"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86290-81-5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无色或淡黄色易挥发液体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具有特殊臭味。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12</w:t>
            </w:r>
            <w:r>
              <w:rPr>
                <w:color w:val="000000" w:themeColor="text1"/>
                <w14:textFill>
                  <w14:solidFill>
                    <w14:schemeClr w14:val="tx1"/>
                  </w14:solidFill>
                </w14:textFill>
              </w:rPr>
              <w:t>脂肪烃和环烷烃。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113"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&lt;-60</w:t>
            </w:r>
          </w:p>
        </w:tc>
        <w:tc>
          <w:tcPr>
            <w:tcW w:w="225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相对密度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水=1</w:t>
            </w:r>
            <w:r>
              <w:rPr>
                <w:rFonts w:hint="eastAsia"/>
                <w:color w:val="000000" w:themeColor="text1"/>
                <w14:textFill>
                  <w14:solidFill>
                    <w14:schemeClr w14:val="tx1"/>
                  </w14:solidFill>
                </w14:textFill>
              </w:rPr>
              <w:t>）</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0.7</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～0.7</w:t>
            </w:r>
            <w:r>
              <w:rPr>
                <w:rFonts w:hint="eastAsia"/>
                <w:color w:val="000000" w:themeColor="text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113"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40～200</w:t>
            </w:r>
          </w:p>
        </w:tc>
        <w:tc>
          <w:tcPr>
            <w:tcW w:w="225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饱和蒸汽压（kPa）</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不溶于水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易溶于苯、二硫化碳、醇、脂肪。</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主要用作汽油机的燃料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用于橡胶、制鞋、印刷、制革、颜料等行业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也可用作机械零件的去污剂。</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甚至失明。皮肤接触致急性接触性皮炎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甚至灼伤。吞咽引起急性胃肠炎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重者出现类似急性吸入中毒症状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并可引起肝、肾损害。慢性中毒：神经衰弱综合征、植物神经功能紊乱、周围神经病。严重中毒出现中毒性脑病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症状类似精神分裂症。皮肤损害。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高度易燃</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有害燃烧产物</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1"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＜-50</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415～530</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其蒸气与空气可形成爆炸性混合物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遇明火、高热极易燃烧爆炸。与氧化剂能发生强烈反应。其蒸气比空气重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能在较低处扩散到相当远的地方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遇火源会着火回燃。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1483"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1346"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1025"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61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1246"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不出现</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强氧化剂</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喷水冷却容器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可能的话将容器从火场移至空旷处。灭火剂：泡沫、干粉、二氧化碳。用水灭火无效。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毒理学资料</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LD50：67000mg/kg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小鼠经口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120号溶剂汽油</w:t>
            </w:r>
            <w:r>
              <w:rPr>
                <w:rFonts w:hint="eastAsia"/>
                <w:color w:val="000000" w:themeColor="text1"/>
                <w14:textFill>
                  <w14:solidFill>
                    <w14:schemeClr w14:val="tx1"/>
                  </w14:solidFill>
                </w14:textFill>
              </w:rPr>
              <w:t>）</w:t>
            </w:r>
          </w:p>
          <w:p>
            <w:pPr>
              <w:pStyle w:val="93"/>
              <w:rPr>
                <w:color w:val="000000" w:themeColor="text1"/>
                <w14:textFill>
                  <w14:solidFill>
                    <w14:schemeClr w14:val="tx1"/>
                  </w14:solidFill>
                </w14:textFill>
              </w:rPr>
            </w:pPr>
            <w:r>
              <w:rPr>
                <w:color w:val="000000" w:themeColor="text1"/>
                <w14:textFill>
                  <w14:solidFill>
                    <w14:schemeClr w14:val="tx1"/>
                  </w14:solidFill>
                </w14:textFill>
              </w:rPr>
              <w:t>LC50：100000mg/</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2小时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小鼠吸入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120号溶剂汽油</w:t>
            </w:r>
            <w:r>
              <w:rPr>
                <w:rFonts w:hint="eastAsia"/>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刺激性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人经眼：140ppm/8小时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轻度刺激。</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其他有害作用</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该物质对环境可能有危害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对水体应给予特别注意。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废弃处置方法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用焚烧法处置。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3262"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生殖细胞致突变性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类别1B</w:t>
            </w:r>
          </w:p>
          <w:p>
            <w:pPr>
              <w:pStyle w:val="93"/>
              <w:rPr>
                <w:color w:val="000000" w:themeColor="text1"/>
                <w14:textFill>
                  <w14:solidFill>
                    <w14:schemeClr w14:val="tx1"/>
                  </w14:solidFill>
                </w14:textFill>
              </w:rPr>
            </w:pPr>
            <w:r>
              <w:rPr>
                <w:color w:val="000000" w:themeColor="text1"/>
                <w14:textFill>
                  <w14:solidFill>
                    <w14:schemeClr w14:val="tx1"/>
                  </w14:solidFill>
                </w14:textFill>
              </w:rPr>
              <w:t>致癌性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吸入危害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类别1</w:t>
            </w:r>
          </w:p>
          <w:p>
            <w:pPr>
              <w:pStyle w:val="93"/>
              <w:rPr>
                <w:color w:val="000000" w:themeColor="text1"/>
                <w14:textFill>
                  <w14:solidFill>
                    <w14:schemeClr w14:val="tx1"/>
                  </w14:solidFill>
                </w14:textFill>
              </w:rPr>
            </w:pPr>
            <w:r>
              <w:rPr>
                <w:color w:val="000000" w:themeColor="text1"/>
                <w14:textFill>
                  <w14:solidFill>
                    <w14:schemeClr w14:val="tx1"/>
                  </w14:solidFill>
                </w14:textFill>
              </w:rPr>
              <w:t>危害水生环境-急性危害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危害水生环境-长期危害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tc>
        <w:tc>
          <w:tcPr>
            <w:tcW w:w="1811"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包装类别</w:t>
            </w:r>
          </w:p>
        </w:tc>
        <w:tc>
          <w:tcPr>
            <w:tcW w:w="1639"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052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小开口钢桶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安瓿瓶外普通木箱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螺纹口玻璃瓶、铁盖压口玻璃瓶、塑料瓶或金属桶（罐）外普通木箱。</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储存于阴凉、通风的库房。远离火种、热源。库温不宜超过30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。保持容器密封。应与氧化剂分开存放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本品铁路运输时限使用钢制企业自备罐车装运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装运前需报有关部门批准。运输时运输车辆应配备相应品种和数量的消防器材及泄漏应急处理设备。夏季最好早晚运输。运输时所用的槽（罐）车应有接地链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槽内可设孔隔板以减少</w:t>
            </w:r>
            <w:r>
              <w:rPr>
                <w:rFonts w:hint="eastAsia"/>
                <w:color w:val="000000" w:themeColor="text1"/>
                <w14:textFill>
                  <w14:solidFill>
                    <w14:schemeClr w14:val="tx1"/>
                  </w14:solidFill>
                </w14:textFill>
              </w:rPr>
              <w:t>振</w:t>
            </w:r>
            <w:r>
              <w:rPr>
                <w:color w:val="000000" w:themeColor="text1"/>
                <w14:textFill>
                  <w14:solidFill>
                    <w14:schemeClr w14:val="tx1"/>
                  </w14:solidFill>
                </w14:textFill>
              </w:rPr>
              <w:t>荡产生静电。严禁与氧化剂等混装混运。运输途中应防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、雨淋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防高温。中途停留时应远离火种、热源、高温区。装运该物品的车辆排气管必须配备阻火装置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禁止使用易产生火花的机械设备和工具装卸。公路运输时要按规定路线行驶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勿在居民区和人口稠密区停留。铁路运输时要禁止溜放。严禁用木船、水泥船散装运输。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操作注意事项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严格遵守操作规程。建议操作人员穿防静电工作服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戴橡胶耐油手套。远离火种、热源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工作场所严禁吸烟。使用防爆型的通风系统和设备。防止蒸气泄漏到工作场所空气中。避免与氧化剂接触。灌装时应控制流速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且有接地装置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眼睛接触</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用大量流动清水或生理盐水彻底冲洗至少15分钟。就医。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给输氧。如呼吸停止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食入</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给饮牛奶或用植物油洗胃和灌肠。就医。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工程控制</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生产过程密闭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呼吸系统防护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一般不需要特殊防护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高浓度接触时可佩戴自吸过滤式防毒面具（半面罩）。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一般不需要特殊防护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高浓度接触时可戴化学安全防护眼镜。</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身体防护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穿防静电工作服。</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手防护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戴橡胶耐油手套。</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工作现场严禁吸烟。避免长期反复接触。</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应急处理</w:t>
            </w:r>
          </w:p>
        </w:tc>
        <w:tc>
          <w:tcPr>
            <w:tcW w:w="8416" w:type="dxa"/>
            <w:gridSpan w:val="1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迅速撤离泄漏污染区人员至安全区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严格限制出入。切断火源。建议应急处理人员戴自给正压式呼吸器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穿防静电工作服。尽可能切断泄漏源。防止流入下水道、排洪沟等限制性空间。小量泄漏：用砂土、蛭石或其它惰性材料吸收。或在保证安全情况下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就地焚烧。大量泄漏：构筑围堤或挖坑收容。用泡沫覆盖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降低蒸气灾害。用防爆泵转移至槽车或专用收集器内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回收或运至废物处理场所处置。</w:t>
            </w:r>
          </w:p>
        </w:tc>
      </w:tr>
    </w:tbl>
    <w:p>
      <w:pPr>
        <w:pStyle w:val="4"/>
        <w:ind w:firstLine="562"/>
        <w:rPr>
          <w:color w:val="000000" w:themeColor="text1"/>
          <w14:textFill>
            <w14:solidFill>
              <w14:schemeClr w14:val="tx1"/>
            </w14:solidFill>
          </w14:textFill>
        </w:rPr>
      </w:pPr>
      <w:bookmarkStart w:id="318" w:name="_Toc25447"/>
      <w:r>
        <w:rPr>
          <w:rFonts w:hint="eastAsia"/>
          <w:color w:val="000000" w:themeColor="text1"/>
          <w14:textFill>
            <w14:solidFill>
              <w14:schemeClr w14:val="tx1"/>
            </w14:solidFill>
          </w14:textFill>
        </w:rPr>
        <w:t>柴油的危险特性</w:t>
      </w:r>
      <w:bookmarkEnd w:id="315"/>
      <w:bookmarkEnd w:id="316"/>
      <w:bookmarkEnd w:id="317"/>
      <w:bookmarkEnd w:id="318"/>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柴油理化特性</w:t>
      </w:r>
    </w:p>
    <w:tbl>
      <w:tblPr>
        <w:tblStyle w:val="33"/>
        <w:tblW w:w="907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54"/>
        <w:gridCol w:w="1735"/>
        <w:gridCol w:w="1451"/>
        <w:gridCol w:w="408"/>
        <w:gridCol w:w="221"/>
        <w:gridCol w:w="717"/>
        <w:gridCol w:w="540"/>
        <w:gridCol w:w="31"/>
        <w:gridCol w:w="453"/>
        <w:gridCol w:w="515"/>
        <w:gridCol w:w="889"/>
        <w:gridCol w:w="206"/>
        <w:gridCol w:w="321"/>
        <w:gridCol w:w="930"/>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bookmarkStart w:id="319" w:name="_Toc360569545"/>
            <w:bookmarkStart w:id="320" w:name="_Toc363315940"/>
            <w:bookmarkStart w:id="321" w:name="_Toc456527708"/>
            <w:r>
              <w:rPr>
                <w:color w:val="000000" w:themeColor="text1"/>
                <w14:textFill>
                  <w14:solidFill>
                    <w14:schemeClr w14:val="tx1"/>
                  </w14:solidFill>
                </w14:textFill>
              </w:rPr>
              <w:t>标识</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中文名</w:t>
            </w:r>
          </w:p>
        </w:tc>
        <w:tc>
          <w:tcPr>
            <w:tcW w:w="333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柴油</w:t>
            </w:r>
          </w:p>
        </w:tc>
        <w:tc>
          <w:tcPr>
            <w:tcW w:w="188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57"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1674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英文名</w:t>
            </w:r>
          </w:p>
        </w:tc>
        <w:tc>
          <w:tcPr>
            <w:tcW w:w="333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lang w:val="de-DE"/>
                <w14:textFill>
                  <w14:solidFill>
                    <w14:schemeClr w14:val="tx1"/>
                  </w14:solidFill>
                </w14:textFill>
              </w:rPr>
            </w:pPr>
            <w:r>
              <w:rPr>
                <w:color w:val="000000" w:themeColor="text1"/>
                <w:lang w:val="de-DE"/>
                <w14:textFill>
                  <w14:solidFill>
                    <w14:schemeClr w14:val="tx1"/>
                  </w14:solidFill>
                </w14:textFill>
              </w:rPr>
              <w:t>Diesel oil</w:t>
            </w:r>
            <w:r>
              <w:rPr>
                <w:rFonts w:hint="eastAsia"/>
                <w:color w:val="000000" w:themeColor="text1"/>
                <w:lang w:val="de-DE"/>
                <w14:textFill>
                  <w14:solidFill>
                    <w14:schemeClr w14:val="tx1"/>
                  </w14:solidFill>
                </w14:textFill>
              </w:rPr>
              <w:t>；</w:t>
            </w:r>
            <w:r>
              <w:rPr>
                <w:color w:val="000000" w:themeColor="text1"/>
                <w:lang w:val="de-DE"/>
                <w14:textFill>
                  <w14:solidFill>
                    <w14:schemeClr w14:val="tx1"/>
                  </w14:solidFill>
                </w14:textFill>
              </w:rPr>
              <w:t>Diesel fuel</w:t>
            </w:r>
          </w:p>
        </w:tc>
        <w:tc>
          <w:tcPr>
            <w:tcW w:w="188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1457"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稍有</w:t>
            </w:r>
            <w:r>
              <w:rPr>
                <w:rFonts w:hint="eastAsia"/>
                <w:color w:val="000000" w:themeColor="text1"/>
                <w14:textFill>
                  <w14:solidFill>
                    <w14:schemeClr w14:val="tx1"/>
                  </w14:solidFill>
                </w14:textFill>
              </w:rPr>
              <w:t>黏</w:t>
            </w:r>
            <w:r>
              <w:rPr>
                <w:color w:val="000000" w:themeColor="text1"/>
                <w14:textFill>
                  <w14:solidFill>
                    <w14:schemeClr w14:val="tx1"/>
                  </w14:solidFill>
                </w14:textFill>
              </w:rPr>
              <w:t>性的浅黄至棕色液体。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烷烃、芳烃、烯烃等。</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08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-18</w:t>
            </w:r>
          </w:p>
        </w:tc>
        <w:tc>
          <w:tcPr>
            <w:tcW w:w="2256"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相对密度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水=1</w:t>
            </w:r>
            <w:r>
              <w:rPr>
                <w:rFonts w:hint="eastAsia"/>
                <w:color w:val="000000" w:themeColor="text1"/>
                <w14:textFill>
                  <w14:solidFill>
                    <w14:schemeClr w14:val="tx1"/>
                  </w14:solidFill>
                </w14:textFill>
              </w:rPr>
              <w:t>）</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0.8</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845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08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282～338</w:t>
            </w:r>
          </w:p>
        </w:tc>
        <w:tc>
          <w:tcPr>
            <w:tcW w:w="2256"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饱和蒸汽压（kPa）</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用作柴油机的燃料。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皮肤接触可为主要吸收途径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可致急性肾脏损害。柴油可引起接触性皮炎、油性痤疮。吸入其雾滴或液体呛入可引起吸入性肺炎。能经胎盘进入胎儿血中。柴油废气可引起眼、鼻刺激症状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头晕及头痛。</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有害燃烧产物</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遇明火、高热或与氧化剂接触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有引起燃烧爆炸的危险。若遇高热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容器内压增大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有开裂和爆炸的危险。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1451"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丙A</w:t>
            </w:r>
          </w:p>
        </w:tc>
        <w:tc>
          <w:tcPr>
            <w:tcW w:w="1346"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1024"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61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125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不能出现</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强氧化剂、卤素。</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消防人员须佩戴防毒面具、穿全身消防服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在上风向灭火。尽可能将容器从火场移至空旷处。喷水保持火场容器冷却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直至灭火结束。处在火场中的容器若已变色或从安全泄压装置中产生声音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必须马上撤离。灭火剂：雾状水、泡沫、干粉、二氧化碳、砂土。</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毒理学资料</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LD50：无资料</w:t>
            </w:r>
          </w:p>
          <w:p>
            <w:pPr>
              <w:pStyle w:val="93"/>
              <w:rPr>
                <w:color w:val="000000" w:themeColor="text1"/>
                <w14:textFill>
                  <w14:solidFill>
                    <w14:schemeClr w14:val="tx1"/>
                  </w14:solidFill>
                </w14:textFill>
              </w:rPr>
            </w:pPr>
            <w:r>
              <w:rPr>
                <w:color w:val="000000" w:themeColor="text1"/>
                <w14:textFill>
                  <w14:solidFill>
                    <w14:schemeClr w14:val="tx1"/>
                  </w14:solidFill>
                </w14:textFill>
              </w:rPr>
              <w:t>LC50：无资料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其他有害作用</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该物质对环境有危害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建议不要让其进入环境。对水体和大气可造成污染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破坏水生生物呼吸系统。对海藻应给予特别注意。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废弃处置方法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处置前应参阅国家和地方有关法规。建议用焚烧法处置。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3368"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类别3</w:t>
            </w:r>
          </w:p>
        </w:tc>
        <w:tc>
          <w:tcPr>
            <w:tcW w:w="2384"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危险货物包装标志</w:t>
            </w:r>
          </w:p>
        </w:tc>
        <w:tc>
          <w:tcPr>
            <w:tcW w:w="930"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7</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储存于阴凉、通风的库房。远离火种、热源。应与氧化剂、卤素分开存放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运输前应先检查包装容器是否完整、密封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运输过程中要确保容器不泄漏、不倒塌、不坠落、不损坏。运输时运输车辆应配备相应品种和数量的消防器材及泄漏应急处理设备。夏季最好早晚运输。运输时所用的槽（罐）车应有接地链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槽内可设孔隔板以减少</w:t>
            </w:r>
            <w:r>
              <w:rPr>
                <w:rFonts w:hint="eastAsia"/>
                <w:color w:val="000000" w:themeColor="text1"/>
                <w14:textFill>
                  <w14:solidFill>
                    <w14:schemeClr w14:val="tx1"/>
                  </w14:solidFill>
                </w14:textFill>
              </w:rPr>
              <w:t>振荡</w:t>
            </w:r>
            <w:r>
              <w:rPr>
                <w:color w:val="000000" w:themeColor="text1"/>
                <w14:textFill>
                  <w14:solidFill>
                    <w14:schemeClr w14:val="tx1"/>
                  </w14:solidFill>
                </w14:textFill>
              </w:rPr>
              <w:t>产生静电。严禁与氧化剂、卤素、食用化学品等混装混运。运输途中应防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、雨淋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防高温。中途停留时应远离火种、热源、高温区。装运该物品的车辆排气管必须配备阻火装置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禁止使用易产生火花的机械设备和工具装卸。运输车船必须彻底清洗、消毒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否则不得装运其它物品。船运时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配装位置应远离卧室、厨房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并与机舱、电源、火源等部位隔离。公路运输时要按规定路线行驶。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操作注意事项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注意通风。操作人员必须经过专门培训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严格遵守操作规程。建议操作人员佩戴自吸过滤式防毒面具（半面罩）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戴化学安全防护眼镜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戴橡胶耐油手套。远离火种、热源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工作场所严禁吸烟。使用防爆型的通风系统和设备。防止蒸气泄漏到工作场所空气中。避免与氧化剂、卤素接触。充装要控制流速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眼睛接触</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用流动清水或生理盐水冲洗。就医。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给输氧。如呼吸停止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食入</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尽快彻底洗胃。就医。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工程控制</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生产过程密闭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呼吸系统防护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空气中浓度超标时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建议佩戴自吸过滤式防毒面具（半面罩）。紧急事态抢救或撤离时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应该佩戴空气呼吸器。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戴化学安全防护眼镜。</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身体防护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穿一般作业防护服。</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手防护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戴橡胶耐油手套。</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工作现场严禁吸烟。避免长期反复接触。</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应急处理</w:t>
            </w:r>
          </w:p>
        </w:tc>
        <w:tc>
          <w:tcPr>
            <w:tcW w:w="8417" w:type="dxa"/>
            <w:gridSpan w:val="1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迅速撤离泄漏污染区人员至安全区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严格限制出入。切断火源。建议应急处理人员戴自给正压式呼吸器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穿一般作业工作服。尽可能切断泄漏源。防止流入下水道、排洪沟等限制性空间。小量泄漏：用活性炭或其它惰性材料吸收。大量泄漏：构筑围堤或挖坑收容。用泵转移至槽车或专用收集器内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回收或运至废物处理场所处置。</w:t>
            </w:r>
          </w:p>
        </w:tc>
      </w:tr>
    </w:tbl>
    <w:p>
      <w:pPr>
        <w:pStyle w:val="3"/>
        <w:rPr>
          <w:color w:val="000000" w:themeColor="text1"/>
          <w14:textFill>
            <w14:solidFill>
              <w14:schemeClr w14:val="tx1"/>
            </w14:solidFill>
          </w14:textFill>
        </w:rPr>
      </w:pPr>
      <w:bookmarkStart w:id="322" w:name="_Toc8153"/>
      <w:r>
        <w:rPr>
          <w:rFonts w:hint="eastAsia"/>
          <w:color w:val="000000" w:themeColor="text1"/>
          <w14:textFill>
            <w14:solidFill>
              <w14:schemeClr w14:val="tx1"/>
            </w14:solidFill>
          </w14:textFill>
        </w:rPr>
        <w:t>危险、有害因素</w:t>
      </w:r>
      <w:bookmarkEnd w:id="319"/>
      <w:bookmarkEnd w:id="320"/>
      <w:r>
        <w:rPr>
          <w:rFonts w:hint="eastAsia"/>
          <w:color w:val="000000" w:themeColor="text1"/>
          <w14:textFill>
            <w14:solidFill>
              <w14:schemeClr w14:val="tx1"/>
            </w14:solidFill>
          </w14:textFill>
        </w:rPr>
        <w:t>分析</w:t>
      </w:r>
      <w:bookmarkEnd w:id="321"/>
      <w:bookmarkEnd w:id="322"/>
    </w:p>
    <w:p>
      <w:pPr>
        <w:pStyle w:val="4"/>
        <w:ind w:firstLine="562"/>
        <w:rPr>
          <w:color w:val="000000" w:themeColor="text1"/>
          <w14:textFill>
            <w14:solidFill>
              <w14:schemeClr w14:val="tx1"/>
            </w14:solidFill>
          </w14:textFill>
        </w:rPr>
      </w:pPr>
      <w:bookmarkStart w:id="323" w:name="_Toc456527709"/>
      <w:bookmarkStart w:id="324" w:name="_Toc11073"/>
      <w:r>
        <w:rPr>
          <w:rFonts w:hint="eastAsia"/>
          <w:color w:val="000000" w:themeColor="text1"/>
          <w14:textFill>
            <w14:solidFill>
              <w14:schemeClr w14:val="tx1"/>
            </w14:solidFill>
          </w14:textFill>
        </w:rPr>
        <w:t>危险产生的原因</w:t>
      </w:r>
      <w:bookmarkEnd w:id="323"/>
      <w:bookmarkEnd w:id="324"/>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25" w:name="_Toc171873181"/>
      <w:bookmarkStart w:id="326" w:name="_Toc200880752"/>
      <w:r>
        <w:rPr>
          <w:rFonts w:hint="eastAsia"/>
          <w:color w:val="000000" w:themeColor="text1"/>
          <w14:textFill>
            <w14:solidFill>
              <w14:schemeClr w14:val="tx1"/>
            </w14:solidFill>
          </w14:textFill>
        </w:rPr>
        <w:t>1.运行失控与设备故障</w:t>
      </w:r>
      <w:bookmarkEnd w:id="325"/>
      <w:bookmarkEnd w:id="326"/>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运行失控指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维修保养可使多数故障在预定期间内得到控制（避免或减少）。</w:t>
      </w:r>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27" w:name="_Toc200880753"/>
      <w:bookmarkStart w:id="328" w:name="_Toc171873182"/>
      <w:r>
        <w:rPr>
          <w:rFonts w:hint="eastAsia"/>
          <w:color w:val="000000" w:themeColor="text1"/>
          <w14:textFill>
            <w14:solidFill>
              <w14:schemeClr w14:val="tx1"/>
            </w14:solidFill>
          </w14:textFill>
        </w:rPr>
        <w:t>2.人员失误</w:t>
      </w:r>
      <w:bookmarkEnd w:id="327"/>
      <w:bookmarkEnd w:id="328"/>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29" w:name="_Toc171873183"/>
      <w:bookmarkStart w:id="330" w:name="_Toc200880754"/>
      <w:r>
        <w:rPr>
          <w:rFonts w:hint="eastAsia"/>
          <w:color w:val="000000" w:themeColor="text1"/>
          <w14:textFill>
            <w14:solidFill>
              <w14:schemeClr w14:val="tx1"/>
            </w14:solidFill>
          </w14:textFill>
        </w:rPr>
        <w:t>3.管理缺陷</w:t>
      </w:r>
      <w:bookmarkEnd w:id="329"/>
      <w:bookmarkEnd w:id="330"/>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是为了保证及时、有效地实现既定的安全目标，是在预测、分析的基础之上进行的计划、组织、协调、检查等工作，是预防故障和人员失误发生的有效手段，因此管理缺陷是影响运行失控发生的重要因素。</w:t>
      </w:r>
    </w:p>
    <w:p>
      <w:pPr>
        <w:pStyle w:val="4"/>
        <w:ind w:firstLine="562"/>
        <w:rPr>
          <w:color w:val="000000" w:themeColor="text1"/>
          <w14:textFill>
            <w14:solidFill>
              <w14:schemeClr w14:val="tx1"/>
            </w14:solidFill>
          </w14:textFill>
        </w:rPr>
      </w:pPr>
      <w:bookmarkStart w:id="331" w:name="_Toc456527710"/>
      <w:bookmarkStart w:id="332" w:name="_Toc18752"/>
      <w:r>
        <w:rPr>
          <w:rFonts w:hint="eastAsia"/>
          <w:color w:val="000000" w:themeColor="text1"/>
          <w14:textFill>
            <w14:solidFill>
              <w14:schemeClr w14:val="tx1"/>
            </w14:solidFill>
          </w14:textFill>
        </w:rPr>
        <w:t>加油站运行过程中危险、有害因素分析</w:t>
      </w:r>
      <w:bookmarkEnd w:id="331"/>
      <w:bookmarkEnd w:id="33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本次安全现状评价根据对被评价单位提供的有关资料分析和对现场环境条件的调查，参照《</w:t>
      </w:r>
      <w:r>
        <w:rPr>
          <w:rFonts w:hint="eastAsia"/>
          <w:color w:val="000000" w:themeColor="text1"/>
          <w:lang w:eastAsia="zh-CN"/>
          <w14:textFill>
            <w14:solidFill>
              <w14:schemeClr w14:val="tx1"/>
            </w14:solidFill>
          </w14:textFill>
        </w:rPr>
        <w:t>企业职工伤亡事故分类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GB6441-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）中对事故类别的划分方法，将该加油站可能存在的危险有害因素按类别分析如下。</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汽油、柴油均属于易燃物品，汽油蒸气与空气混合物遇到明火、高热容易燃烧爆炸，柴油遇明火、高热或与氧化剂接触有引起燃烧爆炸的危险。在卸油过程中，不可避免会有一定的油气泄漏，若现场存在点火源如明火、电气火花、静电、雷击、高温红热物体等，将会造成泄漏的油气与空气混合物发生火灾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若采用敞开式卸油，或卸油管路设置不合理，进油管未向下伸至距罐底小于100mm位置，则在卸油过程中由于汽油入罐冲击作用将造成现场有大量的油气泄漏，火灾爆炸的危险性将大大增加。</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卸油过程中，静电的产生和积聚量大小与卸油管道内壁粗糙度、流速、温度、杂质含量、油品所通过的过滤网呈正相关，与设备导电性能、环境温度、油品的导电率呈负相关。若卸油流速较大，则可能会与管路摩擦产生较强的静电，达到放电强度时，将会直接引燃油品，造成灾难性的火灾爆炸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在傍晚或夜间进行时，加油站可能会使用相应的照明设施，若照明设备采用非防爆电气设备或采用高热源灯具（如碘钨灯），将可能使靠近热源的管线、设备发生火灾，进而引发爆炸事故，造成严重的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卸油过程中，卸油现场不可避免会有油气散发，若现场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，人员打手机或其他</w:t>
      </w:r>
      <w:r>
        <w:rPr>
          <w:color w:val="000000" w:themeColor="text1"/>
          <w14:textFill>
            <w14:solidFill>
              <w14:schemeClr w14:val="tx1"/>
            </w14:solidFill>
          </w14:textFill>
        </w:rPr>
        <w:t>无线电发射机发射出的无线电波（射频电磁辐射）</w:t>
      </w:r>
      <w:r>
        <w:rPr>
          <w:rFonts w:hint="eastAsia"/>
          <w:color w:val="000000" w:themeColor="text1"/>
          <w14:textFill>
            <w14:solidFill>
              <w14:schemeClr w14:val="tx1"/>
            </w14:solidFill>
          </w14:textFill>
        </w:rPr>
        <w:t>产生射频火花，将会引发油气爆炸，造成严重的事故后果。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（2）车辆伤害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卸油过程中，卸油车辆进入加油站，由于不按规定行驶，从业人员若思想不集中、管理不当、卸油场地设计不合理、警示标志不明确等因素都会造成车辆伤害，造成人员伤亡和财产损失。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加油站若未设置防雷接地设施、防雷接地设施有缺陷或未进行检测，若加油站安全管理存在缺陷，要求在雷雨天进行卸油作业，则作业人员可能受到雷击而伤亡。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加油站使用的各种用电设备，若电气设备、线路存在缺陷，使用中绝缘损坏漏电，未安装漏电保护设施或损坏，将有可能发生触电危险性。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从汽、柴油的危险特性看出，汽、柴油可引起接触皮炎、油性痤疮。皮肤接触可致急性肾脏损害。吸入其雾滴或液体呛入可引起吸入性肺炎。汽、柴油、废气可引起眼、鼻刺激症状，头晕及头痛。</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中若不慎出现汽、柴油的外泄，其蒸气有可能随风四处扩散，而泄漏出来的油液体也可能顺地势四周蔓延。油气密度比空气重，容易滞留在地表、水沟、下水道及坑凹处，并贴着地面流向远处，往往在预感不到的地方造成毒性危害。特别是在</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，人员在作业场所往往不可预知就发生中毒和窒息事故。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若发电机排烟管伸出室外的管子损坏或拆除，在发电机运行过程中大量烟气聚集容易造成人员中毒和窒息。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凡在距离基准面垂直距离为</w:t>
      </w:r>
      <w:r>
        <w:rPr>
          <w:color w:val="000000" w:themeColor="text1"/>
          <w14:textFill>
            <w14:solidFill>
              <w14:schemeClr w14:val="tx1"/>
            </w14:solidFill>
          </w14:textFill>
        </w:rPr>
        <w:t>2m</w:t>
      </w:r>
      <w:r>
        <w:rPr>
          <w:rFonts w:hint="eastAsia"/>
          <w:color w:val="000000" w:themeColor="text1"/>
          <w14:textFill>
            <w14:solidFill>
              <w14:schemeClr w14:val="tx1"/>
            </w14:solidFill>
          </w14:textFill>
        </w:rPr>
        <w:t>以上，有可能坠落的高处作业均称为高处作业。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加油站工作人员在槽罐车顶部量油属于高处作业范畴。如果罐体顶部没有安装护栏，或者是从业人员工作不专心，则有可能发生高处坠落的危险性。</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油品储存过程危险有害因素分析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储存过程中，若油罐内油品充装过满，在高温季节时，油罐很容易因油品体积膨胀而破裂受损，油品发生大量泄漏，泄漏的油料液体将可能顺地势向下流淌，若在下游有点火源的话，将会引起加油站发生火灾甚至爆炸。另外，由于汽油气密度比空气重，在油料泄漏的过程中，油气将会贴着地面顺着地势向下游流淌，增大了火灾、爆炸的不确定性。另外，由于油品充装过满，在高温季节时，油品可能会从通气管口流出而发生油品泄漏，而泄漏的油品将挥发成油蒸气与空气的混合物，遇到点火源将发生火灾爆炸，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油罐未按要求进行防腐处理，在营业过程中，由于罐体腐蚀导致油品泄漏，泄漏的油品或挥发形成的蒸气遇到点火源将引发火灾爆炸事故。</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没有按照规范及设计要求采用合格的材料制造或油罐制造过程中有缺陷，油罐的承压强度达不到要求，在油罐外部覆土的压力作用下导致油罐破裂，造成油品大量泄漏，散发出的油蒸气遇到点火源将发生火灾爆炸，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在雷雨季节时，若加油站未设置防雷接地设施、防雷接地设施有缺陷或未进行检测，可能会发生雷击引发油罐爆炸的恶性事故发生。</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在储存过程中，由于密封不好、密封失效以及管路渗漏等原因，造成部分油品挥发而形成油蒸气与空气的混合物，遇到点火源可能会造成火灾爆炸事故。</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油罐没有按照要求设置通气管，在高温季节时，油罐很容易因油品体积膨胀而破裂受损，油品发生大量泄漏，泄漏的油品及蒸气遇到点火源将导致火灾爆炸事故，造成严重的事故后果。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7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通气管口没有按要求设置阻火器，油蒸气将通过通气管口不断挥发，遇到点火源将发生火灾事故，若通气管口距离地面高度太低，通气管口发生火灾后，火焰将可能顺着通气管口回燃至储罐内，造成油罐爆炸的恶性事故，导致重大人员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如前所述，在油品储存过程中主要是油品发生大量泄漏后，从业人员接触或吸入而造成人员中毒和窒息。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）静电危险性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产生静电的原因主要有摩擦、压电效应、感应起电、吸附带电等，油品在收发、运转、移动过程中，油分子之间、油与输油管壁之间、油输入体之间、油与空气之间、油与其它物体之间等，都存在着相对的摩擦，便产生了静电，从而引发火灾爆炸事故。要防止静电积聚在油罐、管线和油泵，就必须有良好的静电接地装置，并根据情况结成通路，不准将静电接地与其他接地连在一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）雷击损坏危险性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防雷设备选型、安装不当或缺陷会因雷击而引起火灾爆炸事故，油站若防雷设施设计或管理不当，也有发生雷击破坏的危险性。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凡在距离基准面垂直距离为</w:t>
      </w:r>
      <w:r>
        <w:rPr>
          <w:color w:val="000000" w:themeColor="text1"/>
          <w14:textFill>
            <w14:solidFill>
              <w14:schemeClr w14:val="tx1"/>
            </w14:solidFill>
          </w14:textFill>
        </w:rPr>
        <w:t>2m</w:t>
      </w:r>
      <w:r>
        <w:rPr>
          <w:rFonts w:hint="eastAsia"/>
          <w:color w:val="000000" w:themeColor="text1"/>
          <w14:textFill>
            <w14:solidFill>
              <w14:schemeClr w14:val="tx1"/>
            </w14:solidFill>
          </w14:textFill>
        </w:rPr>
        <w:t>以上，有可能坠落的高处作业均称为高处作业。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加油站工作人员在对油罐阻火器进行检（维）修属于高处作业范畴。如果没有安装防护设施或者防护设施有缺陷，或者是从业人员工作不专心，则有可能发生高处坠落的危险性。</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加油过程中，现场可能会形成油气与空气形成的混合物，若现场存在点火源如明火、电气火花、静电、雷击、高温红热物体等，将会造成泄漏的油气与空气混和物发生火灾爆炸，造成严重的事故后果。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加油过程中，若加油流速过大，产生的静电发生放电将会引起火灾爆炸事故。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由于加油站现场管理不严，可能出现违反操作规程向塑料桶加油的现象，而往塑料桶内加油将产生的大量的静电，同时在加注过程中现场肯定会有大量的油蒸气，若产生静电放电则会产生灾难性的后果。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加油过程中，加油现场不可避免会有油气散发，若现场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，人员打手机或其他</w:t>
      </w:r>
      <w:r>
        <w:rPr>
          <w:color w:val="000000" w:themeColor="text1"/>
          <w14:textFill>
            <w14:solidFill>
              <w14:schemeClr w14:val="tx1"/>
            </w14:solidFill>
          </w14:textFill>
        </w:rPr>
        <w:t>无线电发射机发射出的无线电波（射频电磁辐射）</w:t>
      </w:r>
      <w:r>
        <w:rPr>
          <w:rFonts w:hint="eastAsia"/>
          <w:color w:val="000000" w:themeColor="text1"/>
          <w14:textFill>
            <w14:solidFill>
              <w14:schemeClr w14:val="tx1"/>
            </w14:solidFill>
          </w14:textFill>
        </w:rPr>
        <w:t>产生射频火花，将会引发油气爆炸，造成严重的事故后果。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（2）车辆伤害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加油过程中，加油车辆进入加油站，由于不按规定行驶，从业人员若思想不集中、管理不当、加油场地设计不合理、警示标志不明确等因素都会造成车辆伤害，造成人员伤亡和财产损失。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加油站未设置防雷接地设施、防雷接地设施有缺陷或未进行检测，在雷雨天进行加油作业时，作业人员可能受到雷击而伤亡。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在傍晚或夜间进行加油作业时，加油站将使用相应的照明设施，若照明电气设备、线路存在缺陷，使用中绝缘损坏漏电，未安装漏电保护设施或损坏，将有可能发生触电危险性。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若加油机电气设备、线路老化或线路存在缺陷导致加油机意外带电，将可能导致作业人员触电伤亡。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对于发电机，在对发电机拆盖检修后未及时恢复，或违章作业，人体接触运转件部件将有可能发生机械伤害。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如前所述，在加油过程中主要是油品发生操作失误而导致油品大量泄漏后，从业人员接触或吸入而造成人员中毒和窒息。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（6）坍塌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该加油站罩棚采用网架结构，若有使用过程中不按要求定期进行全面防腐维修，网架结构可能出现断裂垮塌，造成群死群伤的严重后果。</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配电装置危险有害因素分析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电气线路使用时间过长发生老化，造成绝缘失效或电气设备线路绝缘损坏、线路短路，或者没有按规定设置漏电保护器或损坏，从业人员接触带电物体导致触电。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作业人员违章作业，停送电失误可能导致触电事故发生。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加油站未设置防雷接地设施、防雷接地设施有缺陷或未进行检测，则作业人员可能受到雷击而伤亡。</w:t>
      </w:r>
    </w:p>
    <w:p>
      <w:pPr>
        <w:rPr>
          <w:color w:val="000000" w:themeColor="text1"/>
          <w14:textFill>
            <w14:solidFill>
              <w14:schemeClr w14:val="tx1"/>
            </w14:solidFill>
          </w14:textFill>
        </w:rPr>
      </w:pPr>
      <w:bookmarkStart w:id="333" w:name="_Hlk124355159"/>
      <w:r>
        <w:rPr>
          <w:rFonts w:hint="eastAsia"/>
          <w:color w:val="000000" w:themeColor="text1"/>
          <w14:textFill>
            <w14:solidFill>
              <w14:schemeClr w14:val="tx1"/>
            </w14:solidFill>
          </w14:textFill>
        </w:rPr>
        <w:t>（2）火灾</w:t>
      </w:r>
    </w:p>
    <w:bookmarkEnd w:id="333"/>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电气线路发生短路时造成火灾。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线路、电气设备超载运行导致绝缘材料受热起火。</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照明灯泡过于靠近易燃物易引起火灾。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发电机等设备周边存放易燃物质。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若发电机排烟管破损，在发电机运行过程中大量烟气聚集容易造成人员中毒和窒息。</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检、维修过程危险有害因素分析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加油站在进行油罐检修作业时，若在进入受限空间作业前没有进行置换、置换不彻底或采用纯氧进行置换，在检修过程中由于电焊、火星等会导致罐内的混合气体发生爆炸，造成严重的人员伤亡事故。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如果电气设备、线路存在缺陷，检修中绝缘损坏漏电，未安装漏电保护设施或损坏，检修作业安全距离不够，作业人员接触带电物体或设备将导致触电事故发生。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安全管理上存在缺陷，检修时突然送电造成触电事故发生。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加油站未设置防雷接地设施、防雷接地设施有缺陷或未进行检测，则作业人员可能受到雷击而伤亡。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作业人员进入受限空间作业，与电气设备频繁接触，如果照明灯具和电动工具漏电，会导致作业人员触电。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加油站存在油罐检修作业，即存在受限空间作业，如在作业中没有进行通风或通风不良，作业人员将会因含氧量降低而窒息死亡。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在进行油罐检修作业前没有进行置换、置换不彻底，罐内有大量的油蒸气，若作业人员吸入将导致中毒。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在对罩棚及罩棚下的照明灯具进行检修时，若防护设施缺陷或未有防护措施等，有发生高处坠落的危险。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在对罩棚、站房、辅助用房进行检修或其他高处检修作业或在高处巡检，若防护设施缺陷或未有防护措施等，有发生高处坠落的危险。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在进行检修时，作业人员可能会使用机械设备或手持式电动工具，若外露转动部、安全防护装置不完善或操作人员违章作业，人体接触运转部件将有可能发生机械伤害。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对于发电机，在对发电机拆盖检修后未及时恢复，或违章作业，人体接触运转部件将有可能发生机械伤害。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（6）其他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在对罩棚及罩棚下的照明灯具进行检修时，若未采取有效的管理措施，检修过程中物体掉下将会对检修区下方通过的人员造成伤害。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在加油站检修过程中，若由于管理存在缺陷，未对加油站采取停业措施，外部车辆进入加油站将可能对检修人员造成伤害。</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特殊作业危险性分析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1.动火作业危险、有害因素分析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动火作业是指：</w:t>
      </w:r>
      <w:r>
        <w:rPr>
          <w:color w:val="000000" w:themeColor="text1"/>
          <w14:textFill>
            <w14:solidFill>
              <w14:schemeClr w14:val="tx1"/>
            </w14:solidFill>
          </w14:textFill>
        </w:rPr>
        <w:t>直接或间接产生明火的工艺设备以外的禁火区内可能产生火焰、火花或炽热表面的非常规作业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如使用电焊、气焊（割）、喷灯、电钻、砂轮等进行的作业。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动火作业</w:t>
      </w:r>
      <w:r>
        <w:rPr>
          <w:rFonts w:hint="eastAsia"/>
          <w:color w:val="000000" w:themeColor="text1"/>
          <w14:textFill>
            <w14:solidFill>
              <w14:schemeClr w14:val="tx1"/>
            </w14:solidFill>
          </w14:textFill>
        </w:rPr>
        <w:t>无</w:t>
      </w:r>
      <w:r>
        <w:rPr>
          <w:color w:val="000000" w:themeColor="text1"/>
          <w14:textFill>
            <w14:solidFill>
              <w14:schemeClr w14:val="tx1"/>
            </w14:solidFill>
          </w14:textFill>
        </w:rPr>
        <w:t>专人监火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清除动火现场及周围的易燃物品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采取其他有效安全防火措施</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配备消防器材</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动火点周围或其下方的地面如有可燃物、空洞、窨井、地沟、水封等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动火点周围有可能</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易燃、可燃物料的设备</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在盛有或盛装过</w:t>
      </w:r>
      <w:r>
        <w:rPr>
          <w:rFonts w:hint="eastAsia"/>
          <w:color w:val="000000" w:themeColor="text1"/>
          <w14:textFill>
            <w14:solidFill>
              <w14:schemeClr w14:val="tx1"/>
            </w14:solidFill>
          </w14:textFill>
        </w:rPr>
        <w:t>油品</w:t>
      </w:r>
      <w:r>
        <w:rPr>
          <w:color w:val="000000" w:themeColor="text1"/>
          <w14:textFill>
            <w14:solidFill>
              <w14:schemeClr w14:val="tx1"/>
            </w14:solidFill>
          </w14:textFill>
        </w:rPr>
        <w:t>的设备、管道等设施上动火作业</w:t>
      </w:r>
      <w:r>
        <w:rPr>
          <w:rFonts w:hint="eastAsia"/>
          <w:color w:val="000000" w:themeColor="text1"/>
          <w14:textFill>
            <w14:solidFill>
              <w14:schemeClr w14:val="tx1"/>
            </w14:solidFill>
          </w14:textFill>
        </w:rPr>
        <w:t>时，未</w:t>
      </w:r>
      <w:r>
        <w:rPr>
          <w:color w:val="000000" w:themeColor="text1"/>
          <w14:textFill>
            <w14:solidFill>
              <w14:schemeClr w14:val="tx1"/>
            </w14:solidFill>
          </w14:textFill>
        </w:rPr>
        <w:t>将其与生产系统彻底隔离</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进行清洗、置换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分析合格后</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使用气焊、气割动火作业时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乙炔瓶</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氧气瓶之间距</w:t>
      </w:r>
      <w:r>
        <w:rPr>
          <w:rFonts w:hint="eastAsia"/>
          <w:color w:val="000000" w:themeColor="text1"/>
          <w14:textFill>
            <w14:solidFill>
              <w14:schemeClr w14:val="tx1"/>
            </w14:solidFill>
          </w14:textFill>
        </w:rPr>
        <w:t>不等可能在发生火灾时造成火灾事故的扩大。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（5）动火</w:t>
      </w:r>
      <w:r>
        <w:rPr>
          <w:color w:val="000000" w:themeColor="text1"/>
          <w14:textFill>
            <w14:solidFill>
              <w14:schemeClr w14:val="tx1"/>
            </w14:solidFill>
          </w14:textFill>
        </w:rPr>
        <w:t>作业完毕</w:t>
      </w:r>
      <w:r>
        <w:rPr>
          <w:rFonts w:hint="eastAsia"/>
          <w:color w:val="000000" w:themeColor="text1"/>
          <w14:textFill>
            <w14:solidFill>
              <w14:schemeClr w14:val="tx1"/>
            </w14:solidFill>
          </w14:textFill>
        </w:rPr>
        <w:t>后未</w:t>
      </w:r>
      <w:r>
        <w:rPr>
          <w:color w:val="000000" w:themeColor="text1"/>
          <w14:textFill>
            <w14:solidFill>
              <w14:schemeClr w14:val="tx1"/>
            </w14:solidFill>
          </w14:textFill>
        </w:rPr>
        <w:t>清理现场</w:t>
      </w:r>
      <w:r>
        <w:rPr>
          <w:rFonts w:hint="eastAsia"/>
          <w:color w:val="000000" w:themeColor="text1"/>
          <w14:textFill>
            <w14:solidFill>
              <w14:schemeClr w14:val="tx1"/>
            </w14:solidFill>
          </w14:textFill>
        </w:rPr>
        <w:t>并</w:t>
      </w:r>
      <w:r>
        <w:rPr>
          <w:color w:val="000000" w:themeColor="text1"/>
          <w14:textFill>
            <w14:solidFill>
              <w14:schemeClr w14:val="tx1"/>
            </w14:solidFill>
          </w14:textFill>
        </w:rPr>
        <w:t>确认无残留火种后</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离开</w:t>
      </w:r>
      <w:r>
        <w:rPr>
          <w:rFonts w:hint="eastAsia"/>
          <w:color w:val="000000" w:themeColor="text1"/>
          <w14:textFill>
            <w14:solidFill>
              <w14:schemeClr w14:val="tx1"/>
            </w14:solidFill>
          </w14:textFill>
        </w:rPr>
        <w:t>，可能导致火灾事故。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（6）在油罐等设备内部进行动火作业前未进行动火分析，可能导致火灾、爆炸事故。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2.受限空间作业危险、有害因素分析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受限空间是指：</w:t>
      </w:r>
      <w:r>
        <w:rPr>
          <w:color w:val="000000" w:themeColor="text1"/>
          <w14:textFill>
            <w14:solidFill>
              <w14:schemeClr w14:val="tx1"/>
            </w14:solidFill>
          </w14:textFill>
        </w:rPr>
        <w:t>进出口受限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通风不良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可能存在易燃易爆、有毒有害物质或缺氧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对进入人员的身体健康和生命安全构成威胁的封闭、半封闭设施及场所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如罐、</w:t>
      </w:r>
      <w:r>
        <w:rPr>
          <w:rFonts w:hint="eastAsia"/>
          <w:color w:val="000000" w:themeColor="text1"/>
          <w14:textFill>
            <w14:solidFill>
              <w14:schemeClr w14:val="tx1"/>
            </w14:solidFill>
          </w14:textFill>
        </w:rPr>
        <w:t>操作井</w:t>
      </w:r>
      <w:r>
        <w:rPr>
          <w:color w:val="000000" w:themeColor="text1"/>
          <w14:textFill>
            <w14:solidFill>
              <w14:schemeClr w14:val="tx1"/>
            </w14:solidFill>
          </w14:textFill>
        </w:rPr>
        <w:t>、坑（池）</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受限空间作业即</w:t>
      </w:r>
      <w:r>
        <w:rPr>
          <w:color w:val="000000" w:themeColor="text1"/>
          <w14:textFill>
            <w14:solidFill>
              <w14:schemeClr w14:val="tx1"/>
            </w14:solidFill>
          </w14:textFill>
        </w:rPr>
        <w:t>进入或探入受限空间进行的作业。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（1）进入受限空间作业</w:t>
      </w:r>
      <w:r>
        <w:rPr>
          <w:color w:val="000000" w:themeColor="text1"/>
          <w14:textFill>
            <w14:solidFill>
              <w14:schemeClr w14:val="tx1"/>
            </w14:solidFill>
          </w14:textFill>
        </w:rPr>
        <w:t>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受限空间</w:t>
      </w:r>
      <w:r>
        <w:rPr>
          <w:color w:val="000000" w:themeColor="text1"/>
          <w14:textFill>
            <w14:solidFill>
              <w14:schemeClr w14:val="tx1"/>
            </w14:solidFill>
          </w14:textFill>
        </w:rPr>
        <w:t>盛装（过）的物料特性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对受限空间进行清洗或置换</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（2）受限空间作业时未能</w:t>
      </w:r>
      <w:r>
        <w:rPr>
          <w:color w:val="000000" w:themeColor="text1"/>
          <w14:textFill>
            <w14:solidFill>
              <w14:schemeClr w14:val="tx1"/>
            </w14:solidFill>
          </w14:textFill>
        </w:rPr>
        <w:t>保持</w:t>
      </w:r>
      <w:r>
        <w:rPr>
          <w:rFonts w:hint="eastAsia"/>
          <w:color w:val="000000" w:themeColor="text1"/>
          <w14:textFill>
            <w14:solidFill>
              <w14:schemeClr w14:val="tx1"/>
            </w14:solidFill>
          </w14:textFill>
        </w:rPr>
        <w:t>受限空间</w:t>
      </w:r>
      <w:r>
        <w:rPr>
          <w:color w:val="000000" w:themeColor="text1"/>
          <w14:textFill>
            <w14:solidFill>
              <w14:schemeClr w14:val="tx1"/>
            </w14:solidFill>
          </w14:textFill>
        </w:rPr>
        <w:t>空气流通良好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w:t>
      </w:r>
      <w:r>
        <w:rPr>
          <w:rFonts w:hint="eastAsia"/>
          <w:color w:val="000000" w:themeColor="text1"/>
          <w14:textFill>
            <w14:solidFill>
              <w14:schemeClr w14:val="tx1"/>
            </w14:solidFill>
          </w14:textFill>
        </w:rPr>
        <w:t>能导致在受限空间内作业时发生窒息。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（3）受限空间</w:t>
      </w:r>
      <w:r>
        <w:rPr>
          <w:color w:val="000000" w:themeColor="text1"/>
          <w14:textFill>
            <w14:solidFill>
              <w14:schemeClr w14:val="tx1"/>
            </w14:solidFill>
          </w14:textFill>
        </w:rPr>
        <w:t>照明电压</w:t>
      </w:r>
      <w:r>
        <w:rPr>
          <w:rFonts w:hint="eastAsia"/>
          <w:color w:val="000000" w:themeColor="text1"/>
          <w14:textFill>
            <w14:solidFill>
              <w14:schemeClr w14:val="tx1"/>
            </w14:solidFill>
          </w14:textFill>
        </w:rPr>
        <w:t>若大于</w:t>
      </w:r>
      <w:r>
        <w:rPr>
          <w:color w:val="000000" w:themeColor="text1"/>
          <w14:textFill>
            <w14:solidFill>
              <w14:schemeClr w14:val="tx1"/>
            </w14:solidFill>
          </w14:textFill>
        </w:rPr>
        <w:t>36V</w:t>
      </w:r>
      <w:r>
        <w:rPr>
          <w:rFonts w:hint="eastAsia"/>
          <w:color w:val="000000" w:themeColor="text1"/>
          <w14:textFill>
            <w14:solidFill>
              <w14:schemeClr w14:val="tx1"/>
            </w14:solidFill>
          </w14:textFill>
        </w:rPr>
        <w:t>，在受限空间内作业有可能引发触电事故。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（4）受限空间外无专人监护或监护人员作业时间内离开均有可能导致事故发生。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（5）受限空间</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设置安全警示标志</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备有空气呼吸器、消防器材和清水等相应的应急用品</w:t>
      </w:r>
      <w:r>
        <w:rPr>
          <w:rFonts w:hint="eastAsia"/>
          <w:color w:val="000000" w:themeColor="text1"/>
          <w14:textFill>
            <w14:solidFill>
              <w14:schemeClr w14:val="tx1"/>
            </w14:solidFill>
          </w14:textFill>
        </w:rPr>
        <w:t>，可能导致火灾、人员伤亡事故。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3.高处作业危险、有害因素分析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高处作业是指：</w:t>
      </w:r>
      <w:r>
        <w:rPr>
          <w:color w:val="000000" w:themeColor="text1"/>
          <w14:textFill>
            <w14:solidFill>
              <w14:schemeClr w14:val="tx1"/>
            </w14:solidFill>
          </w14:textFill>
        </w:rPr>
        <w:t>在距坠落基准面2m及2m以上有可能坠落的高处进行的作业。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对罩棚顶部维修</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铺设牢固的脚手板并加以固定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脚手板上</w:t>
      </w:r>
      <w:r>
        <w:rPr>
          <w:rFonts w:hint="eastAsia"/>
          <w:color w:val="000000" w:themeColor="text1"/>
          <w14:textFill>
            <w14:solidFill>
              <w14:schemeClr w14:val="tx1"/>
            </w14:solidFill>
          </w14:textFill>
        </w:rPr>
        <w:t>未设置</w:t>
      </w:r>
      <w:r>
        <w:rPr>
          <w:color w:val="000000" w:themeColor="text1"/>
          <w14:textFill>
            <w14:solidFill>
              <w14:schemeClr w14:val="tx1"/>
            </w14:solidFill>
          </w14:textFill>
        </w:rPr>
        <w:t>有防滑措施</w:t>
      </w:r>
      <w:r>
        <w:rPr>
          <w:rFonts w:hint="eastAsia"/>
          <w:color w:val="000000" w:themeColor="text1"/>
          <w14:textFill>
            <w14:solidFill>
              <w14:schemeClr w14:val="tx1"/>
            </w14:solidFill>
          </w14:textFill>
        </w:rPr>
        <w:t>等，可能发生高处坠落事故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雨天和雪天作业时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采取可靠的防滑、防寒措施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遇有五级以上强风、浓雾等恶劣气候</w:t>
      </w:r>
      <w:r>
        <w:rPr>
          <w:rFonts w:hint="eastAsia"/>
          <w:color w:val="000000" w:themeColor="text1"/>
          <w14:textFill>
            <w14:solidFill>
              <w14:schemeClr w14:val="tx1"/>
            </w14:solidFill>
          </w14:textFill>
        </w:rPr>
        <w:t>，仍然</w:t>
      </w:r>
      <w:r>
        <w:rPr>
          <w:color w:val="000000" w:themeColor="text1"/>
          <w14:textFill>
            <w14:solidFill>
              <w14:schemeClr w14:val="tx1"/>
            </w14:solidFill>
          </w14:textFill>
        </w:rPr>
        <w:t>进行高处作业、露天攀登与悬空高处作业</w:t>
      </w:r>
      <w:r>
        <w:rPr>
          <w:rFonts w:hint="eastAsia"/>
          <w:color w:val="000000" w:themeColor="text1"/>
          <w14:textFill>
            <w14:solidFill>
              <w14:schemeClr w14:val="tx1"/>
            </w14:solidFill>
          </w14:textFill>
        </w:rPr>
        <w:t>，可能发生高处坠落事故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作业使用的工具、材料、零件等</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装入工具袋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上下时手持</w:t>
      </w:r>
      <w:r>
        <w:rPr>
          <w:rFonts w:hint="eastAsia"/>
          <w:color w:val="000000" w:themeColor="text1"/>
          <w14:textFill>
            <w14:solidFill>
              <w14:schemeClr w14:val="tx1"/>
            </w14:solidFill>
          </w14:textFill>
        </w:rPr>
        <w:t>工具，</w:t>
      </w:r>
      <w:r>
        <w:rPr>
          <w:color w:val="000000" w:themeColor="text1"/>
          <w14:textFill>
            <w14:solidFill>
              <w14:schemeClr w14:val="tx1"/>
            </w14:solidFill>
          </w14:textFill>
        </w:rPr>
        <w:t>投掷工具、材料及其他物品</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易滑动、易滚动的工具、材料堆放在脚手架上时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采取防坠落措施</w:t>
      </w:r>
      <w:r>
        <w:rPr>
          <w:rFonts w:hint="eastAsia"/>
          <w:color w:val="000000" w:themeColor="text1"/>
          <w14:textFill>
            <w14:solidFill>
              <w14:schemeClr w14:val="tx1"/>
            </w14:solidFill>
          </w14:textFill>
        </w:rPr>
        <w:t>，均有可能发生物体坠落、打击事故。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与其他作业交叉进行时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按指定的路线上下</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上下垂直作业</w:t>
      </w:r>
      <w:r>
        <w:rPr>
          <w:rFonts w:hint="eastAsia"/>
          <w:color w:val="000000" w:themeColor="text1"/>
          <w14:textFill>
            <w14:solidFill>
              <w14:schemeClr w14:val="tx1"/>
            </w14:solidFill>
          </w14:textFill>
        </w:rPr>
        <w:t>时未</w:t>
      </w:r>
      <w:r>
        <w:rPr>
          <w:color w:val="000000" w:themeColor="text1"/>
          <w14:textFill>
            <w14:solidFill>
              <w14:schemeClr w14:val="tx1"/>
            </w14:solidFill>
          </w14:textFill>
        </w:rPr>
        <w:t>采取可靠的隔离措施</w:t>
      </w:r>
      <w:r>
        <w:rPr>
          <w:rFonts w:hint="eastAsia"/>
          <w:color w:val="000000" w:themeColor="text1"/>
          <w14:textFill>
            <w14:solidFill>
              <w14:schemeClr w14:val="tx1"/>
            </w14:solidFill>
          </w14:textFill>
        </w:rPr>
        <w:t>，均有可能发生物体打击、高处坠落事故发生</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因作业必需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临时拆除或变动安全防护设施时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经作业审批人员同意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采取相应的防护措施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作业后</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立即恢复</w:t>
      </w:r>
      <w:r>
        <w:rPr>
          <w:rFonts w:hint="eastAsia"/>
          <w:color w:val="000000" w:themeColor="text1"/>
          <w14:textFill>
            <w14:solidFill>
              <w14:schemeClr w14:val="tx1"/>
            </w14:solidFill>
          </w14:textFill>
        </w:rPr>
        <w:t>，均有可能发生高处坠落等事故的发生。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拆除脚手架、防护棚时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设警戒区并派专人监护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上部和下部同时施工</w:t>
      </w:r>
      <w:r>
        <w:rPr>
          <w:rFonts w:hint="eastAsia"/>
          <w:color w:val="000000" w:themeColor="text1"/>
          <w14:textFill>
            <w14:solidFill>
              <w14:schemeClr w14:val="tx1"/>
            </w14:solidFill>
          </w14:textFill>
        </w:rPr>
        <w:t>，均有可能发生高处坠落、物体打击等事故的发生</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4.临时用电危险、有害因素分析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临时用电是指：</w:t>
      </w:r>
      <w:r>
        <w:rPr>
          <w:color w:val="000000" w:themeColor="text1"/>
          <w14:textFill>
            <w14:solidFill>
              <w14:schemeClr w14:val="tx1"/>
            </w14:solidFill>
          </w14:textFill>
        </w:rPr>
        <w:t>正式运行的电源上所接的非永久性用电。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在运行的生产</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、罐区和具有火灾爆炸危险场所内</w:t>
      </w:r>
      <w:r>
        <w:rPr>
          <w:rFonts w:hint="eastAsia"/>
          <w:color w:val="000000" w:themeColor="text1"/>
          <w14:textFill>
            <w14:solidFill>
              <w14:schemeClr w14:val="tx1"/>
            </w14:solidFill>
          </w14:textFill>
        </w:rPr>
        <w:t>违规</w:t>
      </w:r>
      <w:r>
        <w:rPr>
          <w:color w:val="000000" w:themeColor="text1"/>
          <w14:textFill>
            <w14:solidFill>
              <w14:schemeClr w14:val="tx1"/>
            </w14:solidFill>
          </w14:textFill>
        </w:rPr>
        <w:t>接临时电源</w:t>
      </w:r>
      <w:r>
        <w:rPr>
          <w:rFonts w:hint="eastAsia"/>
          <w:color w:val="000000" w:themeColor="text1"/>
          <w14:textFill>
            <w14:solidFill>
              <w14:schemeClr w14:val="tx1"/>
            </w14:solidFill>
          </w14:textFill>
        </w:rPr>
        <w:t>，可能导致火灾、爆炸事故的发生。</w:t>
      </w:r>
    </w:p>
    <w:p>
      <w:pP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在开关上接引、拆除临时用电线路时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其上级开关</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断电上锁并加挂安全警示标牌</w:t>
      </w:r>
      <w:r>
        <w:rPr>
          <w:rFonts w:hint="eastAsia"/>
          <w:color w:val="000000" w:themeColor="text1"/>
          <w14:textFill>
            <w14:solidFill>
              <w14:schemeClr w14:val="tx1"/>
            </w14:solidFill>
          </w14:textFill>
        </w:rPr>
        <w:t>，可能引发触电伤害</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临时用电</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设置保护开关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检查电气装置和保护设施的可靠性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临时用电</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设置接地保护</w:t>
      </w:r>
      <w:r>
        <w:rPr>
          <w:rFonts w:hint="eastAsia"/>
          <w:color w:val="000000" w:themeColor="text1"/>
          <w14:textFill>
            <w14:solidFill>
              <w14:schemeClr w14:val="tx1"/>
            </w14:solidFill>
          </w14:textFill>
        </w:rPr>
        <w:t>，均有可能导致电气火灾、触电事故的发生。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临时用电线路经过有高温、振动、积水及产生机械损伤等区域</w:t>
      </w:r>
      <w:r>
        <w:rPr>
          <w:rFonts w:hint="eastAsia"/>
          <w:color w:val="000000" w:themeColor="text1"/>
          <w14:textFill>
            <w14:solidFill>
              <w14:schemeClr w14:val="tx1"/>
            </w14:solidFill>
          </w14:textFill>
        </w:rPr>
        <w:t>，若</w:t>
      </w:r>
      <w:r>
        <w:rPr>
          <w:color w:val="000000" w:themeColor="text1"/>
          <w14:textFill>
            <w14:solidFill>
              <w14:schemeClr w14:val="tx1"/>
            </w14:solidFill>
          </w14:textFill>
        </w:rPr>
        <w:t>有接头</w:t>
      </w:r>
      <w:r>
        <w:rPr>
          <w:rFonts w:hint="eastAsia"/>
          <w:color w:val="000000" w:themeColor="text1"/>
          <w14:textFill>
            <w14:solidFill>
              <w14:schemeClr w14:val="tx1"/>
            </w14:solidFill>
          </w14:textFill>
        </w:rPr>
        <w:t>，可能发生触电事故。</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自然条件及其他危险性分析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（1）风速、风向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若加油站设计时没有考虑当地的风速、风向，将导致在罩棚的设计时对风荷载考虑不足，可能导致罩棚抗风荷载能力不足，在遇到瞬时强风时或暴雨天气可能导致罩棚垮塌，造成极其严重的事故后果。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（2）温度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所处区域气象条件恶劣，当气温很高时，油品蒸发速度增加，同时散发的油蒸气分子活性很强，遇到小火星或未熄灭的烟头等都将很容易将油蒸气引燃引爆，从而对加油站造成重大的人员伤亡和财产损失，特别是在高温季节卸油和加油时危险性增强。当气温很低时，将可能造成油罐及输油管线收缩变形，甚至造成油罐和管线破裂，造成油品泄漏的严重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加油站所在地年平均气温</w:t>
      </w:r>
      <w:r>
        <w:rPr>
          <w:rFonts w:hint="eastAsia"/>
          <w:color w:val="000000" w:themeColor="text1"/>
          <w:lang w:val="en-US" w:eastAsia="zh-CN"/>
          <w14:textFill>
            <w14:solidFill>
              <w14:schemeClr w14:val="tx1"/>
            </w14:solidFill>
          </w14:textFill>
        </w:rPr>
        <w:t>17.1</w:t>
      </w:r>
      <w:r>
        <w:rPr>
          <w:rFonts w:hint="eastAsia"/>
          <w:color w:val="000000" w:themeColor="text1"/>
          <w14:textFill>
            <w14:solidFill>
              <w14:schemeClr w14:val="tx1"/>
            </w14:solidFill>
          </w14:textFill>
        </w:rPr>
        <w:t>℃，极端最高气温及极端最低气温可能会对加油站的设备造成一定影响，但由于加油站采用埋地油罐，而且出现极端气温的概率较小，因此出现极端天气对加油站的影响在可接受的范围内。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（3）湿度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加油站在加油、卸油时，现场不可避免会有油气散发，若现场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。遇到点火源将发生火灾爆炸事故，造成严重的事故后果。本加油站处位置周边无高大建筑物或山体的遮挡，通风条件良好，因此因湿度、气压等原因造成油气聚集引发事故的可能性很小。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（4）降水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罩棚若没有设置足够的排水设施或排水管堵塞，将可能有大量雨水聚集在罩棚顶部，导致罩棚垮塌，造成群死群伤的事故后果。</w:t>
      </w:r>
    </w:p>
    <w:p>
      <w:pPr>
        <w:rPr>
          <w:color w:val="000000" w:themeColor="text1"/>
          <w14:textFill>
            <w14:solidFill>
              <w14:schemeClr w14:val="tx1"/>
            </w14:solidFill>
          </w14:textFill>
        </w:rPr>
      </w:pPr>
      <w:bookmarkStart w:id="334" w:name="_Toc214095085"/>
      <w:r>
        <w:rPr>
          <w:rFonts w:hint="eastAsia"/>
          <w:color w:val="000000" w:themeColor="text1"/>
          <w14:textFill>
            <w14:solidFill>
              <w14:schemeClr w14:val="tx1"/>
            </w14:solidFill>
          </w14:textFill>
        </w:rPr>
        <w:t>在暴雨情况下，若未及时抽排油罐池内积水，可能出现油罐上移拉断管线导致油品泄漏。油罐已设置抱带防上浮，对加油站的影响是可接受的。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（5）地质条件影响分析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若加油站场地</w:t>
      </w:r>
      <w:r>
        <w:rPr>
          <w:color w:val="000000" w:themeColor="text1"/>
          <w14:textFill>
            <w14:solidFill>
              <w14:schemeClr w14:val="tx1"/>
            </w14:solidFill>
          </w14:textFill>
        </w:rPr>
        <w:t>地形地貌起伏多变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地层岩性复杂多样</w:t>
      </w:r>
      <w:r>
        <w:rPr>
          <w:rFonts w:hint="eastAsia"/>
          <w:color w:val="000000" w:themeColor="text1"/>
          <w14:textFill>
            <w14:solidFill>
              <w14:schemeClr w14:val="tx1"/>
            </w14:solidFill>
          </w14:textFill>
        </w:rPr>
        <w:t>，将可能存在滑坡、崩塌、泥石流、</w:t>
      </w:r>
      <w:r>
        <w:rPr>
          <w:color w:val="000000" w:themeColor="text1"/>
          <w14:textFill>
            <w14:solidFill>
              <w14:schemeClr w14:val="tx1"/>
            </w14:solidFill>
          </w14:textFill>
        </w:rPr>
        <w:t>地面沉降、地面塌陷</w:t>
      </w:r>
      <w:r>
        <w:rPr>
          <w:rFonts w:hint="eastAsia"/>
          <w:color w:val="000000" w:themeColor="text1"/>
          <w14:textFill>
            <w14:solidFill>
              <w14:schemeClr w14:val="tx1"/>
            </w14:solidFill>
          </w14:textFill>
        </w:rPr>
        <w:t>等地质灾害，严重影响加油站建构筑物的安全、稳定，特别是发生地震时，将可能彻底摧毁加油站。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从现场踏勘情况看，目前场地稳定，未见滑坡、断裂、泥石流等不良地质现象。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（6）地下水影响分析</w:t>
      </w:r>
      <w:bookmarkEnd w:id="33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若加油站所处位置平坦，加油站场地地下水水位较高，加油站在运行过程中，可能会出现地下水水位较高而引起油罐上浮，致使管路或设备损坏，油料泄漏，从而导致更大的事故发生。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油罐区已设置观察井，能及时</w:t>
      </w:r>
      <w:r>
        <w:rPr>
          <w:rFonts w:hint="eastAsia"/>
          <w:color w:val="000000" w:themeColor="text1"/>
          <w:lang w:val="en-US" w:eastAsia="zh-CN"/>
          <w14:textFill>
            <w14:solidFill>
              <w14:schemeClr w14:val="tx1"/>
            </w14:solidFill>
          </w14:textFill>
        </w:rPr>
        <w:t>观察、</w:t>
      </w:r>
      <w:r>
        <w:rPr>
          <w:rFonts w:hint="eastAsia"/>
          <w:color w:val="000000" w:themeColor="text1"/>
          <w14:textFill>
            <w14:solidFill>
              <w14:schemeClr w14:val="tx1"/>
            </w14:solidFill>
          </w14:textFill>
        </w:rPr>
        <w:t>抽取油罐区积水。</w:t>
      </w:r>
    </w:p>
    <w:p>
      <w:pPr>
        <w:pStyle w:val="5"/>
        <w:ind w:firstLine="560"/>
        <w:rPr>
          <w:color w:val="000000" w:themeColor="text1"/>
          <w14:textFill>
            <w14:solidFill>
              <w14:schemeClr w14:val="tx1"/>
            </w14:solidFill>
          </w14:textFill>
        </w:rPr>
      </w:pPr>
      <w:bookmarkStart w:id="335" w:name="_Toc18983"/>
      <w:bookmarkStart w:id="336" w:name="_Toc456527711"/>
      <w:bookmarkStart w:id="337" w:name="_Toc80123615"/>
      <w:r>
        <w:rPr>
          <w:rFonts w:hint="eastAsia"/>
          <w:color w:val="000000" w:themeColor="text1"/>
          <w14:textFill>
            <w14:solidFill>
              <w14:schemeClr w14:val="tx1"/>
            </w14:solidFill>
          </w14:textFill>
        </w:rPr>
        <w:t>加油站与周边环境相互影响分析</w:t>
      </w:r>
      <w:bookmarkEnd w:id="335"/>
      <w:bookmarkEnd w:id="336"/>
      <w:bookmarkEnd w:id="337"/>
    </w:p>
    <w:p>
      <w:pPr>
        <w:rPr>
          <w:color w:val="000000" w:themeColor="text1"/>
          <w14:textFill>
            <w14:solidFill>
              <w14:schemeClr w14:val="tx1"/>
            </w14:solidFill>
          </w14:textFill>
        </w:rPr>
      </w:pPr>
      <w:r>
        <w:rPr>
          <w:rFonts w:hint="eastAsia"/>
          <w:color w:val="000000" w:themeColor="text1"/>
          <w:kern w:val="0"/>
          <w:szCs w:val="28"/>
          <w14:textFill>
            <w14:solidFill>
              <w14:schemeClr w14:val="tx1"/>
            </w14:solidFill>
          </w14:textFill>
        </w:rPr>
        <w:t>加油站</w:t>
      </w:r>
      <w:r>
        <w:rPr>
          <w:rFonts w:hint="eastAsia"/>
          <w:color w:val="000000" w:themeColor="text1"/>
          <w:szCs w:val="28"/>
          <w14:textFill>
            <w14:solidFill>
              <w14:schemeClr w14:val="tx1"/>
            </w14:solidFill>
          </w14:textFill>
        </w:rPr>
        <w:t>位于</w:t>
      </w:r>
      <w:r>
        <w:rPr>
          <w:rFonts w:hint="eastAsia"/>
          <w:color w:val="000000" w:themeColor="text1"/>
          <w:szCs w:val="28"/>
          <w:lang w:eastAsia="zh-CN"/>
          <w14:textFill>
            <w14:solidFill>
              <w14:schemeClr w14:val="tx1"/>
            </w14:solidFill>
          </w14:textFill>
        </w:rPr>
        <w:t>云南省文山壮族苗族自治州丘北县树皮乡树皮街头新树线旁</w:t>
      </w:r>
      <w:r>
        <w:rPr>
          <w:rFonts w:hint="eastAsia"/>
          <w:color w:val="000000" w:themeColor="text1"/>
          <w14:textFill>
            <w14:solidFill>
              <w14:schemeClr w14:val="tx1"/>
            </w14:solidFill>
          </w14:textFill>
        </w:rPr>
        <w:t>，交通便利。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加油站周边环境单一，周边</w:t>
      </w:r>
      <w:r>
        <w:rPr>
          <w:rFonts w:hint="eastAsia"/>
          <w:color w:val="000000" w:themeColor="text1"/>
          <w:lang w:val="en-US" w:eastAsia="zh-CN"/>
          <w14:textFill>
            <w14:solidFill>
              <w14:schemeClr w14:val="tx1"/>
            </w14:solidFill>
          </w14:textFill>
        </w:rPr>
        <w:t>设施与加油站</w:t>
      </w:r>
      <w:r>
        <w:rPr>
          <w:rFonts w:hint="eastAsia"/>
          <w:color w:val="000000" w:themeColor="text1"/>
          <w14:textFill>
            <w14:solidFill>
              <w14:schemeClr w14:val="tx1"/>
            </w14:solidFill>
          </w14:textFill>
        </w:rPr>
        <w:t>距离</w:t>
      </w:r>
      <w:r>
        <w:rPr>
          <w:rFonts w:hint="eastAsia"/>
          <w:color w:val="000000" w:themeColor="text1"/>
          <w:lang w:val="en-US" w:eastAsia="zh-CN"/>
          <w14:textFill>
            <w14:solidFill>
              <w14:schemeClr w14:val="tx1"/>
            </w14:solidFill>
          </w14:textFill>
        </w:rPr>
        <w:t>满足要求</w:t>
      </w:r>
      <w:r>
        <w:rPr>
          <w:rFonts w:hint="eastAsia"/>
          <w:color w:val="000000" w:themeColor="text1"/>
          <w14:textFill>
            <w14:solidFill>
              <w14:schemeClr w14:val="tx1"/>
            </w14:solidFill>
          </w14:textFill>
        </w:rPr>
        <w:t>，加油站在日常经营过程中，对周边环境影响较小。</w:t>
      </w:r>
    </w:p>
    <w:p>
      <w:pPr>
        <w:pStyle w:val="5"/>
        <w:ind w:firstLine="560"/>
        <w:rPr>
          <w:color w:val="000000" w:themeColor="text1"/>
          <w14:textFill>
            <w14:solidFill>
              <w14:schemeClr w14:val="tx1"/>
            </w14:solidFill>
          </w14:textFill>
        </w:rPr>
      </w:pPr>
      <w:bookmarkStart w:id="338" w:name="_Toc80123616"/>
      <w:bookmarkStart w:id="339" w:name="_Toc24098"/>
      <w:r>
        <w:rPr>
          <w:rFonts w:hint="eastAsia"/>
          <w:color w:val="000000" w:themeColor="text1"/>
          <w14:textFill>
            <w14:solidFill>
              <w14:schemeClr w14:val="tx1"/>
            </w14:solidFill>
          </w14:textFill>
        </w:rPr>
        <w:t>加油站平面布置危险、有害因素分析</w:t>
      </w:r>
      <w:bookmarkEnd w:id="338"/>
      <w:bookmarkEnd w:id="33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加油站的平面布置主要包括功能分区、防火间距、道路、竖向布置等方面的内容，平面布置不合理主要可能导致火灾、爆炸、车辆伤害等危险。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加油站运行期间，可能引发事故的原因主要有：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1.站内消防器材摆放不合理，站内发生火灾事故，由于消防器材取用不便，延误初期火灾的扑救，造成更大火灾、爆炸等危险；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2.消防通道、加油车道堆放物品等导致消防通道、加油车道受阻；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3.转弯半径不足，进站车辆特别是载重车、挂车等进入站区导致碰撞，可能导致人员伤亡、车辆损坏、罩棚坍塌等事故；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4.油罐槽车未按规定路线行驶或者停车，有发生溜车的危险性。</w:t>
      </w:r>
    </w:p>
    <w:p>
      <w:pPr>
        <w:pStyle w:val="3"/>
        <w:rPr>
          <w:color w:val="000000" w:themeColor="text1"/>
          <w14:textFill>
            <w14:solidFill>
              <w14:schemeClr w14:val="tx1"/>
            </w14:solidFill>
          </w14:textFill>
        </w:rPr>
      </w:pPr>
      <w:bookmarkStart w:id="340" w:name="_Toc26448"/>
      <w:r>
        <w:rPr>
          <w:rFonts w:hint="eastAsia"/>
          <w:color w:val="000000" w:themeColor="text1"/>
          <w14:textFill>
            <w14:solidFill>
              <w14:schemeClr w14:val="tx1"/>
            </w14:solidFill>
          </w14:textFill>
        </w:rPr>
        <w:t>危险、有害因素的辨识结果</w:t>
      </w:r>
      <w:bookmarkEnd w:id="307"/>
      <w:bookmarkEnd w:id="308"/>
      <w:bookmarkEnd w:id="309"/>
      <w:bookmarkEnd w:id="34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根据加油站特点及经营危险化学品的特性，对其主要危险、危害因素辨识结果见表3-3。</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表3-3  危险、有害因素辨识结果一览表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71"/>
        <w:gridCol w:w="3837"/>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危险有害因素</w:t>
            </w:r>
          </w:p>
        </w:tc>
        <w:tc>
          <w:tcPr>
            <w:tcW w:w="117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主要存在部位</w:t>
            </w:r>
          </w:p>
        </w:tc>
        <w:tc>
          <w:tcPr>
            <w:tcW w:w="383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产生的原因</w:t>
            </w:r>
          </w:p>
        </w:tc>
        <w:tc>
          <w:tcPr>
            <w:tcW w:w="316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储油罐区、加油区、</w:t>
            </w:r>
            <w:r>
              <w:rPr>
                <w:rFonts w:hint="eastAsia"/>
                <w:bCs/>
                <w:color w:val="000000" w:themeColor="text1"/>
                <w14:textFill>
                  <w14:solidFill>
                    <w14:schemeClr w14:val="tx1"/>
                  </w14:solidFill>
                </w14:textFill>
              </w:rPr>
              <w:t>卸油区、发电机等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（1）油气泄漏扩散且现场存在点火源。</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（2）现场管理混乱，违章作业、没有划定禁火区、乱扔烟头等。</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（3）防雷、防静电接地失效，发生雷击或静电打火。</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（1）杜绝火种。</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（2）加强现场管理，加油站区划为禁火区。</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（3）设置防雷、防静电设施，并进行定期检测，确保防雷、防静电设施有效。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发配电装置，用电设备，电气线路</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（1）配电装置存在缺陷，使用不合格电气元件。</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（2）操作人员不具备相关资格和知识，电气线路接线存在问题。</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（3）电气设备、线路老化、绝缘损坏漏电。</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（4）未安装漏电保护设施或损坏。</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（5）安全管理存在缺陷，检修作业安全措施未落实。</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（1）采用合格的电气元件，并由专业人员进行安装。</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（2）相关操作人员持证上岗。</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（3）加强电气线路的安全检查。</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（4）按要求安装漏电保护器。</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（5）加强安全管理，严格落实电气设备检修制度。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站内车道、加油区、卸油区等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（1）现场管理混乱，车辆不按规定行驶。</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（2）场地设计不合理。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（3）警示标识不明确。</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（1）加强现场安全管理。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（2）加油站场地应按规范要求进行设计。</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（3）设置相应的安全警示标识。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油罐车上取样检查油品作业、油站罩棚等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（1）防护设施不齐全。</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（2）作业人员未注意。</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（1）加强检修安全管理，进行检修时安全防护设施不齐全、防护措施未落实不得进行检修作业。</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（2）加强对从业人员的安全教育，提高安全意识。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中毒和窒息</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加油区、储油罐区、发电机房等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（1）人员吸入油蒸气或接触油品。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（2）罐内作业没有进行通风或通风条件不良。</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（1）从业人员配备相应的劳动防护用品。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（2）进行罐内检修作业时必须进行置换并确保含氧量符合要求。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罩棚、围墙、挡土墙</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（1）罩棚本身施工质量不良。</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（2）地质原因塌陷。</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（1）加强罩棚的维护、检修。</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（2）加强围墙的检查、维护。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加油机、发电机、机械设备检修等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（1）违章作业或操作不当；</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（2）在检修时，使用切割等机械作业时，易对人体造成机械伤害；</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（3）在检修或日常检查时，打开加油机机盖，其内部电动机可能会造成机械伤害；</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（4）若发电机工作时，转动部件未设置相应防护罩，可能会造成机械伤害。</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（1）加强安全教育；</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（2）正确佩戴劳动防护用品；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（3）为转动部件设置相应防护罩。</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加油站涉及的危险化学品主要为汽油和柴油，涉及的危险有害因素为火灾爆炸、车辆伤害、触电、中毒和窒息、高处坠落、坍塌等。其中最主要的危险有害因素是火灾、爆炸。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事故易发及危险点是：加油区（加油场地及加油机）、储油罐区（包括卸油区、油罐及管道）、站房，存在的主要危险有害因素见表3-4。</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表3-4  加油站事故易发及危险点主要危险有害因素表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blHeader/>
          <w:jc w:val="center"/>
        </w:trPr>
        <w:tc>
          <w:tcPr>
            <w:tcW w:w="206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事故易发部位</w:t>
            </w:r>
          </w:p>
        </w:tc>
        <w:tc>
          <w:tcPr>
            <w:tcW w:w="70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危险点辨识内容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加油区（加油场地及加油机）</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（1）加油岛是为各种机动车辆加油的场所。由于汽车尾气带火星、车厢漏油、加油过满溢出、加油机漏油、加油机防爆电气故障等原因，容易引发火灾爆炸事故。</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（2）违章用油枪往塑料桶加油，汽油在塑料桶内流动摩擦产生静电积聚，当静电压和桶内的油蒸气达到一定值时，就会引发爆炸。</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（3）加油场地也可能因外来加油车违章驾驶、路面积油污、路面积雪积冰，加油岛照明不足等原因造成车辆伤害事故。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储油罐区（包括卸油区、油罐及管道）</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（1）在加油站的各类事故中，油罐和管道发生的事故占很大比例。如地面水进入地下油罐，使油品溢出；卸油时油气外溢遇明火引爆；油罐、卸油接管等处接地不良，通气管遭遇雷击，或静电闪火引燃引爆。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油车不熄火，油罐车静电没有消散，油罐车卸油连通软管导静电性能差；雷雨天往油罐卸油或往汽车车厢加油速度过快，加油操作失误；密闭卸油接口处漏油；对明火管理不严等，都会导致火灾、爆炸或设备损坏或人身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站房（包括营业室、值班室等）、辅助用房</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如有油气进入站房，遇到明火，值班人员烧水、热饭和吸烟、乱扔烟头余烬等，会导致火灾或爆炸。</w:t>
            </w:r>
          </w:p>
        </w:tc>
      </w:tr>
    </w:tbl>
    <w:p>
      <w:pPr>
        <w:pStyle w:val="3"/>
        <w:rPr>
          <w:color w:val="000000" w:themeColor="text1"/>
          <w14:textFill>
            <w14:solidFill>
              <w14:schemeClr w14:val="tx1"/>
            </w14:solidFill>
          </w14:textFill>
        </w:rPr>
      </w:pPr>
      <w:bookmarkStart w:id="341" w:name="_Toc15081"/>
      <w:bookmarkStart w:id="342" w:name="_Toc213232900"/>
      <w:bookmarkStart w:id="343" w:name="_Toc195156249"/>
      <w:bookmarkStart w:id="344" w:name="_Toc387135676"/>
      <w:r>
        <w:rPr>
          <w:rFonts w:hint="eastAsia"/>
          <w:color w:val="000000" w:themeColor="text1"/>
          <w14:textFill>
            <w14:solidFill>
              <w14:schemeClr w14:val="tx1"/>
            </w14:solidFill>
          </w14:textFill>
        </w:rPr>
        <w:t>重大危险源辨识</w:t>
      </w:r>
      <w:bookmarkEnd w:id="341"/>
      <w:bookmarkEnd w:id="342"/>
      <w:bookmarkEnd w:id="343"/>
      <w:bookmarkEnd w:id="344"/>
    </w:p>
    <w:p>
      <w:pPr>
        <w:pStyle w:val="4"/>
        <w:ind w:firstLine="562"/>
        <w:rPr>
          <w:color w:val="000000" w:themeColor="text1"/>
          <w14:textFill>
            <w14:solidFill>
              <w14:schemeClr w14:val="tx1"/>
            </w14:solidFill>
          </w14:textFill>
        </w:rPr>
      </w:pPr>
      <w:bookmarkStart w:id="345" w:name="_Toc363315958"/>
      <w:bookmarkStart w:id="346" w:name="_Toc13554"/>
      <w:bookmarkStart w:id="347" w:name="_Toc456527720"/>
      <w:bookmarkStart w:id="348" w:name="_Toc360569563"/>
      <w:r>
        <w:rPr>
          <w:rFonts w:hint="eastAsia"/>
          <w:color w:val="000000" w:themeColor="text1"/>
          <w14:textFill>
            <w14:solidFill>
              <w14:schemeClr w14:val="tx1"/>
            </w14:solidFill>
          </w14:textFill>
        </w:rPr>
        <w:t>方法介绍</w:t>
      </w:r>
      <w:bookmarkEnd w:id="345"/>
      <w:bookmarkEnd w:id="346"/>
      <w:bookmarkEnd w:id="347"/>
      <w:bookmarkEnd w:id="348"/>
    </w:p>
    <w:p>
      <w:pPr>
        <w:rPr>
          <w:color w:val="000000" w:themeColor="text1"/>
          <w14:textFill>
            <w14:solidFill>
              <w14:schemeClr w14:val="tx1"/>
            </w14:solidFill>
          </w14:textFill>
        </w:rPr>
      </w:pPr>
      <w:bookmarkStart w:id="349" w:name="_Toc363315959"/>
      <w:bookmarkStart w:id="350" w:name="_Toc456527721"/>
      <w:bookmarkStart w:id="351" w:name="_Toc360569564"/>
      <w:r>
        <w:rPr>
          <w:rFonts w:hint="eastAsia"/>
          <w:color w:val="000000" w:themeColor="text1"/>
          <w14:textFill>
            <w14:solidFill>
              <w14:schemeClr w14:val="tx1"/>
            </w14:solidFill>
          </w14:textFill>
        </w:rPr>
        <w:t>依据《危险化学品重大危险源辨识》（GB18218-2018），危险化学品重大危险源是指长期地或者临时地生产、储存、使用和经营危险化学品，且危险化学品的数量等于或超过临界量的单元。</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危险化学品重大危险源的辨识依据是物质的危险性及数量。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生产单元、储存单元内存在危险化学品的数量等于或超过危险化学品规定的临界量，即被定为重大危险源。单元内存在危险化学品的数量根据危险化学品种类的多少分为以下两种情况：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（1）生产单元、储存单元内存在的危险化学品为单一品种，该危险化学品的数量即为单元内危险化学品的总量，若等于或超过相应的临界量，则定为重大危险源。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（2）生产单元、储存单元内存在的危险化学品为多品种时，则按下式计算，若满足下面公式，则定为重大危险源：</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S=q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≥1        （1）</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式中：S            ---辨识指标</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---每种危险化学品实际存在量，单位为吨（t）；</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---与每种危险化学品相对应的临界量，单位为吨（t）。</w:t>
      </w:r>
    </w:p>
    <w:p>
      <w:pPr>
        <w:pStyle w:val="4"/>
        <w:ind w:firstLine="562"/>
        <w:rPr>
          <w:color w:val="000000" w:themeColor="text1"/>
          <w14:textFill>
            <w14:solidFill>
              <w14:schemeClr w14:val="tx1"/>
            </w14:solidFill>
          </w14:textFill>
        </w:rPr>
      </w:pPr>
      <w:bookmarkStart w:id="352" w:name="_Toc11727"/>
      <w:r>
        <w:rPr>
          <w:rFonts w:hint="eastAsia"/>
          <w:color w:val="000000" w:themeColor="text1"/>
          <w14:textFill>
            <w14:solidFill>
              <w14:schemeClr w14:val="tx1"/>
            </w14:solidFill>
          </w14:textFill>
        </w:rPr>
        <w:t>物质的临界量</w:t>
      </w:r>
      <w:bookmarkEnd w:id="349"/>
      <w:bookmarkEnd w:id="350"/>
      <w:bookmarkEnd w:id="351"/>
      <w:bookmarkEnd w:id="35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根据《危险化学品重大危险源辨识》（GB18218-2018）的规定，汽油的临界量为200t。柴油（W5.4类易燃液体），柴油的临界量为5000t。</w:t>
      </w:r>
    </w:p>
    <w:p>
      <w:pPr>
        <w:pStyle w:val="4"/>
        <w:ind w:firstLine="562"/>
        <w:rPr>
          <w:color w:val="000000" w:themeColor="text1"/>
          <w14:textFill>
            <w14:solidFill>
              <w14:schemeClr w14:val="tx1"/>
            </w14:solidFill>
          </w14:textFill>
        </w:rPr>
      </w:pPr>
      <w:bookmarkStart w:id="353" w:name="_Toc363315960"/>
      <w:bookmarkStart w:id="354" w:name="_Toc32256"/>
      <w:bookmarkStart w:id="355" w:name="_Toc456527722"/>
      <w:bookmarkStart w:id="356" w:name="_Toc360569565"/>
      <w:r>
        <w:rPr>
          <w:rFonts w:hint="eastAsia"/>
          <w:color w:val="000000" w:themeColor="text1"/>
          <w14:textFill>
            <w14:solidFill>
              <w14:schemeClr w14:val="tx1"/>
            </w14:solidFill>
          </w14:textFill>
        </w:rPr>
        <w:t>重大危险源辨识</w:t>
      </w:r>
      <w:bookmarkEnd w:id="353"/>
      <w:bookmarkEnd w:id="354"/>
      <w:bookmarkEnd w:id="355"/>
      <w:bookmarkEnd w:id="356"/>
    </w:p>
    <w:p>
      <w:pPr>
        <w:wordWrap w:val="0"/>
        <w:overflowPunct w:val="0"/>
        <w:adjustRightInd w:val="0"/>
        <w:rPr>
          <w:color w:val="000000" w:themeColor="text1"/>
          <w14:textFill>
            <w14:solidFill>
              <w14:schemeClr w14:val="tx1"/>
            </w14:solidFill>
          </w14:textFill>
        </w:rPr>
      </w:pPr>
      <w:bookmarkStart w:id="357" w:name="_Toc360569566"/>
      <w:bookmarkStart w:id="358" w:name="_Toc456527723"/>
      <w:bookmarkStart w:id="359" w:name="_Toc363315961"/>
      <w:r>
        <w:rPr>
          <w:rFonts w:hint="eastAsia"/>
          <w:color w:val="000000" w:themeColor="text1"/>
          <w14:textFill>
            <w14:solidFill>
              <w14:schemeClr w14:val="tx1"/>
            </w14:solidFill>
          </w14:textFill>
        </w:rPr>
        <w:t>该加油站</w:t>
      </w:r>
      <w:r>
        <w:rPr>
          <w:rFonts w:hint="eastAsia"/>
          <w:color w:val="000000" w:themeColor="text1"/>
          <w:lang w:val="en-US" w:eastAsia="zh-CN"/>
          <w14:textFill>
            <w14:solidFill>
              <w14:schemeClr w14:val="tx1"/>
            </w14:solidFill>
          </w14:textFill>
        </w:rPr>
        <w:t>设置</w:t>
      </w:r>
      <w:r>
        <w:rPr>
          <w:rFonts w:hint="eastAsia"/>
          <w:color w:val="000000" w:themeColor="text1"/>
          <w14:textFill>
            <w14:solidFill>
              <w14:schemeClr w14:val="tx1"/>
            </w14:solidFill>
          </w14:textFill>
        </w:rPr>
        <w:t>有</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m³汽油罐</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个，汽油罐</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容积为</w:t>
      </w: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m³，汽油密度取0.775t/m³，该加油站储存的汽油设计最大量为</w:t>
      </w:r>
      <w:r>
        <w:rPr>
          <w:rFonts w:hint="eastAsia"/>
          <w:color w:val="000000" w:themeColor="text1"/>
          <w:lang w:val="en-US" w:eastAsia="zh-CN"/>
          <w14:textFill>
            <w14:solidFill>
              <w14:schemeClr w14:val="tx1"/>
            </w14:solidFill>
          </w14:textFill>
        </w:rPr>
        <w:t>69.75</w:t>
      </w:r>
      <w:r>
        <w:rPr>
          <w:rFonts w:hint="eastAsia"/>
          <w:color w:val="000000" w:themeColor="text1"/>
          <w14:textFill>
            <w14:solidFill>
              <w14:schemeClr w14:val="tx1"/>
            </w14:solidFill>
          </w14:textFill>
        </w:rPr>
        <w:t>t；该加油站</w:t>
      </w:r>
      <w:r>
        <w:rPr>
          <w:rFonts w:hint="eastAsia"/>
          <w:color w:val="000000" w:themeColor="text1"/>
          <w:lang w:val="en-US" w:eastAsia="zh-CN"/>
          <w14:textFill>
            <w14:solidFill>
              <w14:schemeClr w14:val="tx1"/>
            </w14:solidFill>
          </w14:textFill>
        </w:rPr>
        <w:t>设置</w:t>
      </w:r>
      <w:r>
        <w:rPr>
          <w:rFonts w:hint="eastAsia"/>
          <w:color w:val="000000" w:themeColor="text1"/>
          <w14:textFill>
            <w14:solidFill>
              <w14:schemeClr w14:val="tx1"/>
            </w14:solidFill>
          </w14:textFill>
        </w:rPr>
        <w:t>有柴油罐</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个，柴油罐</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容积为</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m³，柴油的密度取</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45t/m³，该加油站储存的柴油设计最大量为</w:t>
      </w:r>
      <w:r>
        <w:rPr>
          <w:rFonts w:hint="eastAsia"/>
          <w:color w:val="000000" w:themeColor="text1"/>
          <w:lang w:val="en-US" w:eastAsia="zh-CN"/>
          <w14:textFill>
            <w14:solidFill>
              <w14:schemeClr w14:val="tx1"/>
            </w14:solidFill>
          </w14:textFill>
        </w:rPr>
        <w:t>42.25</w:t>
      </w:r>
      <w:r>
        <w:rPr>
          <w:rFonts w:hint="eastAsia"/>
          <w:color w:val="000000" w:themeColor="text1"/>
          <w14:textFill>
            <w14:solidFill>
              <w14:schemeClr w14:val="tx1"/>
            </w14:solidFill>
          </w14:textFill>
        </w:rPr>
        <w:t>t；则加油站油品储存单元重大危险源计算为：</w:t>
      </w:r>
    </w:p>
    <w:p>
      <w:pPr>
        <w:wordWrap w:val="0"/>
        <w:overflowPunct w:val="0"/>
        <w:adjustRightInd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69.75</w:t>
      </w:r>
      <w:r>
        <w:rPr>
          <w:rFonts w:hint="eastAsia"/>
          <w:color w:val="000000" w:themeColor="text1"/>
          <w14:textFill>
            <w14:solidFill>
              <w14:schemeClr w14:val="tx1"/>
            </w14:solidFill>
          </w14:textFill>
        </w:rPr>
        <w:t>÷200＋</w:t>
      </w:r>
      <w:r>
        <w:rPr>
          <w:rFonts w:hint="eastAsia"/>
          <w:color w:val="000000" w:themeColor="text1"/>
          <w:lang w:val="en-US" w:eastAsia="zh-CN"/>
          <w14:textFill>
            <w14:solidFill>
              <w14:schemeClr w14:val="tx1"/>
            </w14:solidFill>
          </w14:textFill>
        </w:rPr>
        <w:t>42.25</w:t>
      </w:r>
      <w:r>
        <w:rPr>
          <w:rFonts w:hint="eastAsia"/>
          <w:color w:val="000000" w:themeColor="text1"/>
          <w14:textFill>
            <w14:solidFill>
              <w14:schemeClr w14:val="tx1"/>
            </w14:solidFill>
          </w14:textFill>
        </w:rPr>
        <w:t>÷5000≈</w:t>
      </w:r>
      <w:r>
        <w:rPr>
          <w:rFonts w:hint="eastAsia"/>
          <w:color w:val="000000" w:themeColor="text1"/>
          <w:lang w:val="en-US" w:eastAsia="zh-CN"/>
          <w14:textFill>
            <w14:solidFill>
              <w14:schemeClr w14:val="tx1"/>
            </w14:solidFill>
          </w14:textFill>
        </w:rPr>
        <w:t>0.3752</w:t>
      </w:r>
      <w:r>
        <w:rPr>
          <w:rFonts w:hint="eastAsia"/>
          <w:color w:val="000000" w:themeColor="text1"/>
          <w14:textFill>
            <w14:solidFill>
              <w14:schemeClr w14:val="tx1"/>
            </w14:solidFill>
          </w14:textFill>
        </w:rPr>
        <w:t>＜1。</w:t>
      </w:r>
    </w:p>
    <w:p>
      <w:pPr>
        <w:ind w:firstLine="562"/>
        <w:rPr>
          <w:rFonts w:hint="eastAsia"/>
          <w:color w:val="000000" w:themeColor="text1"/>
          <w14:textFill>
            <w14:solidFill>
              <w14:schemeClr w14:val="tx1"/>
            </w14:solidFill>
          </w14:textFill>
        </w:rPr>
      </w:pPr>
      <w:r>
        <w:rPr>
          <w:rStyle w:val="67"/>
          <w:rFonts w:hint="eastAsia"/>
          <w:color w:val="000000" w:themeColor="text1"/>
          <w14:textFill>
            <w14:solidFill>
              <w14:schemeClr w14:val="tx1"/>
            </w14:solidFill>
          </w14:textFill>
        </w:rPr>
        <w:t>辨识结果：</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油品储存单元未构成危险化学品重大危险源。</w:t>
      </w:r>
    </w:p>
    <w:p>
      <w:pPr>
        <w:pStyle w:val="3"/>
        <w:rPr>
          <w:color w:val="000000" w:themeColor="text1"/>
          <w14:textFill>
            <w14:solidFill>
              <w14:schemeClr w14:val="tx1"/>
            </w14:solidFill>
          </w14:textFill>
        </w:rPr>
      </w:pPr>
      <w:bookmarkStart w:id="360" w:name="_Toc19973"/>
      <w:r>
        <w:rPr>
          <w:rFonts w:hint="eastAsia"/>
          <w:color w:val="000000" w:themeColor="text1"/>
          <w14:textFill>
            <w14:solidFill>
              <w14:schemeClr w14:val="tx1"/>
            </w14:solidFill>
          </w14:textFill>
        </w:rPr>
        <w:t>重点监管的危险化学品辨识</w:t>
      </w:r>
      <w:bookmarkEnd w:id="357"/>
      <w:bookmarkEnd w:id="358"/>
      <w:bookmarkEnd w:id="359"/>
      <w:bookmarkEnd w:id="36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根据《首批重点监管的危险化学品名录》（安监总管三〔</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95</w:t>
      </w:r>
      <w:r>
        <w:rPr>
          <w:rFonts w:hint="eastAsia"/>
          <w:color w:val="000000" w:themeColor="text1"/>
          <w14:textFill>
            <w14:solidFill>
              <w14:schemeClr w14:val="tx1"/>
            </w14:solidFill>
          </w14:textFill>
        </w:rPr>
        <w:t>号）和《第二批重点监管的危险化学品名录》（安监总管三〔</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3〕12号）的规定，该加油站经营的汽油为重点监管的危险化学品，根据《关于印发首批重点监管的危险化学品安全措施和应急处置原则的通知》（总厅管三〔</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142</w:t>
      </w:r>
      <w:r>
        <w:rPr>
          <w:rFonts w:hint="eastAsia"/>
          <w:color w:val="000000" w:themeColor="text1"/>
          <w14:textFill>
            <w14:solidFill>
              <w14:schemeClr w14:val="tx1"/>
            </w14:solidFill>
          </w14:textFill>
        </w:rPr>
        <w:t>号）的要求对汽油储存、操作、运输采取相应的安全措施，并制定相应的应急处置原则，确保加油站汽油经营的安全。</w:t>
      </w:r>
    </w:p>
    <w:p>
      <w:pPr>
        <w:pStyle w:val="3"/>
        <w:rPr>
          <w:color w:val="000000" w:themeColor="text1"/>
          <w14:textFill>
            <w14:solidFill>
              <w14:schemeClr w14:val="tx1"/>
            </w14:solidFill>
          </w14:textFill>
        </w:rPr>
      </w:pPr>
      <w:bookmarkStart w:id="361" w:name="_Toc2392"/>
      <w:r>
        <w:rPr>
          <w:rFonts w:hint="eastAsia"/>
          <w:color w:val="000000" w:themeColor="text1"/>
          <w14:textFill>
            <w14:solidFill>
              <w14:schemeClr w14:val="tx1"/>
            </w14:solidFill>
          </w14:textFill>
        </w:rPr>
        <w:t>特别管控危险化学品辨识</w:t>
      </w:r>
      <w:bookmarkEnd w:id="36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年5月3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日应急管理部、工业和信息化部、公安部、交通运输部联合发布的《特别管控危险化学品目录（第一版）》对本项目涉及的危险化学品进行辨识，本项目涉及的特别管控危险化学品为汽油。</w:t>
      </w:r>
    </w:p>
    <w:p>
      <w:pPr>
        <w:pStyle w:val="3"/>
        <w:rPr>
          <w:color w:val="000000" w:themeColor="text1"/>
          <w14:textFill>
            <w14:solidFill>
              <w14:schemeClr w14:val="tx1"/>
            </w14:solidFill>
          </w14:textFill>
        </w:rPr>
      </w:pPr>
      <w:bookmarkStart w:id="362" w:name="_Toc353832127"/>
      <w:bookmarkStart w:id="363" w:name="_Toc353831875"/>
      <w:bookmarkStart w:id="364" w:name="_Toc353831623"/>
      <w:bookmarkStart w:id="365" w:name="_Toc78491500"/>
      <w:bookmarkStart w:id="366" w:name="_Toc19877"/>
      <w:bookmarkStart w:id="367" w:name="_Toc77355032"/>
      <w:bookmarkStart w:id="368" w:name="_Toc476084976"/>
      <w:r>
        <w:rPr>
          <w:rFonts w:hint="eastAsia"/>
          <w:color w:val="000000" w:themeColor="text1"/>
          <w14:textFill>
            <w14:solidFill>
              <w14:schemeClr w14:val="tx1"/>
            </w14:solidFill>
          </w14:textFill>
        </w:rPr>
        <w:t>易制毒化学品</w:t>
      </w:r>
      <w:bookmarkEnd w:id="362"/>
      <w:bookmarkEnd w:id="363"/>
      <w:bookmarkEnd w:id="364"/>
      <w:r>
        <w:rPr>
          <w:rFonts w:hint="eastAsia"/>
          <w:color w:val="000000" w:themeColor="text1"/>
          <w14:textFill>
            <w14:solidFill>
              <w14:schemeClr w14:val="tx1"/>
            </w14:solidFill>
          </w14:textFill>
        </w:rPr>
        <w:t>辨识</w:t>
      </w:r>
      <w:bookmarkEnd w:id="365"/>
      <w:bookmarkEnd w:id="366"/>
      <w:bookmarkEnd w:id="367"/>
      <w:bookmarkEnd w:id="368"/>
    </w:p>
    <w:p>
      <w:pPr>
        <w:rPr>
          <w:color w:val="000000" w:themeColor="text1"/>
          <w14:textFill>
            <w14:solidFill>
              <w14:schemeClr w14:val="tx1"/>
            </w14:solidFill>
          </w14:textFill>
        </w:rPr>
      </w:pPr>
      <w:bookmarkStart w:id="369" w:name="_Toc77355033"/>
      <w:bookmarkStart w:id="370" w:name="_Toc476084977"/>
      <w:bookmarkStart w:id="371" w:name="_Toc78491501"/>
      <w:r>
        <w:rPr>
          <w:rFonts w:hint="eastAsia"/>
          <w:color w:val="000000" w:themeColor="text1"/>
          <w14:textFill>
            <w14:solidFill>
              <w14:schemeClr w14:val="tx1"/>
            </w14:solidFill>
          </w14:textFill>
        </w:rPr>
        <w:t>根据《易制毒化学品管理条例》、</w:t>
      </w:r>
      <w:r>
        <w:rPr>
          <w:color w:val="000000" w:themeColor="text1"/>
          <w14:textFill>
            <w14:solidFill>
              <w14:schemeClr w14:val="tx1"/>
            </w14:solidFill>
          </w14:textFill>
        </w:rPr>
        <w:t>《国务院办公厅关于同意将α-苯乙酰乙酸甲酯等6种物质列入易制毒化学品品种目录的函》</w:t>
      </w:r>
      <w:r>
        <w:rPr>
          <w:rFonts w:hint="eastAsia"/>
          <w:color w:val="000000" w:themeColor="text1"/>
          <w14:textFill>
            <w14:solidFill>
              <w14:schemeClr w14:val="tx1"/>
            </w14:solidFill>
          </w14:textFill>
        </w:rPr>
        <w:t>，加油站不涉及</w:t>
      </w:r>
      <w:r>
        <w:rPr>
          <w:color w:val="000000" w:themeColor="text1"/>
          <w14:textFill>
            <w14:solidFill>
              <w14:schemeClr w14:val="tx1"/>
            </w14:solidFill>
          </w14:textFill>
        </w:rPr>
        <w:t>易制毒化学品。</w:t>
      </w:r>
    </w:p>
    <w:p>
      <w:pPr>
        <w:pStyle w:val="3"/>
        <w:rPr>
          <w:color w:val="000000" w:themeColor="text1"/>
          <w14:textFill>
            <w14:solidFill>
              <w14:schemeClr w14:val="tx1"/>
            </w14:solidFill>
          </w14:textFill>
        </w:rPr>
      </w:pPr>
      <w:bookmarkStart w:id="372" w:name="_Toc29854"/>
      <w:r>
        <w:rPr>
          <w:rFonts w:hint="eastAsia"/>
          <w:color w:val="000000" w:themeColor="text1"/>
          <w14:textFill>
            <w14:solidFill>
              <w14:schemeClr w14:val="tx1"/>
            </w14:solidFill>
          </w14:textFill>
        </w:rPr>
        <w:t>易制爆危险化学品辨识</w:t>
      </w:r>
      <w:bookmarkEnd w:id="369"/>
      <w:bookmarkEnd w:id="370"/>
      <w:bookmarkEnd w:id="371"/>
      <w:bookmarkEnd w:id="37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根据《易制爆危险化学品名录》（公安部，2017年版），加油站不涉及易制爆危险化学品。</w:t>
      </w:r>
    </w:p>
    <w:p>
      <w:pPr>
        <w:pStyle w:val="3"/>
        <w:rPr>
          <w:color w:val="000000" w:themeColor="text1"/>
          <w14:textFill>
            <w14:solidFill>
              <w14:schemeClr w14:val="tx1"/>
            </w14:solidFill>
          </w14:textFill>
        </w:rPr>
      </w:pPr>
      <w:bookmarkStart w:id="373" w:name="_Toc24585"/>
      <w:bookmarkStart w:id="374" w:name="_Toc78491502"/>
      <w:bookmarkStart w:id="375" w:name="_Toc476084978"/>
      <w:bookmarkStart w:id="376" w:name="_Toc77355034"/>
      <w:r>
        <w:rPr>
          <w:rFonts w:hint="eastAsia"/>
          <w:color w:val="000000" w:themeColor="text1"/>
          <w14:textFill>
            <w14:solidFill>
              <w14:schemeClr w14:val="tx1"/>
            </w14:solidFill>
          </w14:textFill>
        </w:rPr>
        <w:t>剧毒化学品辨识</w:t>
      </w:r>
      <w:bookmarkEnd w:id="373"/>
      <w:bookmarkEnd w:id="374"/>
      <w:bookmarkEnd w:id="375"/>
      <w:bookmarkEnd w:id="37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根据《危险化学品目录》（2022年调整），加油站不涉及剧毒化学品。</w:t>
      </w:r>
    </w:p>
    <w:p>
      <w:pPr>
        <w:pStyle w:val="3"/>
        <w:rPr>
          <w:color w:val="000000" w:themeColor="text1"/>
          <w14:textFill>
            <w14:solidFill>
              <w14:schemeClr w14:val="tx1"/>
            </w14:solidFill>
          </w14:textFill>
        </w:rPr>
      </w:pPr>
      <w:bookmarkStart w:id="377" w:name="_Toc2295"/>
      <w:bookmarkStart w:id="378" w:name="_Toc360569567"/>
      <w:bookmarkStart w:id="379" w:name="_Toc363315962"/>
      <w:bookmarkStart w:id="380" w:name="_Toc456527724"/>
      <w:bookmarkStart w:id="381" w:name="_Toc195176745"/>
      <w:bookmarkStart w:id="382" w:name="_Toc258574843"/>
      <w:r>
        <w:rPr>
          <w:rFonts w:hint="eastAsia"/>
          <w:color w:val="000000" w:themeColor="text1"/>
          <w14:textFill>
            <w14:solidFill>
              <w14:schemeClr w14:val="tx1"/>
            </w14:solidFill>
          </w14:textFill>
        </w:rPr>
        <w:t>淘汰落后工艺、设备辨识</w:t>
      </w:r>
      <w:bookmarkEnd w:id="37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根据《淘汰落后生产能力、工艺和产品的目录》，加油站不涉及淘汰落后工艺、设备。</w:t>
      </w:r>
    </w:p>
    <w:p>
      <w:pPr>
        <w:pStyle w:val="3"/>
        <w:rPr>
          <w:color w:val="000000" w:themeColor="text1"/>
          <w14:textFill>
            <w14:solidFill>
              <w14:schemeClr w14:val="tx1"/>
            </w14:solidFill>
          </w14:textFill>
        </w:rPr>
      </w:pPr>
      <w:bookmarkStart w:id="383" w:name="_Toc26637"/>
      <w:r>
        <w:rPr>
          <w:rFonts w:hint="eastAsia"/>
          <w:color w:val="000000" w:themeColor="text1"/>
          <w14:textFill>
            <w14:solidFill>
              <w14:schemeClr w14:val="tx1"/>
            </w14:solidFill>
          </w14:textFill>
        </w:rPr>
        <w:t>本章小结</w:t>
      </w:r>
      <w:bookmarkEnd w:id="378"/>
      <w:bookmarkEnd w:id="379"/>
      <w:bookmarkEnd w:id="380"/>
      <w:bookmarkEnd w:id="38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本章对危险有害因素分析结果表明，加油站的主要危险有害因素有火灾爆炸、触电、车辆伤害、机械伤害、毒性危害、受限空间作业和雷击危险性等。其中最主要的危险有害因素是火灾和爆炸。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事故易发及危险点是：卸油点、油罐区、加油区（加油场地及加油机）、发配电室、站房及管道等作业场所。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根据《危险化学品重大危险源辨识》（GB18218-20</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）的规定，</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未构成重大危险源。根据《首批重点监管的危险化学品名录》（安监总管三〔2011〕95号）、《第二批重点监管的危险化学品名录》（安监总管三〔2013〕12号）和《特别管控危险化学品目录（第一版）》的规定，该加油站经营的汽油为重点监管的危险化学品和特别管控危险化学品，应按要求采取相应的安全对策措施，确保油品经营的安全。</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p>
    <w:bookmarkEnd w:id="381"/>
    <w:p>
      <w:pPr>
        <w:pStyle w:val="2"/>
        <w:spacing w:before="193" w:after="193"/>
        <w:rPr>
          <w:color w:val="000000" w:themeColor="text1"/>
          <w14:textFill>
            <w14:solidFill>
              <w14:schemeClr w14:val="tx1"/>
            </w14:solidFill>
          </w14:textFill>
        </w:rPr>
      </w:pPr>
      <w:bookmarkStart w:id="384" w:name="_Toc10971"/>
      <w:r>
        <w:rPr>
          <w:rFonts w:hint="eastAsia"/>
          <w:color w:val="000000" w:themeColor="text1"/>
          <w14:textFill>
            <w14:solidFill>
              <w14:schemeClr w14:val="tx1"/>
            </w14:solidFill>
          </w14:textFill>
        </w:rPr>
        <w:t>安全评价单元的划分及评价方法</w:t>
      </w:r>
      <w:bookmarkEnd w:id="382"/>
      <w:r>
        <w:rPr>
          <w:rFonts w:hint="eastAsia"/>
          <w:color w:val="000000" w:themeColor="text1"/>
          <w14:textFill>
            <w14:solidFill>
              <w14:schemeClr w14:val="tx1"/>
            </w14:solidFill>
          </w14:textFill>
        </w:rPr>
        <w:t>介绍</w:t>
      </w:r>
      <w:bookmarkEnd w:id="384"/>
    </w:p>
    <w:p>
      <w:pPr>
        <w:pStyle w:val="3"/>
        <w:rPr>
          <w:color w:val="000000" w:themeColor="text1"/>
          <w14:textFill>
            <w14:solidFill>
              <w14:schemeClr w14:val="tx1"/>
            </w14:solidFill>
          </w14:textFill>
        </w:rPr>
      </w:pPr>
      <w:bookmarkStart w:id="385" w:name="_Toc195176746"/>
      <w:bookmarkStart w:id="386" w:name="_Toc14639"/>
      <w:bookmarkStart w:id="387" w:name="_Toc258574844"/>
      <w:bookmarkStart w:id="388" w:name="_Toc213233037"/>
      <w:r>
        <w:rPr>
          <w:rFonts w:hint="eastAsia"/>
          <w:color w:val="000000" w:themeColor="text1"/>
          <w14:textFill>
            <w14:solidFill>
              <w14:schemeClr w14:val="tx1"/>
            </w14:solidFill>
          </w14:textFill>
        </w:rPr>
        <w:t>安全评价单元划分</w:t>
      </w:r>
      <w:bookmarkEnd w:id="385"/>
      <w:bookmarkEnd w:id="386"/>
      <w:bookmarkEnd w:id="387"/>
      <w:bookmarkEnd w:id="388"/>
    </w:p>
    <w:p>
      <w:pPr>
        <w:pStyle w:val="4"/>
        <w:ind w:firstLine="562"/>
        <w:rPr>
          <w:color w:val="000000" w:themeColor="text1"/>
          <w14:textFill>
            <w14:solidFill>
              <w14:schemeClr w14:val="tx1"/>
            </w14:solidFill>
          </w14:textFill>
        </w:rPr>
      </w:pPr>
      <w:bookmarkStart w:id="389" w:name="_Toc25899"/>
      <w:bookmarkStart w:id="390" w:name="_Toc213233038"/>
      <w:r>
        <w:rPr>
          <w:rFonts w:hint="eastAsia"/>
          <w:color w:val="000000" w:themeColor="text1"/>
          <w14:textFill>
            <w14:solidFill>
              <w14:schemeClr w14:val="tx1"/>
            </w14:solidFill>
          </w14:textFill>
        </w:rPr>
        <w:t>安全评价单元的划分结果</w:t>
      </w:r>
      <w:bookmarkEnd w:id="389"/>
      <w:bookmarkEnd w:id="39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根据本次</w:t>
      </w: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w:t>
      </w:r>
      <w:r>
        <w:rPr>
          <w:rFonts w:hint="eastAsia"/>
          <w:color w:val="000000" w:themeColor="text1"/>
          <w14:textFill>
            <w14:solidFill>
              <w14:schemeClr w14:val="tx1"/>
            </w14:solidFill>
          </w14:textFill>
        </w:rPr>
        <w:t>价</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本报告对</w:t>
      </w:r>
      <w:r>
        <w:rPr>
          <w:rFonts w:hint="eastAsia"/>
          <w:color w:val="000000" w:themeColor="text1"/>
          <w14:textFill>
            <w14:solidFill>
              <w14:schemeClr w14:val="tx1"/>
            </w14:solidFill>
          </w14:textFill>
        </w:rPr>
        <w:t>该加油站</w:t>
      </w:r>
      <w:r>
        <w:rPr>
          <w:color w:val="000000" w:themeColor="text1"/>
          <w14:textFill>
            <w14:solidFill>
              <w14:schemeClr w14:val="tx1"/>
            </w14:solidFill>
          </w14:textFill>
        </w:rPr>
        <w:t>共分</w:t>
      </w:r>
      <w:r>
        <w:rPr>
          <w:rFonts w:hint="eastAsia"/>
          <w:color w:val="000000" w:themeColor="text1"/>
          <w14:textFill>
            <w14:solidFill>
              <w14:schemeClr w14:val="tx1"/>
            </w14:solidFill>
          </w14:textFill>
        </w:rPr>
        <w:t>如下7</w:t>
      </w:r>
      <w:r>
        <w:rPr>
          <w:color w:val="000000" w:themeColor="text1"/>
          <w14:textFill>
            <w14:solidFill>
              <w14:schemeClr w14:val="tx1"/>
            </w14:solidFill>
          </w14:textFill>
        </w:rPr>
        <w:t>个单元进行评价</w:t>
      </w:r>
      <w:r>
        <w:rPr>
          <w:rFonts w:hint="eastAsia"/>
          <w:color w:val="000000" w:themeColor="text1"/>
          <w14:textFill>
            <w14:solidFill>
              <w14:schemeClr w14:val="tx1"/>
            </w14:solidFill>
          </w14:textFill>
        </w:rPr>
        <w:t>：</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外部安全条件评价单元；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平面布置评价单元；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工艺及设施评价单元；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安全设施评价单元；</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安全管理评价单元；</w:t>
      </w:r>
    </w:p>
    <w:p>
      <w:pPr>
        <w:numPr>
          <w:ilvl w:val="0"/>
          <w:numId w:val="10"/>
        </w:numPr>
        <w:ind w:firstLine="560"/>
        <w:rPr>
          <w:color w:val="000000" w:themeColor="text1"/>
          <w14:textFill>
            <w14:solidFill>
              <w14:schemeClr w14:val="tx1"/>
            </w14:solidFill>
          </w14:textFill>
        </w:rPr>
      </w:pPr>
      <w:bookmarkStart w:id="391" w:name="_Hlk119964065"/>
      <w:r>
        <w:rPr>
          <w:rFonts w:hint="eastAsia"/>
          <w:color w:val="000000" w:themeColor="text1"/>
          <w14:textFill>
            <w14:solidFill>
              <w14:schemeClr w14:val="tx1"/>
            </w14:solidFill>
          </w14:textFill>
        </w:rPr>
        <w:t>重大事故隐患分析评价。</w:t>
      </w:r>
    </w:p>
    <w:bookmarkEnd w:id="391"/>
    <w:p>
      <w:pPr>
        <w:pStyle w:val="4"/>
        <w:ind w:firstLine="562"/>
        <w:rPr>
          <w:color w:val="000000" w:themeColor="text1"/>
          <w14:textFill>
            <w14:solidFill>
              <w14:schemeClr w14:val="tx1"/>
            </w14:solidFill>
          </w14:textFill>
        </w:rPr>
      </w:pPr>
      <w:bookmarkStart w:id="392" w:name="_Toc195176747"/>
      <w:bookmarkStart w:id="393" w:name="_Toc213233039"/>
      <w:bookmarkStart w:id="394" w:name="_Toc2749"/>
      <w:r>
        <w:rPr>
          <w:rFonts w:hint="eastAsia"/>
          <w:color w:val="000000" w:themeColor="text1"/>
          <w14:textFill>
            <w14:solidFill>
              <w14:schemeClr w14:val="tx1"/>
            </w14:solidFill>
          </w14:textFill>
        </w:rPr>
        <w:t>安全评价单元划分说明</w:t>
      </w:r>
      <w:bookmarkEnd w:id="392"/>
      <w:bookmarkEnd w:id="393"/>
      <w:bookmarkEnd w:id="394"/>
    </w:p>
    <w:p>
      <w:pPr>
        <w:pStyle w:val="5"/>
        <w:ind w:firstLine="560"/>
        <w:rPr>
          <w:color w:val="000000" w:themeColor="text1"/>
          <w14:textFill>
            <w14:solidFill>
              <w14:schemeClr w14:val="tx1"/>
            </w14:solidFill>
          </w14:textFill>
        </w:rPr>
      </w:pPr>
      <w:bookmarkStart w:id="395" w:name="_Toc195176748"/>
      <w:r>
        <w:rPr>
          <w:rFonts w:hint="eastAsia"/>
          <w:color w:val="000000" w:themeColor="text1"/>
          <w14:textFill>
            <w14:solidFill>
              <w14:schemeClr w14:val="tx1"/>
            </w14:solidFill>
          </w14:textFill>
        </w:rPr>
        <w:t>评价单元划分原则</w:t>
      </w:r>
      <w:bookmarkEnd w:id="39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评价单元就是在危险、有害因素分析的基础上，根据评价目标和评价方法的需要，将系统分成的有限、确定范围进行评价的单元。</w:t>
      </w:r>
      <w:r>
        <w:rPr>
          <w:color w:val="000000" w:themeColor="text1"/>
          <w14:textFill>
            <w14:solidFill>
              <w14:schemeClr w14:val="tx1"/>
            </w14:solidFill>
          </w14:textFill>
        </w:rPr>
        <w:t>划分评价单元是为评价目标和评价方法服务的</w:t>
      </w:r>
      <w:r>
        <w:rPr>
          <w:rFonts w:hint="eastAsia"/>
          <w:color w:val="000000" w:themeColor="text1"/>
          <w14:textFill>
            <w14:solidFill>
              <w14:schemeClr w14:val="tx1"/>
            </w14:solidFill>
          </w14:textFill>
        </w:rPr>
        <w:t>，但</w:t>
      </w:r>
      <w:r>
        <w:rPr>
          <w:color w:val="000000" w:themeColor="text1"/>
          <w14:textFill>
            <w14:solidFill>
              <w14:schemeClr w14:val="tx1"/>
            </w14:solidFill>
          </w14:textFill>
        </w:rPr>
        <w:t>由于至今尚无一个明确通用的“规则”来规范单元的划分方法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不同的评价人员对同一个评价对象所划分的评价单元有所不同。由于评价目标不同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各评价方法均有自身特点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只要达到评价的目的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评价单元划分并不要求绝对一致。</w:t>
      </w:r>
    </w:p>
    <w:p>
      <w:pPr>
        <w:rPr>
          <w:color w:val="000000" w:themeColor="text1"/>
          <w14:textFill>
            <w14:solidFill>
              <w14:schemeClr w14:val="tx1"/>
            </w14:solidFill>
          </w14:textFill>
        </w:rPr>
      </w:pPr>
      <w:r>
        <w:rPr>
          <w:color w:val="000000" w:themeColor="text1"/>
          <w14:textFill>
            <w14:solidFill>
              <w14:schemeClr w14:val="tx1"/>
            </w14:solidFill>
          </w14:textFill>
        </w:rPr>
        <w:t>评价单元划分应遵循的原则如下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以危险、有害因素的类别为主划分评价单元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以装置和物质的特征划分评价单元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依据评价方法的有关具体规定划分。</w:t>
      </w:r>
    </w:p>
    <w:p>
      <w:pPr>
        <w:pStyle w:val="5"/>
        <w:ind w:firstLine="560"/>
        <w:rPr>
          <w:color w:val="000000" w:themeColor="text1"/>
          <w14:textFill>
            <w14:solidFill>
              <w14:schemeClr w14:val="tx1"/>
            </w14:solidFill>
          </w14:textFill>
        </w:rPr>
      </w:pPr>
      <w:bookmarkStart w:id="396" w:name="_Toc195176749"/>
      <w:r>
        <w:rPr>
          <w:rFonts w:hint="eastAsia"/>
          <w:color w:val="000000" w:themeColor="text1"/>
          <w14:textFill>
            <w14:solidFill>
              <w14:schemeClr w14:val="tx1"/>
            </w14:solidFill>
          </w14:textFill>
        </w:rPr>
        <w:t>评价单元划分依据</w:t>
      </w:r>
      <w:bookmarkEnd w:id="39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在对项目进行具体分析时，</w:t>
      </w:r>
      <w:r>
        <w:rPr>
          <w:color w:val="000000" w:themeColor="text1"/>
          <w14:textFill>
            <w14:solidFill>
              <w14:schemeClr w14:val="tx1"/>
            </w14:solidFill>
          </w14:textFill>
        </w:rPr>
        <w:t>为达到对</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进行系统、科学、全面的评价目的</w:t>
      </w:r>
      <w:r>
        <w:rPr>
          <w:rFonts w:hint="eastAsia"/>
          <w:color w:val="000000" w:themeColor="text1"/>
          <w14:textFill>
            <w14:solidFill>
              <w14:schemeClr w14:val="tx1"/>
            </w14:solidFill>
          </w14:textFill>
        </w:rPr>
        <w:t>，首先应从整体上分析项目与周边环境的相互关系，即对项目的外部安全条件进行分析评价，在此基础上再对项目的安全运行条件进行分析，而对项目的安全运行条件进行分析应从项目的平面布置、工艺设施、公用工程及辅助工程以及安全管理方面进行，这样才能保证对项目分析评价切实到位、不漏项，指导评价准确的分析出项目存在的实际问题，提出具有实际针对性和较强可操作性的安全对策措施，为指导企业整改提出建设性意见或建议。</w:t>
      </w:r>
    </w:p>
    <w:p>
      <w:pPr>
        <w:pStyle w:val="3"/>
        <w:rPr>
          <w:color w:val="000000" w:themeColor="text1"/>
          <w14:textFill>
            <w14:solidFill>
              <w14:schemeClr w14:val="tx1"/>
            </w14:solidFill>
          </w14:textFill>
        </w:rPr>
      </w:pPr>
      <w:bookmarkStart w:id="397" w:name="_Toc258574845"/>
      <w:bookmarkStart w:id="398" w:name="_Toc21031"/>
      <w:bookmarkStart w:id="399" w:name="_Toc213233040"/>
      <w:r>
        <w:rPr>
          <w:rFonts w:hint="eastAsia"/>
          <w:color w:val="000000" w:themeColor="text1"/>
          <w14:textFill>
            <w14:solidFill>
              <w14:schemeClr w14:val="tx1"/>
            </w14:solidFill>
          </w14:textFill>
        </w:rPr>
        <w:t>评价方法选用</w:t>
      </w:r>
      <w:bookmarkEnd w:id="397"/>
      <w:bookmarkEnd w:id="398"/>
      <w:bookmarkEnd w:id="399"/>
    </w:p>
    <w:p>
      <w:pPr>
        <w:pStyle w:val="4"/>
        <w:ind w:firstLine="562"/>
        <w:rPr>
          <w:color w:val="000000" w:themeColor="text1"/>
          <w14:textFill>
            <w14:solidFill>
              <w14:schemeClr w14:val="tx1"/>
            </w14:solidFill>
          </w14:textFill>
        </w:rPr>
      </w:pPr>
      <w:bookmarkStart w:id="400" w:name="_Toc30072"/>
      <w:bookmarkStart w:id="401" w:name="_Toc213233041"/>
      <w:r>
        <w:rPr>
          <w:rFonts w:hint="eastAsia"/>
          <w:color w:val="000000" w:themeColor="text1"/>
          <w14:textFill>
            <w14:solidFill>
              <w14:schemeClr w14:val="tx1"/>
            </w14:solidFill>
          </w14:textFill>
        </w:rPr>
        <w:t>评价方法选用结果</w:t>
      </w:r>
      <w:bookmarkEnd w:id="400"/>
      <w:bookmarkEnd w:id="40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根据评价方法选取应遵循充分性、适应性、系统性、针对性和合理性的原则，</w:t>
      </w:r>
      <w:r>
        <w:rPr>
          <w:color w:val="000000" w:themeColor="text1"/>
          <w14:textFill>
            <w14:solidFill>
              <w14:schemeClr w14:val="tx1"/>
            </w14:solidFill>
          </w14:textFill>
        </w:rPr>
        <w:t>结合</w:t>
      </w:r>
      <w:r>
        <w:rPr>
          <w:rFonts w:hint="eastAsia"/>
          <w:color w:val="000000" w:themeColor="text1"/>
          <w14:textFill>
            <w14:solidFill>
              <w14:schemeClr w14:val="tx1"/>
            </w14:solidFill>
          </w14:textFill>
        </w:rPr>
        <w:t>该加油站</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本报告选用</w:t>
      </w:r>
      <w:r>
        <w:rPr>
          <w:rFonts w:hint="eastAsia"/>
          <w:color w:val="000000" w:themeColor="text1"/>
          <w14:textFill>
            <w14:solidFill>
              <w14:schemeClr w14:val="tx1"/>
            </w14:solidFill>
          </w14:textFill>
        </w:rPr>
        <w:t>预先危险性分析、</w:t>
      </w:r>
      <w:r>
        <w:rPr>
          <w:color w:val="000000" w:themeColor="text1"/>
          <w14:textFill>
            <w14:solidFill>
              <w14:schemeClr w14:val="tx1"/>
            </w14:solidFill>
          </w14:textFill>
        </w:rPr>
        <w:t>安全检查表（SCA）</w:t>
      </w:r>
      <w:r>
        <w:rPr>
          <w:rFonts w:hint="eastAsia"/>
          <w:color w:val="000000" w:themeColor="text1"/>
          <w14:textFill>
            <w14:solidFill>
              <w14:schemeClr w14:val="tx1"/>
            </w14:solidFill>
          </w14:textFill>
        </w:rPr>
        <w:t>等安全</w:t>
      </w:r>
      <w:r>
        <w:rPr>
          <w:color w:val="000000" w:themeColor="text1"/>
          <w14:textFill>
            <w14:solidFill>
              <w14:schemeClr w14:val="tx1"/>
            </w14:solidFill>
          </w14:textFill>
        </w:rPr>
        <w:t>评价方法对</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危险、有害因素及危险、有害程度进行分析评价。</w:t>
      </w:r>
    </w:p>
    <w:p>
      <w:pPr>
        <w:pStyle w:val="4"/>
        <w:ind w:firstLine="562"/>
        <w:rPr>
          <w:color w:val="000000" w:themeColor="text1"/>
          <w14:textFill>
            <w14:solidFill>
              <w14:schemeClr w14:val="tx1"/>
            </w14:solidFill>
          </w14:textFill>
        </w:rPr>
      </w:pPr>
      <w:bookmarkStart w:id="402" w:name="_Toc30980"/>
      <w:bookmarkStart w:id="403" w:name="_Toc213233042"/>
      <w:r>
        <w:rPr>
          <w:rFonts w:hint="eastAsia"/>
          <w:color w:val="000000" w:themeColor="text1"/>
          <w14:textFill>
            <w14:solidFill>
              <w14:schemeClr w14:val="tx1"/>
            </w14:solidFill>
          </w14:textFill>
        </w:rPr>
        <w:t>评价方法选用说明</w:t>
      </w:r>
      <w:bookmarkEnd w:id="402"/>
      <w:bookmarkEnd w:id="403"/>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评价方法选用原则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评价方法是进行定性、定量安全评价的工具，根据安全评价对象的不同，安全评价的内容和指标也不相同，因此，选用的安全评价方法也不相同。在进行安全评价时，应根据安全评价对象和要实现的安全评价目标，选择适用的安全评价方法，选择安全评价方法应遵循以下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1.充分性原则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2.适应性原则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3.系统性原则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4.针对性原则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5.合理性原则</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评价方法选用依据</w:t>
      </w:r>
    </w:p>
    <w:p>
      <w:pPr>
        <w:numPr>
          <w:ilvl w:val="0"/>
          <w:numId w:val="11"/>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安全检查表</w:t>
      </w:r>
    </w:p>
    <w:p>
      <w:pPr>
        <w:rPr>
          <w:color w:val="000000" w:themeColor="text1"/>
          <w14:textFill>
            <w14:solidFill>
              <w14:schemeClr w14:val="tx1"/>
            </w14:solidFill>
          </w14:textFill>
        </w:rPr>
      </w:pP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评价主要从评价对象</w:t>
      </w:r>
      <w:r>
        <w:rPr>
          <w:rFonts w:hint="eastAsia"/>
          <w:color w:val="000000" w:themeColor="text1"/>
          <w14:textFill>
            <w14:solidFill>
              <w14:schemeClr w14:val="tx1"/>
            </w14:solidFill>
          </w14:textFill>
        </w:rPr>
        <w:t>平面布置、工艺设备设施、安全设施、公用工程以及安全管理等方面对照现行规范要求进行符合性检查评价，因此选用安全检查表法可以得出最有效的评价结果</w:t>
      </w:r>
      <w:r>
        <w:rPr>
          <w:color w:val="000000" w:themeColor="text1"/>
          <w14:textFill>
            <w14:solidFill>
              <w14:schemeClr w14:val="tx1"/>
            </w14:solidFill>
          </w14:textFill>
        </w:rPr>
        <w:t>。</w:t>
      </w:r>
    </w:p>
    <w:p>
      <w:pPr>
        <w:numPr>
          <w:ilvl w:val="0"/>
          <w:numId w:val="11"/>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采用安全检查表进行现场检查评价时，由于编制安全检查表的人员的素质或资料收集情况等原因，通常存在编制的安全检查表不能全面反映现场实际的情况，因此需要评价人员根据平时相关知识的积累对现场检查结果进行分析评价。通常在对项目进行安全评价时，安全检查表法与安全检查配合使用可以使分析评价更加完整，更符合评价实际。</w:t>
      </w:r>
    </w:p>
    <w:p>
      <w:pPr>
        <w:pStyle w:val="3"/>
        <w:rPr>
          <w:color w:val="000000" w:themeColor="text1"/>
          <w14:textFill>
            <w14:solidFill>
              <w14:schemeClr w14:val="tx1"/>
            </w14:solidFill>
          </w14:textFill>
        </w:rPr>
      </w:pPr>
      <w:bookmarkStart w:id="404" w:name="_Toc22360"/>
      <w:bookmarkStart w:id="405" w:name="_Toc213233043"/>
      <w:bookmarkStart w:id="406" w:name="_Toc213232160"/>
      <w:bookmarkStart w:id="407" w:name="_Toc258574846"/>
      <w:r>
        <w:rPr>
          <w:rFonts w:hint="eastAsia"/>
          <w:color w:val="000000" w:themeColor="text1"/>
          <w14:textFill>
            <w14:solidFill>
              <w14:schemeClr w14:val="tx1"/>
            </w14:solidFill>
          </w14:textFill>
        </w:rPr>
        <w:t>各评价单元采用的评价方法</w:t>
      </w:r>
      <w:bookmarkEnd w:id="404"/>
      <w:bookmarkEnd w:id="405"/>
      <w:bookmarkEnd w:id="406"/>
      <w:bookmarkEnd w:id="40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根据评价方法选取应遵循充分性、适应性、系统性、针对性和合理性的原则，</w:t>
      </w:r>
      <w:r>
        <w:rPr>
          <w:color w:val="000000" w:themeColor="text1"/>
          <w14:textFill>
            <w14:solidFill>
              <w14:schemeClr w14:val="tx1"/>
            </w14:solidFill>
          </w14:textFill>
        </w:rPr>
        <w:t>结合</w:t>
      </w:r>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本报告选用</w:t>
      </w:r>
      <w:r>
        <w:rPr>
          <w:rFonts w:hint="eastAsia"/>
          <w:color w:val="000000" w:themeColor="text1"/>
          <w14:textFill>
            <w14:solidFill>
              <w14:schemeClr w14:val="tx1"/>
            </w14:solidFill>
          </w14:textFill>
        </w:rPr>
        <w:t>安全检查法（SR）、</w:t>
      </w:r>
      <w:r>
        <w:rPr>
          <w:color w:val="000000" w:themeColor="text1"/>
          <w14:textFill>
            <w14:solidFill>
              <w14:schemeClr w14:val="tx1"/>
            </w14:solidFill>
          </w14:textFill>
        </w:rPr>
        <w:t>安全检查表（SCA）</w:t>
      </w:r>
      <w:r>
        <w:rPr>
          <w:rFonts w:hint="eastAsia"/>
          <w:color w:val="000000" w:themeColor="text1"/>
          <w14:textFill>
            <w14:solidFill>
              <w14:schemeClr w14:val="tx1"/>
            </w14:solidFill>
          </w14:textFill>
        </w:rPr>
        <w:t>等安全</w:t>
      </w:r>
      <w:r>
        <w:rPr>
          <w:color w:val="000000" w:themeColor="text1"/>
          <w14:textFill>
            <w14:solidFill>
              <w14:schemeClr w14:val="tx1"/>
            </w14:solidFill>
          </w14:textFill>
        </w:rPr>
        <w:t>评价方法对</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危险、有害因素及危险、有害程度进行分析评价。</w:t>
      </w:r>
      <w:r>
        <w:rPr>
          <w:rFonts w:hint="eastAsia"/>
          <w:color w:val="000000" w:themeColor="text1"/>
          <w14:textFill>
            <w14:solidFill>
              <w14:schemeClr w14:val="tx1"/>
            </w14:solidFill>
          </w14:textFill>
        </w:rPr>
        <w:t>具体评价单元采用的评价方法如下：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1.外部安全条件评价单元：安全检查法、安全检查表法；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2.平面布置评价单元：安全检查法、安全检查表法；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3.工艺及设施评价单元：安全检查法、安全检查表法；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4.公用工程评价单元：安全检查法、安全检查表法；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5.安全设施评价单元：安全检查法、安全检查表法；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6.安全管理评价单元：</w:t>
      </w:r>
      <w:bookmarkStart w:id="408" w:name="_Hlk119964091"/>
      <w:r>
        <w:rPr>
          <w:rFonts w:hint="eastAsia"/>
          <w:color w:val="000000" w:themeColor="text1"/>
          <w14:textFill>
            <w14:solidFill>
              <w14:schemeClr w14:val="tx1"/>
            </w14:solidFill>
          </w14:textFill>
        </w:rPr>
        <w:t>安全检查法、安全检查表法</w:t>
      </w:r>
      <w:bookmarkEnd w:id="408"/>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bookmarkStart w:id="409" w:name="_Hlk122520327"/>
      <w:r>
        <w:rPr>
          <w:rFonts w:hint="eastAsia"/>
          <w:color w:val="000000" w:themeColor="text1"/>
          <w14:textFill>
            <w14:solidFill>
              <w14:schemeClr w14:val="tx1"/>
            </w14:solidFill>
          </w14:textFill>
        </w:rPr>
        <w:t>7.重大事故隐患分析评价单元：</w:t>
      </w:r>
      <w:bookmarkEnd w:id="409"/>
      <w:r>
        <w:rPr>
          <w:rFonts w:hint="eastAsia"/>
          <w:color w:val="000000" w:themeColor="text1"/>
          <w14:textFill>
            <w14:solidFill>
              <w14:schemeClr w14:val="tx1"/>
            </w14:solidFill>
          </w14:textFill>
        </w:rPr>
        <w:t>安全检查法、安全检查表法。</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p>
    <w:p>
      <w:pPr>
        <w:pStyle w:val="2"/>
        <w:spacing w:before="193" w:after="193"/>
        <w:rPr>
          <w:color w:val="000000" w:themeColor="text1"/>
          <w14:textFill>
            <w14:solidFill>
              <w14:schemeClr w14:val="tx1"/>
            </w14:solidFill>
          </w14:textFill>
        </w:rPr>
      </w:pPr>
      <w:bookmarkStart w:id="410" w:name="_Toc258574847"/>
      <w:bookmarkStart w:id="411" w:name="_Toc195176755"/>
      <w:bookmarkStart w:id="412" w:name="_Toc11558"/>
      <w:r>
        <w:rPr>
          <w:rFonts w:hint="eastAsia"/>
          <w:color w:val="000000" w:themeColor="text1"/>
          <w14:textFill>
            <w14:solidFill>
              <w14:schemeClr w14:val="tx1"/>
            </w14:solidFill>
          </w14:textFill>
        </w:rPr>
        <w:t>定性分析</w:t>
      </w:r>
      <w:bookmarkEnd w:id="410"/>
      <w:bookmarkEnd w:id="411"/>
      <w:r>
        <w:rPr>
          <w:rFonts w:hint="eastAsia"/>
          <w:color w:val="000000" w:themeColor="text1"/>
          <w14:textFill>
            <w14:solidFill>
              <w14:schemeClr w14:val="tx1"/>
            </w14:solidFill>
          </w14:textFill>
        </w:rPr>
        <w:t>评价</w:t>
      </w:r>
      <w:bookmarkEnd w:id="412"/>
    </w:p>
    <w:p>
      <w:pPr>
        <w:pStyle w:val="3"/>
        <w:rPr>
          <w:color w:val="000000" w:themeColor="text1"/>
          <w14:textFill>
            <w14:solidFill>
              <w14:schemeClr w14:val="tx1"/>
            </w14:solidFill>
          </w14:textFill>
        </w:rPr>
      </w:pPr>
      <w:bookmarkStart w:id="413" w:name="_Toc195176757"/>
      <w:bookmarkStart w:id="414" w:name="_Toc258574849"/>
      <w:bookmarkStart w:id="415" w:name="_Toc5710"/>
      <w:bookmarkStart w:id="416" w:name="_Toc187699937"/>
      <w:r>
        <w:rPr>
          <w:rFonts w:hint="eastAsia"/>
          <w:color w:val="000000" w:themeColor="text1"/>
          <w14:textFill>
            <w14:solidFill>
              <w14:schemeClr w14:val="tx1"/>
            </w14:solidFill>
          </w14:textFill>
        </w:rPr>
        <w:t>定性分析</w:t>
      </w:r>
      <w:bookmarkEnd w:id="413"/>
      <w:bookmarkEnd w:id="414"/>
      <w:r>
        <w:rPr>
          <w:rFonts w:hint="eastAsia"/>
          <w:color w:val="000000" w:themeColor="text1"/>
          <w14:textFill>
            <w14:solidFill>
              <w14:schemeClr w14:val="tx1"/>
            </w14:solidFill>
          </w14:textFill>
        </w:rPr>
        <w:t>危险、有害程度</w:t>
      </w:r>
      <w:bookmarkEnd w:id="415"/>
      <w:bookmarkStart w:id="417" w:name="_Toc116909514"/>
      <w:bookmarkStart w:id="418" w:name="_Toc184958709"/>
      <w:bookmarkStart w:id="419" w:name="_Toc181600457"/>
      <w:bookmarkStart w:id="420" w:name="_Toc17210010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识别与系统有关的主要危险，鉴别产生危险的原因，预测事故发生对人员和系统的影响，判别危险等级，提出消除或控制危险性的对策措施，本报告采用了预先危险性分析法进行危险、有害程度分析评价，分析的具体结果见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  预先危险性分析表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90"/>
        <w:gridCol w:w="1725"/>
        <w:gridCol w:w="698"/>
        <w:gridCol w:w="915"/>
        <w:gridCol w:w="70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危险因素</w:t>
            </w:r>
          </w:p>
        </w:tc>
        <w:tc>
          <w:tcPr>
            <w:tcW w:w="139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产生原因</w:t>
            </w:r>
          </w:p>
        </w:tc>
        <w:tc>
          <w:tcPr>
            <w:tcW w:w="1724"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触发条件</w:t>
            </w:r>
          </w:p>
        </w:tc>
        <w:tc>
          <w:tcPr>
            <w:tcW w:w="69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事故类型</w:t>
            </w:r>
          </w:p>
        </w:tc>
        <w:tc>
          <w:tcPr>
            <w:tcW w:w="91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可能后果</w:t>
            </w:r>
          </w:p>
        </w:tc>
        <w:tc>
          <w:tcPr>
            <w:tcW w:w="70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危险等级</w:t>
            </w:r>
          </w:p>
        </w:tc>
        <w:tc>
          <w:tcPr>
            <w:tcW w:w="28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油蒸气泄漏</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人体吸入</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人员中毒或死亡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通风条件不良</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人员进入受限空间作业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1.违章作业、违章驾驶；2.车辆有缺陷；3.作业环境不符合安全要求，如通道、场地、照明；4.疲劳驾驶等。</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车辆翻车，刹车失灵造成对周围人员的伤害。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1.设置减速警示标志；2.严禁疲劳驾车；3.在进入多人存在的作业区域时，须鸣号或听从指挥；4.加强职工的安全教育，提高安全素质。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1.设计不周；</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2.施工质量不良；</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3.不按要求进行定期检修。</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1.风速过大；</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2.降雨、降雪；3.地震。</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1.罩棚设计、施工单位必须具备相关资质；</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2.设计应符合相应的规范要求；</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3.严格按照设计图纸进行施工，未经设计单位同意，严禁变更设计图纸；</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4.加强安全管理，按设计要求定期对罩棚进行检修、维护。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1.电气设备未采取接地、接零保护；2.电气短路、线路老化，绝缘失效；3.电气设备接地、接零装置失效；4.检修电气设备时带电检修；5.违章作业。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1.人体接触漏电设备；2.人体与带电体直接接触，使人体流过超过承受阈值的电流而造成的伤害。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1.违章作业、违章驾驶；2.车辆有缺陷；3.作业环境不符合安全要求，如通道、场地、照明；4.疲劳驾驶等。</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车辆翻车，刹车失灵造成对周围人员的伤害。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1.设置减速警示标志；2.严禁疲劳驾车；3.在进入多人存在的作业区域时，须鸣号或听从指挥；4.加强职工的安全教育，提高安全素质。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1.对罩棚照明等检修或其他高处检修作业或巡查时未采取安全防护措施；2.高于2m以上作业无</w:t>
            </w:r>
            <w:r>
              <w:rPr>
                <w:color w:val="000000" w:themeColor="text1"/>
                <w14:textFill>
                  <w14:solidFill>
                    <w14:schemeClr w14:val="tx1"/>
                  </w14:solidFill>
                </w14:textFill>
              </w:rPr>
              <w:t>有效</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安全防护</w:t>
            </w:r>
            <w:r>
              <w:rPr>
                <w:rFonts w:hint="eastAsia"/>
                <w:color w:val="000000" w:themeColor="text1"/>
                <w14:textFill>
                  <w14:solidFill>
                    <w14:schemeClr w14:val="tx1"/>
                  </w14:solidFill>
                </w14:textFill>
              </w:rPr>
              <w:t>措施。</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不落实高处作业的各项安全措施就进行作业。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1.传动装置未加盖防护罩；2.设备在运转过程中进行检修作业。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人体接触传动设备部件或转动设备。</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人员受伤</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1.外露传动装置或转动部件加装安全防护罩；2.严格按设备检修规程和安全规程进行检修；3.加强安全教育，提高安全意识；4.佩戴劳动防护用品。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1.电气设备未采取接地、接零保护；2.电气短路、线路老化，绝缘失效；3.电气设备接地、接零装置失效；4.检修电气设备时带电检修；5.违章作业。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1.人体接触漏电设备；2.人体与带电体直接接触，使人体流过超过承受阈值的电流而造成的伤害。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显明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油蒸气泄漏</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人体吸入</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人员中毒或死亡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通风条件不良</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人员进入受限空间作业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7"/>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1.高温致使油蒸气蒸发量加大；</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2.低温致使油罐、管路破裂，油品泄漏。</w:t>
            </w:r>
          </w:p>
        </w:tc>
        <w:tc>
          <w:tcPr>
            <w:tcW w:w="17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1.将火种带入禁火区；2.在禁火区违章动火或使用铁质工具；3.静电打火；4.雷击；5.电气、线路老化造成短路；6.加油站外有点火源。</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3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地面沉陷、地震、东面石挡墙坍塌。</w:t>
            </w:r>
          </w:p>
        </w:tc>
        <w:tc>
          <w:tcPr>
            <w:tcW w:w="17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1.地质条件不良；2.地震；3.设计不符合规范要求；4.施工不良。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1.进行地质勘查；2.设计单位必须有相应资质；3.设计应符合相应的规范要求；4.严格按照设计图纸进行施工，未经设计单位同意，变更设计图纸。</w:t>
            </w:r>
          </w:p>
        </w:tc>
      </w:tr>
      <w:bookmarkEnd w:id="417"/>
      <w:bookmarkEnd w:id="418"/>
      <w:bookmarkEnd w:id="419"/>
      <w:bookmarkEnd w:id="420"/>
    </w:tbl>
    <w:p>
      <w:pPr>
        <w:pStyle w:val="3"/>
        <w:rPr>
          <w:color w:val="000000" w:themeColor="text1"/>
          <w14:textFill>
            <w14:solidFill>
              <w14:schemeClr w14:val="tx1"/>
            </w14:solidFill>
          </w14:textFill>
        </w:rPr>
      </w:pPr>
      <w:bookmarkStart w:id="421" w:name="_Toc9299"/>
      <w:r>
        <w:rPr>
          <w:rFonts w:hint="eastAsia"/>
          <w:color w:val="000000" w:themeColor="text1"/>
          <w14:textFill>
            <w14:solidFill>
              <w14:schemeClr w14:val="tx1"/>
            </w14:solidFill>
          </w14:textFill>
        </w:rPr>
        <w:t>事故案例</w:t>
      </w:r>
      <w:bookmarkEnd w:id="421"/>
    </w:p>
    <w:p>
      <w:pPr>
        <w:rPr>
          <w:color w:val="000000" w:themeColor="text1"/>
          <w14:textFill>
            <w14:solidFill>
              <w14:schemeClr w14:val="tx1"/>
            </w14:solidFill>
          </w14:textFill>
        </w:rPr>
      </w:pPr>
      <w:r>
        <w:rPr>
          <w:color w:val="000000" w:themeColor="text1"/>
          <w14:textFill>
            <w14:solidFill>
              <w14:schemeClr w14:val="tx1"/>
            </w14:solidFill>
          </w14:textFill>
        </w:rPr>
        <w:t>油罐车卸油后晃车卸余油拉断罐车底阀</w:t>
      </w:r>
      <w:r>
        <w:rPr>
          <w:rFonts w:hint="eastAsia"/>
          <w:color w:val="000000" w:themeColor="text1"/>
          <w14:textFill>
            <w14:solidFill>
              <w14:schemeClr w14:val="tx1"/>
            </w14:solidFill>
          </w14:textFill>
        </w:rPr>
        <w:t>事故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2009年4月1日22时许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驾驶员李某驾驶油罐车在某加油站卸完油后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为卸尽车内余油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在卸油管仍与油罐车、油罐同时连接的情况下即进行晃车。在晃车过程中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李某误操作（</w:t>
      </w:r>
      <w:r>
        <w:rPr>
          <w:rFonts w:hint="eastAsia"/>
          <w:color w:val="000000" w:themeColor="text1"/>
          <w14:textFill>
            <w14:solidFill>
              <w14:schemeClr w14:val="tx1"/>
            </w14:solidFill>
          </w14:textFill>
        </w:rPr>
        <w:t>将倒挡</w:t>
      </w:r>
      <w:r>
        <w:rPr>
          <w:color w:val="000000" w:themeColor="text1"/>
          <w14:textFill>
            <w14:solidFill>
              <w14:schemeClr w14:val="tx1"/>
            </w14:solidFill>
          </w14:textFill>
        </w:rPr>
        <w:t>挂成二档）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车辆行驶幅度过大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将罐车海底阀拉断。事件未造成其他设备损坏及油品</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原因分析：承运人员安全意识淡薄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图省事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采取不规范的</w:t>
      </w:r>
      <w:r>
        <w:rPr>
          <w:rFonts w:hint="eastAsia"/>
          <w:color w:val="000000" w:themeColor="text1"/>
          <w14:textFill>
            <w14:solidFill>
              <w14:schemeClr w14:val="tx1"/>
            </w14:solidFill>
          </w14:textFill>
        </w:rPr>
        <w:t>卸</w:t>
      </w:r>
      <w:r>
        <w:rPr>
          <w:color w:val="000000" w:themeColor="text1"/>
          <w14:textFill>
            <w14:solidFill>
              <w14:schemeClr w14:val="tx1"/>
            </w14:solidFill>
          </w14:textFill>
        </w:rPr>
        <w:t>油方式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在未取下卸油管的情况下</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进行晃车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加之业务技能不熟练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导致事件发生。加油站监卸人员卸油作业现场监管不到位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未能及时制止承运人员的不安全行为间接导致事件发生。</w:t>
      </w:r>
    </w:p>
    <w:p>
      <w:pPr>
        <w:rPr>
          <w:color w:val="000000" w:themeColor="text1"/>
          <w14:textFill>
            <w14:solidFill>
              <w14:schemeClr w14:val="tx1"/>
            </w14:solidFill>
          </w14:textFill>
        </w:rPr>
      </w:pPr>
      <w:r>
        <w:rPr>
          <w:color w:val="000000" w:themeColor="text1"/>
          <w14:textFill>
            <w14:solidFill>
              <w14:schemeClr w14:val="tx1"/>
            </w14:solidFill>
          </w14:textFill>
        </w:rPr>
        <w:t>经验教训：此次事件虽未造成严重后果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但通过晃车卸余油带来的安全隐患必须引起我们的高度重视。晃车卸余油一是易造成罐车内剩余油品产生、聚集静电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晃车完毕接卸余油时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一旦未能有效连接静电接地线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极易引发火灾事故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类似事故已在系统内发生并造成了严重损失。二是油罐车在加油</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内急速行驶晃动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给站内员工及进站加油人员人身安全带来威胁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极易造成交通事故。各企业要吸取此次未遂事件的经验教训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切实加强加油站内油罐车卸余油的管理。</w:t>
      </w:r>
    </w:p>
    <w:p>
      <w:pPr>
        <w:rPr>
          <w:color w:val="000000" w:themeColor="text1"/>
          <w14:textFill>
            <w14:solidFill>
              <w14:schemeClr w14:val="tx1"/>
            </w14:solidFill>
          </w14:textFill>
        </w:rPr>
      </w:pPr>
      <w:r>
        <w:rPr>
          <w:color w:val="000000" w:themeColor="text1"/>
          <w14:textFill>
            <w14:solidFill>
              <w14:schemeClr w14:val="tx1"/>
            </w14:solidFill>
          </w14:textFill>
        </w:rPr>
        <w:t>防范措施：企业要加强对承运商司运人员的教育培训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完善相应的规章制度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明确要求油罐车卸余油要通过规范的方式进行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如在指定地点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利用地形坡度等方式。严格执行禁令和纪律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结合“我要安全”主题活动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落实规章制度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规范操作行为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进一步强化加油站卸油环节的安全质量管理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加油站油品监卸人员要切实负起责任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及时发现并有效制止违章行为。</w:t>
      </w:r>
    </w:p>
    <w:p>
      <w:pPr>
        <w:pStyle w:val="3"/>
        <w:rPr>
          <w:color w:val="000000" w:themeColor="text1"/>
          <w14:textFill>
            <w14:solidFill>
              <w14:schemeClr w14:val="tx1"/>
            </w14:solidFill>
          </w14:textFill>
        </w:rPr>
      </w:pPr>
      <w:bookmarkStart w:id="422" w:name="_Toc16951"/>
      <w:r>
        <w:rPr>
          <w:rFonts w:hint="eastAsia"/>
          <w:color w:val="000000" w:themeColor="text1"/>
          <w14:textFill>
            <w14:solidFill>
              <w14:schemeClr w14:val="tx1"/>
            </w14:solidFill>
          </w14:textFill>
        </w:rPr>
        <w:t>本章小结</w:t>
      </w:r>
      <w:bookmarkEnd w:id="422"/>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预先危险性分析结果：预先危险性分析过程见上表5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（定性分析危险、有害程度），分析结果如下：</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涉及的主要危险物质为汽油和柴油，危险有害因素为火灾爆炸、触电、机械伤害、中毒与窒息、车辆伤害、高处坠落、坍塌等。其中，火灾爆炸、坍塌的危险性等级为Ⅳ级，窒息、车辆伤害、触电、中毒、高处坠落、机械伤害的危险性等级为III级。</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本章针对其危险源潜在事故及其触发条件进行了分析，指出了防止项目存在的危险转化为事故的主要防范措施。通过预先危险性分析，确定进一步分析的范围，使分析、评价后提出的消除、控制危险的措施更具有针对性。</w:t>
      </w:r>
    </w:p>
    <w:bookmarkEnd w:id="416"/>
    <w:p>
      <w:pPr>
        <w:pStyle w:val="2"/>
        <w:spacing w:before="193" w:after="193"/>
        <w:rPr>
          <w:color w:val="000000" w:themeColor="text1"/>
          <w14:textFill>
            <w14:solidFill>
              <w14:schemeClr w14:val="tx1"/>
            </w14:solidFill>
          </w14:textFill>
        </w:rPr>
      </w:pPr>
      <w:bookmarkStart w:id="423" w:name="_Toc258574851"/>
      <w:bookmarkStart w:id="424" w:name="_Toc195176759"/>
      <w:bookmarkStart w:id="425" w:name="_Toc25437"/>
      <w:r>
        <w:rPr>
          <w:rFonts w:hint="eastAsia"/>
          <w:color w:val="000000" w:themeColor="text1"/>
          <w14:textFill>
            <w14:solidFill>
              <w14:schemeClr w14:val="tx1"/>
            </w14:solidFill>
          </w14:textFill>
        </w:rPr>
        <w:t>各单元分析</w:t>
      </w:r>
      <w:bookmarkEnd w:id="423"/>
      <w:bookmarkEnd w:id="424"/>
      <w:r>
        <w:rPr>
          <w:rFonts w:hint="eastAsia"/>
          <w:color w:val="000000" w:themeColor="text1"/>
          <w14:textFill>
            <w14:solidFill>
              <w14:schemeClr w14:val="tx1"/>
            </w14:solidFill>
          </w14:textFill>
        </w:rPr>
        <w:t>评价</w:t>
      </w:r>
      <w:bookmarkEnd w:id="425"/>
    </w:p>
    <w:p>
      <w:pPr>
        <w:pStyle w:val="3"/>
        <w:rPr>
          <w:color w:val="000000" w:themeColor="text1"/>
          <w14:textFill>
            <w14:solidFill>
              <w14:schemeClr w14:val="tx1"/>
            </w14:solidFill>
          </w14:textFill>
        </w:rPr>
      </w:pPr>
      <w:bookmarkStart w:id="426" w:name="_Toc258574852"/>
      <w:bookmarkStart w:id="427" w:name="_Toc195176760"/>
      <w:bookmarkStart w:id="428" w:name="_Toc22375"/>
      <w:r>
        <w:rPr>
          <w:rFonts w:hint="eastAsia"/>
          <w:color w:val="000000" w:themeColor="text1"/>
          <w14:textFill>
            <w14:solidFill>
              <w14:schemeClr w14:val="tx1"/>
            </w14:solidFill>
          </w14:textFill>
        </w:rPr>
        <w:t>外部安全条件分析</w:t>
      </w:r>
      <w:bookmarkEnd w:id="426"/>
      <w:bookmarkEnd w:id="427"/>
      <w:r>
        <w:rPr>
          <w:rFonts w:hint="eastAsia"/>
          <w:color w:val="000000" w:themeColor="text1"/>
          <w14:textFill>
            <w14:solidFill>
              <w14:schemeClr w14:val="tx1"/>
            </w14:solidFill>
          </w14:textFill>
        </w:rPr>
        <w:t>评价</w:t>
      </w:r>
      <w:bookmarkEnd w:id="428"/>
    </w:p>
    <w:p>
      <w:pPr>
        <w:pStyle w:val="4"/>
        <w:ind w:firstLine="562"/>
        <w:rPr>
          <w:color w:val="000000" w:themeColor="text1"/>
          <w14:textFill>
            <w14:solidFill>
              <w14:schemeClr w14:val="tx1"/>
            </w14:solidFill>
          </w14:textFill>
        </w:rPr>
      </w:pPr>
      <w:bookmarkStart w:id="429" w:name="_Toc23813"/>
      <w:bookmarkStart w:id="430" w:name="_Toc195176761"/>
      <w:r>
        <w:rPr>
          <w:rFonts w:hint="eastAsia"/>
          <w:color w:val="000000" w:themeColor="text1"/>
          <w14:textFill>
            <w14:solidFill>
              <w14:schemeClr w14:val="tx1"/>
            </w14:solidFill>
          </w14:textFill>
        </w:rPr>
        <w:t>站址选择分析评价</w:t>
      </w:r>
      <w:bookmarkEnd w:id="42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依据《汽车加油加气加氢站技术标准》（GB50156-2021）编制安全检查表对加油站站址进行分析评价，检查结果见表6-1。</w:t>
      </w:r>
    </w:p>
    <w:p>
      <w:pPr>
        <w:pStyle w:val="78"/>
        <w:rPr>
          <w:b w:val="0"/>
          <w:bCs/>
          <w:color w:val="000000" w:themeColor="text1"/>
          <w14:textFill>
            <w14:solidFill>
              <w14:schemeClr w14:val="tx1"/>
            </w14:solidFill>
          </w14:textFill>
        </w:rPr>
      </w:pPr>
      <w:r>
        <w:rPr>
          <w:rFonts w:hint="eastAsia"/>
          <w:color w:val="000000" w:themeColor="text1"/>
          <w14:textFill>
            <w14:solidFill>
              <w14:schemeClr w14:val="tx1"/>
            </w14:solidFill>
          </w14:textFill>
        </w:rPr>
        <w:t>表6-1  加油站站址安全检查表</w:t>
      </w:r>
    </w:p>
    <w:tbl>
      <w:tblPr>
        <w:tblStyle w:val="33"/>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844"/>
        <w:gridCol w:w="1619"/>
        <w:gridCol w:w="2837"/>
        <w:gridCol w:w="7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3844"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检查内容</w:t>
            </w:r>
          </w:p>
        </w:tc>
        <w:tc>
          <w:tcPr>
            <w:tcW w:w="1619"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检查依据</w:t>
            </w:r>
          </w:p>
        </w:tc>
        <w:tc>
          <w:tcPr>
            <w:tcW w:w="2837"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检查结果</w:t>
            </w:r>
          </w:p>
        </w:tc>
        <w:tc>
          <w:tcPr>
            <w:tcW w:w="771"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汽车加油站的站址选择应符合有关规划、环境保护和防火安全的要求，并应选在交通便利、用户使用方便的地点</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GB50156-2021第4.0.1条</w:t>
            </w:r>
          </w:p>
        </w:tc>
        <w:tc>
          <w:tcPr>
            <w:tcW w:w="283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加油站位于</w:t>
            </w:r>
            <w:r>
              <w:rPr>
                <w:rFonts w:hint="eastAsia"/>
                <w:color w:val="000000" w:themeColor="text1"/>
                <w:lang w:val="en-US" w:eastAsia="zh-CN"/>
                <w14:textFill>
                  <w14:solidFill>
                    <w14:schemeClr w14:val="tx1"/>
                  </w14:solidFill>
                </w14:textFill>
              </w:rPr>
              <w:t>丘北县树皮乡树皮街头新树线旁</w:t>
            </w:r>
            <w:r>
              <w:rPr>
                <w:rFonts w:hint="eastAsia"/>
                <w:color w:val="000000" w:themeColor="text1"/>
                <w14:textFill>
                  <w14:solidFill>
                    <w14:schemeClr w14:val="tx1"/>
                  </w14:solidFill>
                </w14:textFill>
              </w:rPr>
              <w:t>，所处位置交通便利。</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keepNext w:val="0"/>
              <w:keepLines w:val="0"/>
              <w:pageBreakBefore w:val="0"/>
              <w:widowControl w:val="0"/>
              <w:kinsoku/>
              <w:wordWrap/>
              <w:overflowPunct/>
              <w:topLinePunct/>
              <w:autoSpaceDE/>
              <w:autoSpaceDN/>
              <w:bidi w:val="0"/>
              <w:adjustRightInd w:val="0"/>
              <w:snapToGrid w:val="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在城市中心区不应建一级汽车加油站。</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GB50156-2021第4.0.2条</w:t>
            </w:r>
          </w:p>
        </w:tc>
        <w:tc>
          <w:tcPr>
            <w:tcW w:w="2837"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加油站属于</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w:t>
            </w:r>
            <w:r>
              <w:rPr>
                <w:rFonts w:hint="eastAsia"/>
                <w:color w:val="000000" w:themeColor="text1"/>
                <w:lang w:eastAsia="zh-CN"/>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3.城市建成区内的汽车加油站宜靠近城市道路，但不宜选在城市干道的交叉路口附近</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第4.0.3条</w:t>
            </w:r>
          </w:p>
        </w:tc>
        <w:tc>
          <w:tcPr>
            <w:tcW w:w="283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加油站所处位置靠近</w:t>
            </w:r>
            <w:r>
              <w:rPr>
                <w:rFonts w:hint="eastAsia"/>
                <w:color w:val="000000" w:themeColor="text1"/>
                <w:lang w:val="en-US" w:eastAsia="zh-CN"/>
                <w14:textFill>
                  <w14:solidFill>
                    <w14:schemeClr w14:val="tx1"/>
                  </w14:solidFill>
                </w14:textFill>
              </w:rPr>
              <w:t>花小公路</w:t>
            </w:r>
            <w:r>
              <w:rPr>
                <w:rFonts w:hint="eastAsia"/>
                <w:color w:val="000000" w:themeColor="text1"/>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.加油站的</w:t>
            </w:r>
            <w:r>
              <w:rPr>
                <w:rFonts w:hint="eastAsia"/>
                <w:color w:val="000000" w:themeColor="text1"/>
                <w14:textFill>
                  <w14:solidFill>
                    <w14:schemeClr w14:val="tx1"/>
                  </w14:solidFill>
                </w14:textFill>
              </w:rPr>
              <w:t>汽油、柴油工艺设备</w:t>
            </w:r>
            <w:r>
              <w:rPr>
                <w:color w:val="000000" w:themeColor="text1"/>
                <w14:textFill>
                  <w14:solidFill>
                    <w14:schemeClr w14:val="tx1"/>
                  </w14:solidFill>
                </w14:textFill>
              </w:rPr>
              <w:t>与站外建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筑物的防火距离应</w:t>
            </w:r>
            <w:r>
              <w:rPr>
                <w:rFonts w:hint="eastAsia"/>
                <w:color w:val="000000" w:themeColor="text1"/>
                <w14:textFill>
                  <w14:solidFill>
                    <w14:schemeClr w14:val="tx1"/>
                  </w14:solidFill>
                </w14:textFill>
              </w:rPr>
              <w:t>符合本规范中表4.0.4中的规定</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第4.0.4条</w:t>
            </w:r>
          </w:p>
        </w:tc>
        <w:tc>
          <w:tcPr>
            <w:tcW w:w="2837"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加油站与相关设施的距离符合规范的要求</w:t>
            </w:r>
            <w:r>
              <w:rPr>
                <w:rFonts w:hint="eastAsia"/>
                <w:color w:val="000000" w:themeColor="text1"/>
                <w:lang w:eastAsia="zh-CN"/>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color w:val="000000" w:themeColor="text1"/>
          <w14:textFill>
            <w14:solidFill>
              <w14:schemeClr w14:val="tx1"/>
            </w14:solidFill>
          </w14:textFill>
        </w:rPr>
        <w:t>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加油站所处位置交通便利，加油站的设施</w:t>
      </w:r>
      <w:r>
        <w:rPr>
          <w:color w:val="000000" w:themeColor="text1"/>
          <w14:textFill>
            <w14:solidFill>
              <w14:schemeClr w14:val="tx1"/>
            </w14:solidFill>
          </w14:textFill>
        </w:rPr>
        <w:t>与站外建、构筑物的</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距离</w:t>
      </w:r>
      <w:r>
        <w:rPr>
          <w:rFonts w:hint="eastAsia"/>
          <w:color w:val="000000" w:themeColor="text1"/>
          <w14:textFill>
            <w14:solidFill>
              <w14:schemeClr w14:val="tx1"/>
            </w14:solidFill>
          </w14:textFill>
        </w:rPr>
        <w:t>，从</w:t>
      </w:r>
      <w:r>
        <w:rPr>
          <w:rFonts w:hint="eastAsia"/>
          <w:color w:val="000000" w:themeColor="text1"/>
          <w:lang w:val="en-US" w:eastAsia="zh-CN"/>
          <w14:textFill>
            <w14:solidFill>
              <w14:schemeClr w14:val="tx1"/>
            </w14:solidFill>
          </w14:textFill>
        </w:rPr>
        <w:t>加油站</w:t>
      </w:r>
      <w:r>
        <w:rPr>
          <w:rFonts w:hint="eastAsia"/>
          <w:color w:val="000000" w:themeColor="text1"/>
          <w14:textFill>
            <w14:solidFill>
              <w14:schemeClr w14:val="tx1"/>
            </w14:solidFill>
          </w14:textFill>
        </w:rPr>
        <w:t>平面布置来看，</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《汽车加油加气加氢站技术标准》（GB50156-2021）对加油站站址</w:t>
      </w:r>
      <w:r>
        <w:rPr>
          <w:color w:val="000000" w:themeColor="text1"/>
          <w14:textFill>
            <w14:solidFill>
              <w14:schemeClr w14:val="tx1"/>
            </w14:solidFill>
          </w14:textFill>
        </w:rPr>
        <w:t>的要求。</w:t>
      </w:r>
    </w:p>
    <w:p>
      <w:pPr>
        <w:pStyle w:val="4"/>
        <w:ind w:firstLine="562"/>
        <w:rPr>
          <w:color w:val="000000" w:themeColor="text1"/>
          <w14:textFill>
            <w14:solidFill>
              <w14:schemeClr w14:val="tx1"/>
            </w14:solidFill>
          </w14:textFill>
        </w:rPr>
      </w:pPr>
      <w:bookmarkStart w:id="431" w:name="_Toc11881"/>
      <w:r>
        <w:rPr>
          <w:rFonts w:hint="eastAsia"/>
          <w:color w:val="000000" w:themeColor="text1"/>
          <w14:textFill>
            <w14:solidFill>
              <w14:schemeClr w14:val="tx1"/>
            </w14:solidFill>
          </w14:textFill>
        </w:rPr>
        <w:t>加油站对周边环境的影响分析评价</w:t>
      </w:r>
      <w:bookmarkEnd w:id="431"/>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该加油站运行过程中，若安全管理不到位、设备缺陷或人员操作失误，造成加油站储罐发生泄漏，泄漏的油品挥发形成蒸气云，若遇到点火源将会发生爆炸，危及加油站周边道路行人的生命及财产安全。</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根据计算及对照</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的平面布置，汽油储罐发生蒸气云雾爆炸后，其对人体的伤害及其对周围的建构筑物及设备的破坏范围覆盖整个加油站及周边</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，后果是非常严重的。尽管汽油储罐爆炸事故发生时其危害性较大，但此事故发生的概率极低，是可以通过加强安全管理和采取安全技术措施加以预防的。</w:t>
      </w:r>
    </w:p>
    <w:p>
      <w:pPr>
        <w:pStyle w:val="4"/>
        <w:ind w:firstLine="562"/>
        <w:rPr>
          <w:color w:val="000000" w:themeColor="text1"/>
          <w14:textFill>
            <w14:solidFill>
              <w14:schemeClr w14:val="tx1"/>
            </w14:solidFill>
          </w14:textFill>
        </w:rPr>
      </w:pPr>
      <w:bookmarkStart w:id="432" w:name="_Toc15666"/>
      <w:r>
        <w:rPr>
          <w:rFonts w:hint="eastAsia"/>
          <w:color w:val="000000" w:themeColor="text1"/>
          <w14:textFill>
            <w14:solidFill>
              <w14:schemeClr w14:val="tx1"/>
            </w14:solidFill>
          </w14:textFill>
        </w:rPr>
        <w:t>加油站周边环境对加油站运行的影响</w:t>
      </w:r>
      <w:bookmarkEnd w:id="432"/>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加油站周边居民、设施对加油站运行的影响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加油站周边无重要公共建筑物，其他建筑物与加油站油罐、通气管、加油机的距离符合《汽车加油加气加氢站技术标准》（GB50156-2021）的要求。加油站边界设置有实体围墙与周边隔开，站内2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h有人值守，配备有视频监控系统，进出站区均设置有车辆减速标志。周边道路上行驶的车辆、周边居民等对加油站的影响在可接受范围内。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在加油站日常运营过程中，认真落实对加油站的安全管理，加强相关设施的安全检查，加油站是可以安全运行的。</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应急救援及交通的影响</w:t>
      </w:r>
    </w:p>
    <w:p>
      <w:pPr>
        <w:pStyle w:val="1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加油站位于</w:t>
      </w:r>
      <w:bookmarkStart w:id="433" w:name="OLE_LINK48"/>
      <w:r>
        <w:rPr>
          <w:rFonts w:hint="eastAsia"/>
          <w:color w:val="000000" w:themeColor="text1"/>
          <w:lang w:val="en-US" w:eastAsia="zh-CN"/>
          <w14:textFill>
            <w14:solidFill>
              <w14:schemeClr w14:val="tx1"/>
            </w14:solidFill>
          </w14:textFill>
        </w:rPr>
        <w:t>丘北县树皮乡</w:t>
      </w:r>
      <w:bookmarkEnd w:id="433"/>
      <w:r>
        <w:rPr>
          <w:rFonts w:hint="eastAsia"/>
          <w:color w:val="000000" w:themeColor="text1"/>
          <w:lang w:val="en-US" w:eastAsia="zh-CN"/>
          <w14:textFill>
            <w14:solidFill>
              <w14:schemeClr w14:val="tx1"/>
            </w14:solidFill>
          </w14:textFill>
        </w:rPr>
        <w:t>树皮街头新树线旁</w:t>
      </w:r>
      <w:r>
        <w:rPr>
          <w:rFonts w:hint="eastAsia"/>
          <w:color w:val="000000" w:themeColor="text1"/>
          <w14:textFill>
            <w14:solidFill>
              <w14:schemeClr w14:val="tx1"/>
            </w14:solidFill>
          </w14:textFill>
        </w:rPr>
        <w:t>，交通运输十分便利。加油站发生事故时，可就近向附近相关部门求援，应急救援力量有保障。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加油站前的道路能满足项目应急救援的需要，使事故后果损失大幅度减少。</w:t>
      </w:r>
    </w:p>
    <w:p>
      <w:pPr>
        <w:pStyle w:val="4"/>
        <w:ind w:firstLine="562"/>
        <w:rPr>
          <w:color w:val="000000" w:themeColor="text1"/>
          <w14:textFill>
            <w14:solidFill>
              <w14:schemeClr w14:val="tx1"/>
            </w14:solidFill>
          </w14:textFill>
        </w:rPr>
      </w:pPr>
      <w:bookmarkStart w:id="434" w:name="_Toc19180"/>
      <w:r>
        <w:rPr>
          <w:rFonts w:hint="eastAsia"/>
          <w:color w:val="000000" w:themeColor="text1"/>
          <w14:textFill>
            <w14:solidFill>
              <w14:schemeClr w14:val="tx1"/>
            </w14:solidFill>
          </w14:textFill>
        </w:rPr>
        <w:t>所在地自然条件对加油站运行的影响</w:t>
      </w:r>
      <w:bookmarkEnd w:id="434"/>
    </w:p>
    <w:p>
      <w:pPr>
        <w:pStyle w:val="5"/>
        <w:ind w:firstLine="560"/>
        <w:rPr>
          <w:color w:val="000000" w:themeColor="text1"/>
          <w14:textFill>
            <w14:solidFill>
              <w14:schemeClr w14:val="tx1"/>
            </w14:solidFill>
          </w14:textFill>
        </w:rPr>
      </w:pPr>
      <w:bookmarkStart w:id="435" w:name="_Toc259450480"/>
      <w:r>
        <w:rPr>
          <w:rFonts w:hint="eastAsia"/>
          <w:color w:val="000000" w:themeColor="text1"/>
          <w14:textFill>
            <w14:solidFill>
              <w14:schemeClr w14:val="tx1"/>
            </w14:solidFill>
          </w14:textFill>
        </w:rPr>
        <w:t>风的影响</w:t>
      </w:r>
      <w:bookmarkEnd w:id="43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依据项目所在地风速、主导风向，该地风向、风速对加油站影响不大。</w:t>
      </w:r>
    </w:p>
    <w:p>
      <w:pPr>
        <w:pStyle w:val="5"/>
        <w:ind w:firstLine="560"/>
        <w:rPr>
          <w:color w:val="000000" w:themeColor="text1"/>
          <w14:textFill>
            <w14:solidFill>
              <w14:schemeClr w14:val="tx1"/>
            </w14:solidFill>
          </w14:textFill>
        </w:rPr>
      </w:pPr>
      <w:bookmarkStart w:id="436" w:name="_Toc259450481"/>
      <w:r>
        <w:rPr>
          <w:rFonts w:hint="eastAsia"/>
          <w:color w:val="000000" w:themeColor="text1"/>
          <w14:textFill>
            <w14:solidFill>
              <w14:schemeClr w14:val="tx1"/>
            </w14:solidFill>
          </w14:textFill>
        </w:rPr>
        <w:t>温、湿度的影响</w:t>
      </w:r>
      <w:bookmarkEnd w:id="43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该站位于</w:t>
      </w:r>
      <w:r>
        <w:rPr>
          <w:rFonts w:hint="eastAsia"/>
          <w:color w:val="000000" w:themeColor="text1"/>
          <w:lang w:val="en-US" w:eastAsia="zh-CN"/>
          <w14:textFill>
            <w14:solidFill>
              <w14:schemeClr w14:val="tx1"/>
            </w14:solidFill>
          </w14:textFill>
        </w:rPr>
        <w:t>丘北县树皮乡</w:t>
      </w:r>
      <w:r>
        <w:rPr>
          <w:rFonts w:hint="eastAsia"/>
          <w:color w:val="000000" w:themeColor="text1"/>
          <w14:textFill>
            <w14:solidFill>
              <w14:schemeClr w14:val="tx1"/>
            </w14:solidFill>
          </w14:textFill>
        </w:rPr>
        <w:t>，多年平均气温15℃，极端最高气温35℃。根据建设项目所在地的温、湿度等方面的数据，该站在运营期间，均要在每年天干物燥的旱季、高温季特别加强对火灾、爆炸、雷击、静电、毒性等危险、危害因素的防范，加强安全检查、安全管理和教育。</w:t>
      </w:r>
      <w:r>
        <w:rPr>
          <w:rStyle w:val="36"/>
          <w:rFonts w:ascii="微软雅黑" w:hAnsi="微软雅黑" w:eastAsia="微软雅黑" w:cs="微软雅黑"/>
          <w:i w:val="0"/>
          <w:iCs w:val="0"/>
          <w:caps w:val="0"/>
          <w:color w:val="000000" w:themeColor="text1"/>
          <w:spacing w:val="0"/>
          <w:sz w:val="18"/>
          <w:szCs w:val="18"/>
          <w:shd w:val="clear" w:fill="FAF8F4"/>
          <w14:textFill>
            <w14:solidFill>
              <w14:schemeClr w14:val="tx1"/>
            </w14:solidFill>
          </w14:textFill>
        </w:rPr>
        <w:t> </w:t>
      </w:r>
    </w:p>
    <w:p>
      <w:pPr>
        <w:pStyle w:val="5"/>
        <w:ind w:firstLine="560"/>
        <w:rPr>
          <w:color w:val="000000" w:themeColor="text1"/>
          <w14:textFill>
            <w14:solidFill>
              <w14:schemeClr w14:val="tx1"/>
            </w14:solidFill>
          </w14:textFill>
        </w:rPr>
      </w:pPr>
      <w:bookmarkStart w:id="437" w:name="_Toc259450482"/>
      <w:r>
        <w:rPr>
          <w:rFonts w:hint="eastAsia"/>
          <w:color w:val="000000" w:themeColor="text1"/>
          <w14:textFill>
            <w14:solidFill>
              <w14:schemeClr w14:val="tx1"/>
            </w14:solidFill>
          </w14:textFill>
        </w:rPr>
        <w:t>降水和排涝的影响</w:t>
      </w:r>
      <w:bookmarkEnd w:id="43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罩棚若未设置足够的排水设施或排水管堵塞，将可能有大量雨水聚集在罩棚顶部，导致罩棚垮塌，造成群死群伤的事故后果。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罩棚为网架结构，若由于网架选用材质不合格、制作安装有缺陷、使用过程中不按设计要求定期进行全面防腐维修，可能出现断裂垮塌，造成群死群伤的严重后果。只要定期对罩棚进行维修保养，对加油站的影响是可控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在暴雨情况下，若未及时抽排油罐池内积水，可能出现油罐上移拉断管线导致油品泄漏。油罐已设置抱带防上浮，对加油站的影响是可接受的。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该加油站虽然场地平坦，但在汛期应特别加强对雷击、静电、水涝、垮塌、漏油等危险、危害因素的防范，加强安全检查、安全管理和教育。</w:t>
      </w:r>
    </w:p>
    <w:p>
      <w:pPr>
        <w:pStyle w:val="5"/>
        <w:ind w:firstLine="560"/>
        <w:rPr>
          <w:color w:val="000000" w:themeColor="text1"/>
          <w14:textFill>
            <w14:solidFill>
              <w14:schemeClr w14:val="tx1"/>
            </w14:solidFill>
          </w14:textFill>
        </w:rPr>
      </w:pPr>
      <w:bookmarkStart w:id="438" w:name="_Toc259450483"/>
      <w:r>
        <w:rPr>
          <w:rFonts w:hint="eastAsia"/>
          <w:color w:val="000000" w:themeColor="text1"/>
          <w14:textFill>
            <w14:solidFill>
              <w14:schemeClr w14:val="tx1"/>
            </w14:solidFill>
          </w14:textFill>
        </w:rPr>
        <w:t>地震的影响</w:t>
      </w:r>
      <w:bookmarkEnd w:id="438"/>
    </w:p>
    <w:p>
      <w:pPr>
        <w:rPr>
          <w:color w:val="000000" w:themeColor="text1"/>
          <w14:textFill>
            <w14:solidFill>
              <w14:schemeClr w14:val="tx1"/>
            </w14:solidFill>
          </w14:textFill>
        </w:rPr>
      </w:pPr>
      <w:bookmarkStart w:id="439" w:name="_Hlk122534177"/>
      <w:r>
        <w:rPr>
          <w:color w:val="000000" w:themeColor="text1"/>
          <w14:textFill>
            <w14:solidFill>
              <w14:schemeClr w14:val="tx1"/>
            </w14:solidFill>
          </w14:textFill>
        </w:rPr>
        <w:t>按照《</w:t>
      </w:r>
      <w:r>
        <w:rPr>
          <w:rFonts w:hint="default"/>
          <w:color w:val="000000" w:themeColor="text1"/>
          <w14:textFill>
            <w14:solidFill>
              <w14:schemeClr w14:val="tx1"/>
            </w14:solidFill>
          </w14:textFill>
        </w:rPr>
        <w:t>建筑抗震设计标准（2024年版）</w:t>
      </w:r>
      <w:r>
        <w:rPr>
          <w:color w:val="000000" w:themeColor="text1"/>
          <w14:textFill>
            <w14:solidFill>
              <w14:schemeClr w14:val="tx1"/>
            </w14:solidFill>
          </w14:textFill>
        </w:rPr>
        <w:t>》（GB50011-20</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）的划分</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丘北县</w:t>
      </w:r>
      <w:r>
        <w:rPr>
          <w:rFonts w:hint="eastAsia"/>
          <w:color w:val="000000" w:themeColor="text1"/>
          <w14:textFill>
            <w14:solidFill>
              <w14:schemeClr w14:val="tx1"/>
            </w14:solidFill>
          </w14:textFill>
        </w:rPr>
        <w:t>抗震设防烈度为</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度，分组为第三组，设计基本地震加速度值为0.</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g。</w:t>
      </w:r>
    </w:p>
    <w:bookmarkEnd w:id="439"/>
    <w:p>
      <w:pPr>
        <w:pStyle w:val="5"/>
        <w:ind w:firstLine="560"/>
        <w:rPr>
          <w:color w:val="000000" w:themeColor="text1"/>
          <w14:textFill>
            <w14:solidFill>
              <w14:schemeClr w14:val="tx1"/>
            </w14:solidFill>
          </w14:textFill>
        </w:rPr>
      </w:pPr>
      <w:bookmarkStart w:id="440" w:name="_Toc259450484"/>
      <w:r>
        <w:rPr>
          <w:rFonts w:hint="eastAsia"/>
          <w:color w:val="000000" w:themeColor="text1"/>
          <w14:textFill>
            <w14:solidFill>
              <w14:schemeClr w14:val="tx1"/>
            </w14:solidFill>
          </w14:textFill>
        </w:rPr>
        <w:t>地质条件的影响</w:t>
      </w:r>
      <w:bookmarkEnd w:id="44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从现场踏勘情况看，场地稳定，未见滑坡、断裂、围墙开裂等不良地质现象。</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地下水的影响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从现场了解情况来看，该加油站场地未见明显的地下水，已对油罐采取了抗浮措施，油罐区设置了观察井，并设置了排水设施。</w:t>
      </w:r>
    </w:p>
    <w:bookmarkEnd w:id="430"/>
    <w:p>
      <w:pPr>
        <w:pStyle w:val="3"/>
        <w:rPr>
          <w:color w:val="000000" w:themeColor="text1"/>
          <w14:textFill>
            <w14:solidFill>
              <w14:schemeClr w14:val="tx1"/>
            </w14:solidFill>
          </w14:textFill>
        </w:rPr>
      </w:pPr>
      <w:bookmarkStart w:id="441" w:name="_Toc195176762"/>
      <w:bookmarkStart w:id="442" w:name="_Toc27312"/>
      <w:r>
        <w:rPr>
          <w:rFonts w:hint="eastAsia"/>
          <w:color w:val="000000" w:themeColor="text1"/>
          <w14:textFill>
            <w14:solidFill>
              <w14:schemeClr w14:val="tx1"/>
            </w14:solidFill>
          </w14:textFill>
        </w:rPr>
        <w:t>平面布置分析</w:t>
      </w:r>
      <w:bookmarkEnd w:id="441"/>
      <w:r>
        <w:rPr>
          <w:rFonts w:hint="eastAsia"/>
          <w:color w:val="000000" w:themeColor="text1"/>
          <w14:textFill>
            <w14:solidFill>
              <w14:schemeClr w14:val="tx1"/>
            </w14:solidFill>
          </w14:textFill>
        </w:rPr>
        <w:t>评价</w:t>
      </w:r>
      <w:bookmarkEnd w:id="44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依据《汽车加油加气加氢站技术标准》（GB50156-2021）编制安全检查表对平面布置进行分析评价，检查结果见表6-2。</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表6-2  平面布置安全检查表</w:t>
      </w:r>
    </w:p>
    <w:tbl>
      <w:tblPr>
        <w:tblStyle w:val="33"/>
        <w:tblW w:w="8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451"/>
        <w:gridCol w:w="1502"/>
        <w:gridCol w:w="2203"/>
        <w:gridCol w:w="7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5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5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20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c>
          <w:tcPr>
            <w:tcW w:w="78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车辆入口和出口应分开设置。</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加油站车辆出、入口分开设置。</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站区内停车位和道路应符合下列规定：（</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）站内车道或停车位宽度应按车辆类型确定。加油站的车道或停车位，单车道或单车停车位宽度不应小于4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，双车道或双车停车位不应小于</w:t>
            </w:r>
            <w:r>
              <w:rPr>
                <w:color w:val="000000" w:themeColor="text1"/>
                <w14:textFill>
                  <w14:solidFill>
                    <w14:schemeClr w14:val="tx1"/>
                  </w14:solidFill>
                </w14:textFill>
              </w:rPr>
              <w:t>6m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）站内的道路转弯半径按行驶车型确定，且不宜小于</w:t>
            </w:r>
            <w:r>
              <w:rPr>
                <w:color w:val="000000" w:themeColor="text1"/>
                <w14:textFill>
                  <w14:solidFill>
                    <w14:schemeClr w14:val="tx1"/>
                  </w14:solidFill>
                </w14:textFill>
              </w:rPr>
              <w:t>9m</w:t>
            </w:r>
            <w:r>
              <w:rPr>
                <w:rFonts w:hint="eastAsia"/>
                <w:color w:val="000000" w:themeColor="text1"/>
                <w14:textFill>
                  <w14:solidFill>
                    <w14:schemeClr w14:val="tx1"/>
                  </w14:solidFill>
                </w14:textFill>
              </w:rPr>
              <w:t>。（3）站内停车位应为平坡，道路坡度不应大于8％，且宜坡向站外。</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（4）作业区内的停车场和道路路面不应采用沥青路面。</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2021第5.0.2条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车道宽度</w:t>
            </w:r>
            <w:r>
              <w:rPr>
                <w:rFonts w:hint="eastAsia"/>
                <w:color w:val="000000" w:themeColor="text1"/>
                <w14:textFill>
                  <w14:solidFill>
                    <w14:schemeClr w14:val="tx1"/>
                  </w14:solidFill>
                </w14:textFill>
              </w:rPr>
              <w:t>满足标准要求，站内地面全部采用混凝土不发火花地面。</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3.加油作业区内，不得有“明火地点”或“散发火花地点”。</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2021第5.0.5条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加油作业区内无“明火地点”或“散发火花地点”。</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4.加油站的变配电间或室外变压器应布置在爆炸危险区域之外，变配电间的起算点应为门窗等洞口。</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2021第5.0.8条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站内配电室布置于加油作业区之外。</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5.站房不应布置在爆炸危险区域。站房部分位于作业区内时，建筑面积等应符合本标准第14.2.10条的规定。</w:t>
            </w:r>
          </w:p>
        </w:tc>
        <w:tc>
          <w:tcPr>
            <w:tcW w:w="150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第5.0.9条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站房未布置在爆炸危险区域，建筑面积等应符合本标准第14.2.10条的规定</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6.加油站内的爆炸危险区域，不应超出站区围墙和可用边界线。</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w:t>
            </w:r>
            <w:r>
              <w:rPr>
                <w:rFonts w:hint="eastAsia"/>
                <w:color w:val="000000" w:themeColor="text1"/>
                <w14:textFill>
                  <w14:solidFill>
                    <w14:schemeClr w14:val="tx1"/>
                  </w14:solidFill>
                </w14:textFill>
              </w:rPr>
              <w:t>021第5.0.11条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加油站内的爆炸危险区域，未超出站区围墙和可用边界线。</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加油站内设施之间的防火距离不应小于</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13-1和表5.0.13-2的规定。</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2021第5.0.13条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加油站内设施之间防火距离符合规范要求。</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8.本规范表</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13-1和表5.0.13-2中，油品卸车点与站区围墙的防火间距还应符合本规范第5.0.11条的规定，设备或建（构）筑物的计算间距起止点应符合本规范附录A的规定。</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2021第5.0.15条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油品卸车点与的爆炸危险区域没有超出站区围墙。</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color w:val="000000" w:themeColor="text1"/>
          <w14:textFill>
            <w14:solidFill>
              <w14:schemeClr w14:val="tx1"/>
            </w14:solidFill>
          </w14:textFill>
        </w:rPr>
        <w:t>平面布置检查结果：</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根据安全检查表进行分析，</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p>
    <w:p>
      <w:pPr>
        <w:pStyle w:val="3"/>
        <w:rPr>
          <w:color w:val="000000" w:themeColor="text1"/>
          <w14:textFill>
            <w14:solidFill>
              <w14:schemeClr w14:val="tx1"/>
            </w14:solidFill>
          </w14:textFill>
        </w:rPr>
      </w:pPr>
      <w:bookmarkStart w:id="443" w:name="_Toc195176763"/>
      <w:bookmarkStart w:id="444" w:name="_Toc2808"/>
      <w:r>
        <w:rPr>
          <w:rFonts w:hint="eastAsia"/>
          <w:color w:val="000000" w:themeColor="text1"/>
          <w14:textFill>
            <w14:solidFill>
              <w14:schemeClr w14:val="tx1"/>
            </w14:solidFill>
          </w14:textFill>
        </w:rPr>
        <w:t>工艺及设施分析</w:t>
      </w:r>
      <w:bookmarkEnd w:id="443"/>
      <w:r>
        <w:rPr>
          <w:rFonts w:hint="eastAsia"/>
          <w:color w:val="000000" w:themeColor="text1"/>
          <w14:textFill>
            <w14:solidFill>
              <w14:schemeClr w14:val="tx1"/>
            </w14:solidFill>
          </w14:textFill>
        </w:rPr>
        <w:t>评价</w:t>
      </w:r>
      <w:bookmarkEnd w:id="44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依据《汽车加油加气加氢站技术标准》（GB50156-2021）编制安全检查表对工艺及设施进行分析评价，检查结果见表6-3。</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表6-3  加油工艺及设施安全检查表</w:t>
      </w:r>
    </w:p>
    <w:tbl>
      <w:tblPr>
        <w:tblStyle w:val="33"/>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1"/>
        <w:gridCol w:w="1701"/>
        <w:gridCol w:w="2295"/>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7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2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检查对象及结果</w:t>
            </w:r>
          </w:p>
        </w:tc>
        <w:tc>
          <w:tcPr>
            <w:tcW w:w="83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1加油站的汽油罐和柴油罐应埋地设置，严禁设在室内或地下室内。</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2021第6.1.1条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汽油罐和柴油罐埋地设置，未设在室内或地下室内。</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2汽车加油站的储油罐应采用卧式油罐。</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2021第6.1.2条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油罐为卧式油罐。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第6.1.3条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加油站采用了卧式SF双层油罐。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1.4油罐应采用钢制人孔盖。</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油罐采用钢制人孔盖。</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油罐设在非车行道下面时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罐顶的覆土厚度不应小于0.5m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设在车行道下面时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罐顶低于路面不宜小于0.9m。钢制油罐的周围应回填中性沙或细土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其厚度不应小于0.3m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外层为玻璃纤维增强塑料材料的油罐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其回填料应符合产品说明书的要求。</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第6.1.1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罐顶的覆土厚度不小于0.5m。</w:t>
            </w:r>
          </w:p>
        </w:tc>
        <w:tc>
          <w:tcPr>
            <w:tcW w:w="833"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1.6当埋地油罐受地下水或雨水作用有上浮的可能时，应采取防止油罐上浮的措施。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第6.1.13条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加油站已采取防止油罐上浮的措施。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1.7埋地油罐的人孔应设操作井，设在行车道下面的人孔井应采用加油站车行道下专用的密闭井盖和井座。</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油罐的人孔设置有操作井。</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1.8油罐卸油应采取防满溢措施。油料达到油罐容量90%时，应能触动高液位报警装置；油料达到油罐容量95%时，应能自动停止油料继续进罐。高液位报警装置应位于工作人员便于觉察的地点。</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加油站油罐已安装液位检测报警仪。</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1.9设有油气回收系统的加油站，站内油罐应设带有高液位报警功能的液位监测系统。双层油罐的液位监测系统尚应具备渗漏检测功能，其渗漏检测分辨率不宜大于0.8L/h。</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第6.1.16条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加油站设有油气回收系统，油罐为SF双层罐，已安装液位检测报警仪和防渗漏检测报警装置。</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2.1加油机不得设置在室内。</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加油机设置在室外罩棚下。</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2.2加油枪应采用自封式加油枪，汽油加油枪的流量不应大于50L/min。</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第6.2.2条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加油枪采用自封式加油枪，汽油加油枪的流量不大于50L/min。</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2.3加油软管上宜设安全拉断阀。</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第6.2.3条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加油软管上设置安全拉断阀。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2.4以正压（潜油泵）供油的加油机，其底部的供油管道上应设置剪切阀，当加油机被撞或者起火时，剪切阀应能自动关闭。</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第6.2.4条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加油站采用潜油泵供油方式的加油机，其底部的供油管道上设置有剪切阀。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2.5采用一机多油品的加油机时，加油机上的放枪位应有各油品的文字标识，加油枪应有颜色标识。</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加油枪上有颜色标识。</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3.工艺管道系统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汽油和柴油油罐车卸油必须采用密闭卸油方式。汽油油罐车应具有卸油油气回收系统。</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第6.3.1条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采用密闭卸油方式，汽油油罐车有卸油油气回收系统。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每个油罐应各自设置卸油管道和卸油口。各卸油口及油气回收接口应有明显的标志。</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每个油罐有相应的卸油口和卸油管道，各个卸油口有明显的标志。</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3.3卸油口应装设快速接头及密封盖</w:t>
            </w:r>
            <w:r>
              <w:rPr>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卸油口设置有快速接头和密封盖。</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3.4加油站卸油油气回收系统的设计应符合下列规定：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1.汽油罐车向站内油罐卸油应采用平衡式密闭油气回收系统；</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2.各汽油罐可共用一根卸油油气回收主管的公称直径不宜小于100mm；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3.卸油油气回收管道的接口宜采用自闭式快速接头和盖帽，采用非自闭式快速接头时，应在靠近快速接头的连接管道上装设阀门和盖帽。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汽油罐车向站内油罐卸油采用平衡式密闭油气回收系统；卸油油气回收主管的公称直径不小于100mm；卸油油气回收管道的接口采用了自闭式快速接头和盖帽。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3.5加油站宜采用油罐装设潜油泵的一泵供多机的加油工艺。</w:t>
            </w:r>
            <w:r>
              <w:rPr>
                <w:color w:val="000000" w:themeColor="text1"/>
                <w14:textFill>
                  <w14:solidFill>
                    <w14:schemeClr w14:val="tx1"/>
                  </w14:solidFill>
                </w14:textFill>
              </w:rPr>
              <w:t>当采用自吸式加油机时、每台加油机应按加油品种单独设置进油管</w:t>
            </w:r>
            <w:r>
              <w:rPr>
                <w:rFonts w:hint="eastAsia"/>
                <w:color w:val="000000" w:themeColor="text1"/>
                <w14:textFill>
                  <w14:solidFill>
                    <w14:schemeClr w14:val="tx1"/>
                  </w14:solidFill>
                </w14:textFill>
              </w:rPr>
              <w:t>和底阀</w:t>
            </w:r>
            <w:r>
              <w:rPr>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加油机采用潜油泵供油。</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3.6加油站应采用加油油气回收系统。</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第6.3.6条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加油站采用加油油气回收系统。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3.7加油油气回收系统应符合下列规定：应采用真空辅助式油气回收系统；汽油加油机与油罐之间应设油气回收管道，多台汽油加油机可共用一根油气回收管道，油气回收主管的公称直径不应小于50mm。</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加油油气回收系统采用真空辅助式油气回收系统；汽油加油机与油罐之间设油气回收管道，多台汽油加油机共用一根油气回收管道，油气回收主管的公称直径不小于50mm。</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3.8汽油罐与柴油罐的通气管应分开设置。通气管口高出地面高度不应小于4m。沿建（构）筑的墙（柱）向上敷设的通气管，管口应高出建筑物顶面2m及以上。通气管口应设置阻火器。</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第6.3.9条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汽油与柴油罐通气管分开设置，高度高出地面4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5m，并安装了阻火器，汽油通气管安装了机械呼吸阀。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3.9通气管的公称直径不应小于50mm。</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第6.3.10条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通气管公称直径为50mm。</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3.10当加油站采用油气回收系统时，汽油罐的通气管管口除应装设阻火器外，尚应装设呼吸阀。</w:t>
            </w:r>
            <w:r>
              <w:rPr>
                <w:color w:val="000000" w:themeColor="text1"/>
                <w14:textFill>
                  <w14:solidFill>
                    <w14:schemeClr w14:val="tx1"/>
                  </w14:solidFill>
                </w14:textFill>
              </w:rPr>
              <w:t>呼吸阀</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正</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宜为2k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～3k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负</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宜为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～2k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汽油罐的通气管管口装设有阻火器和呼吸阀。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3.11加油站工艺管道的选用，应符合下列规定：（1）地面敷设的工艺管道应采用符合现行国家标准《输送流体用无缝钢管》GB/T8163的无缝钢管；（2）其他管道应采用输送流体用无缝钢管或适于输送油品的热塑性塑料管道，所采用的热塑性塑料管道应有质量证明文件，非烃类车用燃料不得采用不导静电的热塑性塑料管道；（3）无缝钢管的公称壁厚不应小于4mm，埋地钢管的连接应采用焊接；（4）热塑性塑料管道的主体结构层应为无孔隙聚乙烯材料，壁厚不应小于4mm，埋地部分的热塑性塑料管道应采用配套的专用连接管件电熔连接。</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加油站工艺管道的选用均符合规范要求。</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3.12油罐车卸油时用的卸油连通软管、油气回收连通软管，应采用导静电耐油软管，其体电阻率应小于108Ω</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m，表面电阻率应小于1010Ω，或采用内附金属丝（网）的橡胶软管。</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油罐车卸油时用的卸油连通软管、油气回收连通软管，均采用导静电耐油软管。</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3.13加油站内的工艺管道除必须露出地面的以外，均应埋地敷设。当采用管沟敷设时，管沟必须用中性沙或细土填满填实。</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加油站内除通气管外的工艺管道均埋地敷设。</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3.14卸油管道、卸油油气回收管道、加油油气回收管道和油罐通气管横管，应坡向埋地油罐。卸油管道的坡度</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，卸油油气回收管道、加油油气回收管道和油罐通气管横管的坡度，</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1%。</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卸油管道、卸油油气回收管道、加油油气回收管道和油罐通气管横管均坡向埋地油罐敷设。</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3.15埋地工艺管道的埋设深度不得小于0.4m。敷设在混凝土场地或道路下面的管道，管顶低于混凝土层下表面不得小于0.2m。管道周围应回填不小于100mm厚的中性沙子或细土。</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埋地工艺管道的埋设深度大于0.4m。敷设在混凝土场地、道路下面的管道，管顶低于混凝土层下表面大于0.2m。管道周围回填100mm厚的细土。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3.16</w:t>
            </w:r>
            <w:r>
              <w:rPr>
                <w:color w:val="000000" w:themeColor="text1"/>
                <w14:textFill>
                  <w14:solidFill>
                    <w14:schemeClr w14:val="tx1"/>
                  </w14:solidFill>
                </w14:textFill>
              </w:rPr>
              <w:t>加油站内的工艺管道应埋地敷设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且不得穿过站房等建、构筑物。当油品管道与管沟、电线沟和排水沟相交叉时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应采取相应的防渗漏措施。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工艺管道未穿过站房等建筑。</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3.17埋地钢质管道外表面的防腐设计，应符合现行国家标准《钢质管道外腐蚀控制规范》GB/T21447的有关规定。</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第6.3.20条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埋地钢质管道外表面的防腐满足规范要求。</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4.1加油站埋地油罐应采用下列之一的防渗方式：（1）采用双层油罐；（2）单层油罐设置防渗罐池。</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第6.5.1条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4.2防渗罐池的设计应符合下列规定：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1防渗罐池应采用防渗钢筋混凝土整体浇筑，并应符合现行国家标准《地下工程防水技术规范》GB 50108的有关规定；2防渗罐池应根据油罐的数量设置隔池，一个隔池内的油罐不应多于两座；3防渗罐池的池壁顶应高于池内罐顶标高，池底宜低于罐底设计标高200mm，墙面与罐壁之间的间距不应小于500mm；4防渗罐池的内表面应衬玻璃钢或其他材料防渗层；5防渗罐池内的空间应采用中性沙回填；6防渗罐池的上部应采取防止雨水，地表水和外部泄漏油品渗入池内的措施。</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w:t>
            </w:r>
            <w:r>
              <w:rPr>
                <w:rFonts w:hint="eastAsia"/>
                <w:color w:val="000000" w:themeColor="text1"/>
                <w14:textFill>
                  <w14:solidFill>
                    <w14:schemeClr w14:val="tx1"/>
                  </w14:solidFill>
                </w14:textFill>
              </w:rPr>
              <w:t>5.2</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加油站采用SF双层油罐，未设置防渗罐池。</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4.3防渗罐池的各隔池内应设检测立管，检测立管的设置应符合下列规定：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1检测立管应采用耐油、耐腐蚀的管材制作，直径宜为100mm，壁厚不应小于4mm；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2检测立管的下端应置于防渗罐池的最低处，除设置在车道下的油罐外，检测立管的上部管口应高出罐区设计地面200mm；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3检测立管与池内罐顶标高以下范围应为过滤管段，过滤管段应能允许池内任何层面的渗漏液体进入检测管，并应能阻止泥沙侵入；</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4检测立管周围应回填粒径为10mm~30mm的砾石；5检测口应有防止雨水、油污、杂物侵入的保护盖和标识。</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w:t>
            </w:r>
            <w:r>
              <w:rPr>
                <w:rFonts w:hint="eastAsia"/>
                <w:color w:val="000000" w:themeColor="text1"/>
                <w14:textFill>
                  <w14:solidFill>
                    <w14:schemeClr w14:val="tx1"/>
                  </w14:solidFill>
                </w14:textFill>
              </w:rPr>
              <w:t>5.3</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加油站采用SF双层油罐，未设置防渗罐池。</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4.4装有潜油泵的油罐人孔操作井、卸油口井、加油机底槽等可能发生油品渗漏的部位，也应采取相应的防渗措施。</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第6.5.4条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油罐人孔操作井、卸油口井、加油机底槽等，采取了相应的防渗措施。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加油工艺及设施</w:t>
      </w:r>
      <w:r>
        <w:rPr>
          <w:color w:val="000000" w:themeColor="text1"/>
          <w14:textFill>
            <w14:solidFill>
              <w14:schemeClr w14:val="tx1"/>
            </w14:solidFill>
          </w14:textFill>
        </w:rPr>
        <w:t>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通过采用安全检查表对加油站工艺及设施进行检查评价，加油站所采用的密闭卸油，潜油泵供油的加油工艺，加油站设置汽油卸油油气回收系统和汽油加油油气回收系统，</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445" w:name="_Toc195176764"/>
      <w:bookmarkStart w:id="446" w:name="_Toc23571"/>
      <w:r>
        <w:rPr>
          <w:rFonts w:hint="eastAsia"/>
          <w:color w:val="000000" w:themeColor="text1"/>
          <w14:textFill>
            <w14:solidFill>
              <w14:schemeClr w14:val="tx1"/>
            </w14:solidFill>
          </w14:textFill>
        </w:rPr>
        <w:t>公用工程分析</w:t>
      </w:r>
      <w:bookmarkEnd w:id="445"/>
      <w:r>
        <w:rPr>
          <w:rFonts w:hint="eastAsia"/>
          <w:color w:val="000000" w:themeColor="text1"/>
          <w14:textFill>
            <w14:solidFill>
              <w14:schemeClr w14:val="tx1"/>
            </w14:solidFill>
          </w14:textFill>
        </w:rPr>
        <w:t>评价</w:t>
      </w:r>
      <w:bookmarkEnd w:id="44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依据《汽车加油加气加氢站技术标准》（GB50156-2021）编制安全检查表对加油站公用工程进行分析评价，检查结果见表6-4。</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公用工程安全检查表</w:t>
      </w:r>
    </w:p>
    <w:tbl>
      <w:tblPr>
        <w:tblStyle w:val="33"/>
        <w:tblW w:w="8608"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453"/>
        <w:gridCol w:w="1374"/>
        <w:gridCol w:w="1963"/>
        <w:gridCol w:w="818"/>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tblHeader/>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检查情况</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  给排水</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1.1加油站的排水应符合下列规定：（1）站内地面雨水可散流排出站外，当雨水由明沟排到站外时，应在围墙内设置水封装置。</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（2）加油站、排出建筑物或围墙的污水，在建筑物墙外或围墙内应分别设水封装置。水封装置的水封高度不应小于</w:t>
            </w:r>
            <w:r>
              <w:rPr>
                <w:color w:val="000000" w:themeColor="text1"/>
                <w14:textFill>
                  <w14:solidFill>
                    <w14:schemeClr w14:val="tx1"/>
                  </w14:solidFill>
                </w14:textFill>
              </w:rPr>
              <w:t>0.25m</w:t>
            </w:r>
            <w:r>
              <w:rPr>
                <w:rFonts w:hint="eastAsia"/>
                <w:color w:val="000000" w:themeColor="text1"/>
                <w14:textFill>
                  <w14:solidFill>
                    <w14:schemeClr w14:val="tx1"/>
                  </w14:solidFill>
                </w14:textFill>
              </w:rPr>
              <w:t>；水封装置应设沉泥段，沉泥段高度不应小于</w:t>
            </w:r>
            <w:r>
              <w:rPr>
                <w:color w:val="000000" w:themeColor="text1"/>
                <w14:textFill>
                  <w14:solidFill>
                    <w14:schemeClr w14:val="tx1"/>
                  </w14:solidFill>
                </w14:textFill>
              </w:rPr>
              <w:t>0.25m</w:t>
            </w:r>
            <w:r>
              <w:rPr>
                <w:rFonts w:hint="eastAsia"/>
                <w:color w:val="000000" w:themeColor="text1"/>
                <w14:textFill>
                  <w14:solidFill>
                    <w14:schemeClr w14:val="tx1"/>
                  </w14:solidFill>
                </w14:textFill>
              </w:rPr>
              <w:t>。</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（3）排出站外的污水应符合国家现行有关污水排放标准的规定。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（4）加油站不应采用暗沟排水。</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第12.3.2条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站区排水采用雨污分流排水方式；室内排水系统采用污废合流排水方式；卫生间污水经化粪池处理后排至站外污水管网；罩棚雨水经管道收集后排至站外雨水管网；</w:t>
            </w:r>
            <w:r>
              <w:rPr>
                <w:rFonts w:hint="eastAsia"/>
                <w:color w:val="000000" w:themeColor="text1"/>
                <w:szCs w:val="28"/>
                <w:lang w:val="zh-CN"/>
                <w14:textFill>
                  <w14:solidFill>
                    <w14:schemeClr w14:val="tx1"/>
                  </w14:solidFill>
                </w14:textFill>
              </w:rPr>
              <w:t>加油区设置了环保水沟。</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  供配电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.1加油站的供电负荷等级可为三级</w:t>
            </w:r>
            <w:r>
              <w:rPr>
                <w:rFonts w:hint="eastAsia"/>
                <w:color w:val="000000" w:themeColor="text1"/>
                <w14:textFill>
                  <w14:solidFill>
                    <w14:schemeClr w14:val="tx1"/>
                  </w14:solidFill>
                </w14:textFill>
              </w:rPr>
              <w:t>，信息系统应设不间断供电电源。</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供电负荷为三级。</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加油站的供电电源，宜采用</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外接电源。</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加油站供电采用</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外接电源接入配电柜。</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加油站罩棚、营业室等处，均应设事故照明。</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第13.1.3条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加油站罩棚、营业室等处均设置了应急照明。</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2.4当引用外电源有困难时，加油站可设置小型内燃发电机组。内燃机的排烟管口，应安装阻火器。排烟管口至各爆炸危险区域边界的水平距离，应符合下列规定：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以下时，不应小于</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及以上时，不应小于</w:t>
            </w:r>
            <w:r>
              <w:rPr>
                <w:color w:val="000000" w:themeColor="text1"/>
                <w14:textFill>
                  <w14:solidFill>
                    <w14:schemeClr w14:val="tx1"/>
                  </w14:solidFill>
                </w14:textFill>
              </w:rPr>
              <w:t>3m</w:t>
            </w:r>
            <w:r>
              <w:rPr>
                <w:rFonts w:hint="eastAsia"/>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第13.1.4条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加油站设置有柴油发电机；发电机排烟管口加装有阻火器；排烟口高出地面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以</w:t>
            </w:r>
            <w:r>
              <w:rPr>
                <w:rFonts w:hint="eastAsia"/>
                <w:color w:val="000000" w:themeColor="text1"/>
                <w:lang w:val="en-US" w:eastAsia="zh-CN"/>
                <w14:textFill>
                  <w14:solidFill>
                    <w14:schemeClr w14:val="tx1"/>
                  </w14:solidFill>
                </w14:textFill>
              </w:rPr>
              <w:t>上</w:t>
            </w:r>
            <w:r>
              <w:rPr>
                <w:rFonts w:hint="eastAsia"/>
                <w:color w:val="000000" w:themeColor="text1"/>
                <w14:textFill>
                  <w14:solidFill>
                    <w14:schemeClr w14:val="tx1"/>
                  </w14:solidFill>
                </w14:textFill>
              </w:rPr>
              <w:t>，排烟管口至各爆炸危险区域边界的水平距离不小于</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5加油站的电力线路宜采用电缆并直埋敷设。电缆穿越行车道部分，应穿钢管保护。</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第13.1.5条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电缆穿越行车道部分，均设置了穿钢管保护。</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6爆炸危险区域内的电气设备选型、安装、电力线路敷设等，应符合现行国家标准《爆炸危险环境电力装置设计规范》GB50058的有关规定。</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第13.1.7条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爆炸危险区域内的加油机等设备均为防爆型。</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7加油站内爆炸危险区域以外的站房、罩棚等建筑物内的照明灯具，可选用非防爆型，但罩棚下的灯具应选用防护等级不低于</w:t>
            </w:r>
            <w:r>
              <w:rPr>
                <w:color w:val="000000" w:themeColor="text1"/>
                <w14:textFill>
                  <w14:solidFill>
                    <w14:schemeClr w14:val="tx1"/>
                  </w14:solidFill>
                </w14:textFill>
              </w:rPr>
              <w:t>IP44</w:t>
            </w:r>
            <w:r>
              <w:rPr>
                <w:rFonts w:hint="eastAsia"/>
                <w:color w:val="000000" w:themeColor="text1"/>
                <w14:textFill>
                  <w14:solidFill>
                    <w14:schemeClr w14:val="tx1"/>
                  </w14:solidFill>
                </w14:textFill>
              </w:rPr>
              <w:t>级的节能型照明灯具。</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第13.1.8条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站房内选用非防爆型照明灯具，罩棚下选用防护型照明灯具。</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  采暖通风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加油站内爆炸危险区域内的房间或箱体应采取通风措施，并应符合下列规定：（1）采用强制通风时，通风设备的通风能力在工艺设备工作期间应按每小时换气12次计算，在工艺设备非工作期间应按每小时换气5次计算。通风设备应防爆，并应与可燃气体浓度报警器联锁。（2）采用自然通风时，通风口总面积不应小于300c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（地面），通风口不应少于2个，且应靠近可燃气体积聚的部位设置。</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第14.1.4条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加油站内房间均处于爆炸危险区域之外。</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  建筑物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4.1 作业区</w:t>
            </w:r>
            <w:r>
              <w:rPr>
                <w:color w:val="000000" w:themeColor="text1"/>
                <w14:textFill>
                  <w14:solidFill>
                    <w14:schemeClr w14:val="tx1"/>
                  </w14:solidFill>
                </w14:textFill>
              </w:rPr>
              <w:t>内的站房及其它附属建筑物的耐火等级不应低于二级。罩棚顶棚</w:t>
            </w:r>
            <w:r>
              <w:rPr>
                <w:rFonts w:hint="eastAsia"/>
                <w:color w:val="000000" w:themeColor="text1"/>
                <w14:textFill>
                  <w14:solidFill>
                    <w14:schemeClr w14:val="tx1"/>
                  </w14:solidFill>
                </w14:textFill>
              </w:rPr>
              <w:t>可采用无防火保护的钢结构</w:t>
            </w:r>
            <w:r>
              <w:rPr>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r>
              <w:rPr>
                <w:color w:val="000000" w:themeColor="text1"/>
                <w14:textFill>
                  <w14:solidFill>
                    <w14:schemeClr w14:val="tx1"/>
                  </w14:solidFill>
                </w14:textFill>
              </w:rPr>
              <w:t>的耐火等级</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二级</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4.2汽车加油场地宜设罩棚，罩棚的设计应符合下列规定：（1）罩棚应采用不燃烧材料建造；（2）进站口无限高措施时，罩棚的净空高度不应小于</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；进站口有限高措施时，罩棚的净空高度不应小于限高高度。（3）罩棚遮盖加油机平面投影距离不宜小于2</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4）罩棚设计应计算活荷载、雪荷载、风荷载，其设计标准值应符合现行国家标准《建筑结构荷载规范》GB50009的有关规定。（5）罩棚的抗震设计应按现行国家标准《建筑抗震设计规范》GB50011的有关规定执行。（6）罩棚柱应有防止车辆碰撞的技术措施。</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加油站罩棚为钢架结构。</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4.3加油岛的设计应符合下列规定：（1）加油岛应高出停车位的地坪0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0.2m</w:t>
            </w:r>
            <w:r>
              <w:rPr>
                <w:rFonts w:hint="eastAsia"/>
                <w:color w:val="000000" w:themeColor="text1"/>
                <w14:textFill>
                  <w14:solidFill>
                    <w14:schemeClr w14:val="tx1"/>
                  </w14:solidFill>
                </w14:textFill>
              </w:rPr>
              <w:t>。（2）加油岛两端的宽度不应小于</w:t>
            </w:r>
            <w:r>
              <w:rPr>
                <w:color w:val="000000" w:themeColor="text1"/>
                <w14:textFill>
                  <w14:solidFill>
                    <w14:schemeClr w14:val="tx1"/>
                  </w14:solidFill>
                </w14:textFill>
              </w:rPr>
              <w:t>1.2m</w:t>
            </w:r>
            <w:r>
              <w:rPr>
                <w:rFonts w:hint="eastAsia"/>
                <w:color w:val="000000" w:themeColor="text1"/>
                <w14:textFill>
                  <w14:solidFill>
                    <w14:schemeClr w14:val="tx1"/>
                  </w14:solidFill>
                </w14:textFill>
              </w:rPr>
              <w:t>。（3）加油岛上的罩棚立柱边缘距岛端部，不应小于</w:t>
            </w:r>
            <w:r>
              <w:rPr>
                <w:color w:val="000000" w:themeColor="text1"/>
                <w14:textFill>
                  <w14:solidFill>
                    <w14:schemeClr w14:val="tx1"/>
                  </w14:solidFill>
                </w14:textFill>
              </w:rPr>
              <w:t>0.6m</w:t>
            </w:r>
            <w:r>
              <w:rPr>
                <w:rFonts w:hint="eastAsia"/>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第14.2.3条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加油岛高0.2m，宽1.3m，加油岛上的罩棚立柱边缘距岛端部</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4.4站房可由办公室、值班室、营业室、控制室、变配电间、卫生间和便利店等组成，站房内可设非明火餐厨设备。</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第14.2.9条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站房由办公室、</w:t>
            </w:r>
            <w:r>
              <w:rPr>
                <w:rFonts w:hint="eastAsia"/>
                <w:color w:val="000000" w:themeColor="text1"/>
                <w:lang w:val="en-US" w:eastAsia="zh-CN"/>
                <w14:textFill>
                  <w14:solidFill>
                    <w14:schemeClr w14:val="tx1"/>
                  </w14:solidFill>
                </w14:textFill>
              </w:rPr>
              <w:t>值班室</w:t>
            </w:r>
            <w:r>
              <w:rPr>
                <w:rFonts w:hint="eastAsia"/>
                <w:color w:val="000000" w:themeColor="text1"/>
                <w14:textFill>
                  <w14:solidFill>
                    <w14:schemeClr w14:val="tx1"/>
                  </w14:solidFill>
                </w14:textFill>
              </w:rPr>
              <w:t>等构成。</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4.5加油站内不应建地下和半地下室。</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第14.2.15条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加油站内无地下室和半地下室。</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  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5.1加油站作业区内不得种植油性植物。</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第14.3.1条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站内未种植油性植物。</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该加油站的公用工程</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447" w:name="_Toc219"/>
      <w:bookmarkStart w:id="448" w:name="_Toc195176765"/>
      <w:r>
        <w:rPr>
          <w:rFonts w:hint="eastAsia"/>
          <w:color w:val="000000" w:themeColor="text1"/>
          <w14:textFill>
            <w14:solidFill>
              <w14:schemeClr w14:val="tx1"/>
            </w14:solidFill>
          </w14:textFill>
        </w:rPr>
        <w:t>安全设施分析评价</w:t>
      </w:r>
      <w:bookmarkEnd w:id="44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依据《汽车加油加气加氢站技术标准》（GB50156-2021）等规范编制安全检查表对加油站安全设施进行分析评价，检查结果见表6-5。</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表6-5  安全设施安全检查表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1543"/>
        <w:gridCol w:w="2118"/>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44"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543"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118"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c>
          <w:tcPr>
            <w:tcW w:w="766"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灭火器材配置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.1加油站的灭火器材配置应符合下列规定：（1）每2台加油机应配置不少于2具5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手提式干粉灭火器，或1具5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手提式干粉灭火器和1具6L泡沫灭火器。加油机不足2台应按2台配置。（3）地下储罐应配置1台不小于35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推车式干粉灭火器。当两种介质储罐之间的距离超过15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时，应分别配置。（4）三级加油站应配置灭火毯</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块、沙子2</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。加油站应按同级别的加油站配置灭火毯和沙子。</w:t>
            </w:r>
          </w:p>
        </w:tc>
        <w:tc>
          <w:tcPr>
            <w:tcW w:w="1543"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第12.1.1条</w:t>
            </w:r>
          </w:p>
        </w:tc>
        <w:tc>
          <w:tcPr>
            <w:tcW w:w="2118"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加油站设置了</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台加油机，加油站按要求配置了消防器材。</w:t>
            </w:r>
          </w:p>
        </w:tc>
        <w:tc>
          <w:tcPr>
            <w:tcW w:w="766"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1.2其余建筑的灭火器配置，应符合现行国家标准《建筑灭火器配置设计规范》GB 50140的有关规定。</w:t>
            </w:r>
          </w:p>
        </w:tc>
        <w:tc>
          <w:tcPr>
            <w:tcW w:w="1543"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第12.1.2条</w:t>
            </w:r>
          </w:p>
        </w:tc>
        <w:tc>
          <w:tcPr>
            <w:tcW w:w="2118"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站房、辅房内均配置有灭火器材。</w:t>
            </w:r>
          </w:p>
        </w:tc>
        <w:tc>
          <w:tcPr>
            <w:tcW w:w="766"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防雷防静电设施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2.1加油站的防雷接地、防静电接地、电气设备的工作接地、保护接地及信息系统的接地等宜共用接地装置，接地电阻不应大于4Ω。</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第13.2.2条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加油站防雷防静电设施满足要求。</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2.2当加油站内的站房和罩棚等建筑物需要防直击雷时，应采用避雷带（网）保护。当罩棚采用金属屋面时，宜利用屋面作为接闪器。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第13.2.6条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罩棚利用钢屋面，由柱筋接地。站房利用屋面接闪带作为防直击雷措施。</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3加油站的信息系统应采用铠装电缆或导线穿钢管配线。配线电缆金属外皮两端、保护钢管两端均应接地。</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第13.2.7条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w:t>
            </w:r>
            <w:r>
              <w:rPr>
                <w:color w:val="000000" w:themeColor="text1"/>
                <w14:textFill>
                  <w14:solidFill>
                    <w14:schemeClr w14:val="tx1"/>
                  </w14:solidFill>
                </w14:textFill>
              </w:rPr>
              <w:t>信息系统</w:t>
            </w:r>
            <w:r>
              <w:rPr>
                <w:rFonts w:hint="eastAsia"/>
                <w:color w:val="000000" w:themeColor="text1"/>
                <w14:textFill>
                  <w14:solidFill>
                    <w14:schemeClr w14:val="tx1"/>
                  </w14:solidFill>
                </w14:textFill>
              </w:rPr>
              <w:t>采用穿钢管配线，保护钢管两端已接地。</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4加油站信息系统的配电线路首、末端与电子器件连接时，应装设与电子器件耐压水平相适应的过电压（电涌）保护器。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第13.2.8条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加油站信息系统按照规范设置有保护器。</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供配电系统宜采用</w:t>
            </w:r>
            <w:r>
              <w:rPr>
                <w:color w:val="000000" w:themeColor="text1"/>
                <w14:textFill>
                  <w14:solidFill>
                    <w14:schemeClr w14:val="tx1"/>
                  </w14:solidFill>
                </w14:textFill>
              </w:rPr>
              <w:t>TN-S</w:t>
            </w:r>
            <w:r>
              <w:rPr>
                <w:rFonts w:hint="eastAsia"/>
                <w:color w:val="000000" w:themeColor="text1"/>
                <w14:textFill>
                  <w14:solidFill>
                    <w14:schemeClr w14:val="tx1"/>
                  </w14:solidFill>
                </w14:textFill>
              </w:rPr>
              <w:t>系统，供电系统的电缆金属外皮或电缆金属保护管两端均应接地，在供配电系统的电源端应安装与设备耐压水平相适应的过电压（电涌）保护器。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第13.2.9条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供配电系统的电源安装了电涌保护器。</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2.6加油站的汽油罐车卸车场地，应设卸车时用的防静电接地装置，并应设置能检测跨接线及监视接地装置状态的静电接地仪。</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第13.2.11条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卸油区已安装静电接地报警仪。</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2.7在爆炸危险区域内工艺管道上的法兰、胶管两端等连接处，应用金属线跨接。当法兰的连接螺栓不少于</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根时，在非腐蚀环境下可不跨接。</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第13.2.12条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油品管道的法兰两端采用铜片跨接。</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2.8防静电接地装置的接地电阻不应大于100Ω。</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第13.2.15条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防静电接地装置电阻满足要求。</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  安全标志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作业区按GB/T 2893.5GB 2894、GB13495.1、</w:t>
            </w:r>
            <w:r>
              <w:rPr>
                <w:color w:val="000000" w:themeColor="text1"/>
                <w14:textFill>
                  <w14:solidFill>
                    <w14:schemeClr w14:val="tx1"/>
                  </w14:solidFill>
                </w14:textFill>
              </w:rPr>
              <w:t>GB15630</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规定设置安全标志</w:t>
            </w:r>
            <w:r>
              <w:rPr>
                <w:rFonts w:hint="eastAsia"/>
                <w:color w:val="000000" w:themeColor="text1"/>
                <w14:textFill>
                  <w14:solidFill>
                    <w14:schemeClr w14:val="tx1"/>
                  </w14:solidFill>
                </w14:textFill>
              </w:rPr>
              <w:t>和安全色</w:t>
            </w:r>
            <w:r>
              <w:rPr>
                <w:color w:val="000000" w:themeColor="text1"/>
                <w14:textFill>
                  <w14:solidFill>
                    <w14:schemeClr w14:val="tx1"/>
                  </w14:solidFill>
                </w14:textFill>
              </w:rPr>
              <w:t>。</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AQ 3010-2022第4.4条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作业区按规范设置安全警示标志。</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4  </w:t>
            </w:r>
            <w:r>
              <w:rPr>
                <w:rFonts w:hint="eastAsia"/>
                <w:color w:val="000000" w:themeColor="text1"/>
                <w14:textFill>
                  <w14:solidFill>
                    <w14:schemeClr w14:val="tx1"/>
                  </w14:solidFill>
                </w14:textFill>
              </w:rPr>
              <w:t>紧急切断系统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加油站应设置紧急切断系统，该系统能在事故状态迅速切断加油泵。</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GB50156-2021第13.5.1条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已在</w:t>
            </w:r>
            <w:r>
              <w:rPr>
                <w:rFonts w:hint="eastAsia"/>
                <w:color w:val="000000" w:themeColor="text1"/>
                <w:lang w:val="en-US" w:eastAsia="zh-CN"/>
                <w14:textFill>
                  <w14:solidFill>
                    <w14:schemeClr w14:val="tx1"/>
                  </w14:solidFill>
                </w14:textFill>
              </w:rPr>
              <w:t>办公</w:t>
            </w:r>
            <w:r>
              <w:rPr>
                <w:rFonts w:hint="eastAsia"/>
                <w:color w:val="000000" w:themeColor="text1"/>
                <w14:textFill>
                  <w14:solidFill>
                    <w14:schemeClr w14:val="tx1"/>
                  </w14:solidFill>
                </w14:textFill>
              </w:rPr>
              <w:t>室设置急停开关。</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通过对加油站配置的防火、防爆、防触电、防雷防静电、防车辆伤害、安全警示标志等安全设施进行检查，该加油站安全设施的设置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《汽车加油加气加氢站技术标准》（GB50156-2021）等相关规范的要求。</w:t>
      </w:r>
    </w:p>
    <w:p>
      <w:pPr>
        <w:pStyle w:val="3"/>
        <w:rPr>
          <w:color w:val="000000" w:themeColor="text1"/>
          <w14:textFill>
            <w14:solidFill>
              <w14:schemeClr w14:val="tx1"/>
            </w14:solidFill>
          </w14:textFill>
        </w:rPr>
      </w:pPr>
      <w:bookmarkStart w:id="449" w:name="_Toc108"/>
      <w:r>
        <w:rPr>
          <w:rFonts w:hint="eastAsia"/>
          <w:color w:val="000000" w:themeColor="text1"/>
          <w14:textFill>
            <w14:solidFill>
              <w14:schemeClr w14:val="tx1"/>
            </w14:solidFill>
          </w14:textFill>
        </w:rPr>
        <w:t>安全管理分析</w:t>
      </w:r>
      <w:bookmarkEnd w:id="448"/>
      <w:r>
        <w:rPr>
          <w:rFonts w:hint="eastAsia"/>
          <w:color w:val="000000" w:themeColor="text1"/>
          <w14:textFill>
            <w14:solidFill>
              <w14:schemeClr w14:val="tx1"/>
            </w14:solidFill>
          </w14:textFill>
        </w:rPr>
        <w:t>评价</w:t>
      </w:r>
      <w:bookmarkEnd w:id="449"/>
    </w:p>
    <w:p>
      <w:pPr>
        <w:rPr>
          <w:color w:val="000000" w:themeColor="text1"/>
          <w14:textFill>
            <w14:solidFill>
              <w14:schemeClr w14:val="tx1"/>
            </w14:solidFill>
          </w14:textFill>
        </w:rPr>
      </w:pPr>
      <w:bookmarkStart w:id="450" w:name="_Toc195176766"/>
      <w:r>
        <w:rPr>
          <w:rFonts w:hint="eastAsia"/>
          <w:color w:val="000000" w:themeColor="text1"/>
          <w14:textFill>
            <w14:solidFill>
              <w14:schemeClr w14:val="tx1"/>
            </w14:solidFill>
          </w14:textFill>
        </w:rPr>
        <w:t>为了全面了解加油站安全管理水平，按照国家相关法律法规及标准规范中的相关内容，对加油站管理进行综合安全检查，内容包括安全管理制度、安全管理组织、从业人员、安全投入、劳动防护用品配备、事故及应急管理等内容，具体检查结果见表6-6。</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表6-6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安全管理安全检查表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114"/>
        <w:gridCol w:w="1954"/>
        <w:gridCol w:w="1673"/>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79" w:type="dxa"/>
            <w:gridSpan w:val="2"/>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检查内容</w:t>
            </w:r>
          </w:p>
        </w:tc>
        <w:tc>
          <w:tcPr>
            <w:tcW w:w="1954"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检查依据</w:t>
            </w:r>
          </w:p>
        </w:tc>
        <w:tc>
          <w:tcPr>
            <w:tcW w:w="1673"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检查情况说明</w:t>
            </w:r>
          </w:p>
        </w:tc>
        <w:tc>
          <w:tcPr>
            <w:tcW w:w="865"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安全管理制度</w:t>
            </w:r>
          </w:p>
        </w:tc>
        <w:tc>
          <w:tcPr>
            <w:tcW w:w="4114" w:type="dxa"/>
            <w:vAlign w:val="center"/>
          </w:tcPr>
          <w:p>
            <w:pPr>
              <w:pStyle w:val="77"/>
              <w:jc w:val="both"/>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1.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《中华人民共和国安全生产法》第四条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加油站建立了</w:t>
            </w:r>
            <w:r>
              <w:rPr>
                <w:rFonts w:hint="eastAsia"/>
                <w:color w:val="000000" w:themeColor="text1"/>
                <w:lang w:val="zh-CN"/>
                <w14:textFill>
                  <w14:solidFill>
                    <w14:schemeClr w14:val="tx1"/>
                  </w14:solidFill>
                </w14:textFill>
              </w:rPr>
              <w:t>安全生产责任制和安全生产规章制度，</w:t>
            </w:r>
            <w:r>
              <w:rPr>
                <w:rFonts w:hint="eastAsia"/>
                <w:color w:val="000000" w:themeColor="text1"/>
                <w:lang w:val="en-US" w:eastAsia="zh-CN"/>
                <w14:textFill>
                  <w14:solidFill>
                    <w14:schemeClr w14:val="tx1"/>
                  </w14:solidFill>
                </w14:textFill>
              </w:rPr>
              <w:t>开展</w:t>
            </w:r>
            <w:r>
              <w:rPr>
                <w:rFonts w:hint="eastAsia"/>
                <w:color w:val="000000" w:themeColor="text1"/>
                <w:lang w:val="zh-CN"/>
                <w14:textFill>
                  <w14:solidFill>
                    <w14:schemeClr w14:val="tx1"/>
                  </w14:solidFill>
                </w14:textFill>
              </w:rPr>
              <w:t>安全生产标准化、信息化建设，构建安全风险分级管控和隐患排查治理双重预防机制。</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zh-CN" w:eastAsia="zh-CN"/>
                <w14:textFill>
                  <w14:solidFill>
                    <w14:schemeClr w14:val="tx1"/>
                  </w14:solidFill>
                </w14:textFill>
              </w:rPr>
              <w:t>生产经营单位应当建立健全下列制度：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（一）安全生产责任制度；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（二）安全生产例会制度；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（三）安全生产奖惩制度；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（四）安全生产教育培训制度；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（五）安全生产检查制度；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（六）生产经营场所、设备、设施安全管理制度；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（七）安全生产风险分级管理控制制度；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（八）危险源管理制度；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（九）安全生产应急管理和事故报告处理制度；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（十）危险作业、特种作业人员、劳动防护用品管理制度；</w:t>
            </w:r>
          </w:p>
          <w:p>
            <w:pPr>
              <w:pStyle w:val="77"/>
              <w:jc w:val="both"/>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（十一）法律法规规定的其他安全生产制度。</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第十八条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加油站建立了安全生产责任制、安全教育培训制度、安全检查制度、劳动防护用品管理制度等</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安全管理组织</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1.矿山、金属冶炼、建筑施工、运输单位和危险物品的生产、经营、储存、装卸单位，应当设置安全生产管理机构或者配备专职安全生产管理人员。</w:t>
            </w:r>
          </w:p>
          <w:p>
            <w:pPr>
              <w:pStyle w:val="77"/>
              <w:jc w:val="both"/>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二十四</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加油站成立了</w:t>
            </w:r>
            <w:r>
              <w:rPr>
                <w:rFonts w:hint="eastAsia"/>
                <w:color w:val="000000" w:themeColor="text1"/>
                <w:lang w:eastAsia="zh-CN"/>
                <w14:textFill>
                  <w14:solidFill>
                    <w14:schemeClr w14:val="tx1"/>
                  </w14:solidFill>
                </w14:textFill>
              </w:rPr>
              <w:t>安全领导小组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任命了</w:t>
            </w:r>
            <w:r>
              <w:rPr>
                <w:rFonts w:hint="eastAsia"/>
                <w:color w:val="000000" w:themeColor="text1"/>
                <w:lang w:val="en-US" w:eastAsia="zh-CN"/>
                <w14:textFill>
                  <w14:solidFill>
                    <w14:schemeClr w14:val="tx1"/>
                  </w14:solidFill>
                </w14:textFill>
              </w:rPr>
              <w:t>专职</w:t>
            </w:r>
            <w:r>
              <w:rPr>
                <w:color w:val="000000" w:themeColor="text1"/>
                <w:lang w:val="zh-CN"/>
                <w14:textFill>
                  <w14:solidFill>
                    <w14:schemeClr w14:val="tx1"/>
                  </w14:solidFill>
                </w14:textFill>
              </w:rPr>
              <w:t>安全员</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zh-CN" w:eastAsia="zh-CN"/>
                <w14:textFill>
                  <w14:solidFill>
                    <w14:schemeClr w14:val="tx1"/>
                  </w14:solidFill>
                </w14:textFill>
              </w:rPr>
              <w:t>矿山、金属冶炼、建筑施工、道路运输单位和危险物品的生产、经营、储存、废弃处置单位，应当设置专门的安全生产管理机构或者配备相应的专职安全生产管理人员。</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前款规定以外的其他生产经营单位，从业人员超过100人的，应当设置安全生产管理机构，专职安全生产管理人员不得少于2人；从业人员在100人以下的，应当配备专职或者兼职安全生产管理人员，或者委托依法设立的机构提供安全生产管理服务。</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生产经营单位的分支机构或者所属单位，应当按照本条规定设置、配备安全生产管理机构和人员。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第十五条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color w:val="000000" w:themeColor="text1"/>
                <w:lang w:val="zh-CN"/>
                <w14:textFill>
                  <w14:solidFill>
                    <w14:schemeClr w14:val="tx1"/>
                  </w14:solidFill>
                </w14:textFill>
              </w:rPr>
              <w:t>成立</w:t>
            </w:r>
            <w:r>
              <w:rPr>
                <w:rFonts w:hint="eastAsia"/>
                <w:color w:val="000000" w:themeColor="text1"/>
                <w:lang w:val="zh-CN"/>
                <w14:textFill>
                  <w14:solidFill>
                    <w14:schemeClr w14:val="tx1"/>
                  </w14:solidFill>
                </w14:textFill>
              </w:rPr>
              <w:t>安全领导小组，</w:t>
            </w:r>
            <w:r>
              <w:rPr>
                <w:color w:val="000000" w:themeColor="text1"/>
                <w:lang w:val="zh-CN"/>
                <w14:textFill>
                  <w14:solidFill>
                    <w14:schemeClr w14:val="tx1"/>
                  </w14:solidFill>
                </w14:textFill>
              </w:rPr>
              <w:t>并任命了</w:t>
            </w:r>
            <w:r>
              <w:rPr>
                <w:rFonts w:hint="eastAsia"/>
                <w:color w:val="000000" w:themeColor="text1"/>
                <w:lang w:val="en-US" w:eastAsia="zh-CN"/>
                <w14:textFill>
                  <w14:solidFill>
                    <w14:schemeClr w14:val="tx1"/>
                  </w14:solidFill>
                </w14:textFill>
              </w:rPr>
              <w:t>专职</w:t>
            </w:r>
            <w:r>
              <w:rPr>
                <w:color w:val="000000" w:themeColor="text1"/>
                <w:lang w:val="zh-CN"/>
                <w14:textFill>
                  <w14:solidFill>
                    <w14:schemeClr w14:val="tx1"/>
                  </w14:solidFill>
                </w14:textFill>
              </w:rPr>
              <w:t>安全员</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p>
            <w:pPr>
              <w:pStyle w:val="77"/>
              <w:rPr>
                <w:color w:val="000000" w:themeColor="text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从业人员</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1.生产经营单位的主要负责人和安全生产管理人员必须具备与本单位所从事的生产经营活动相应的安全生产知识和管理能力。</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《中华人民共和国安全生产法》第二十</w:t>
            </w:r>
            <w:r>
              <w:rPr>
                <w:rFonts w:hint="eastAsia"/>
                <w:color w:val="000000" w:themeColor="text1"/>
                <w:lang w:val="zh-CN"/>
                <w14:textFill>
                  <w14:solidFill>
                    <w14:schemeClr w14:val="tx1"/>
                  </w14:solidFill>
                </w14:textFill>
              </w:rPr>
              <w:t>七</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主要负责人和安全生产管理人员</w:t>
            </w:r>
            <w:r>
              <w:rPr>
                <w:rFonts w:hint="eastAsia"/>
                <w:color w:val="000000" w:themeColor="text1"/>
                <w14:textFill>
                  <w14:solidFill>
                    <w14:schemeClr w14:val="tx1"/>
                  </w14:solidFill>
                </w14:textFill>
              </w:rPr>
              <w:t>持证上岗。</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《中华人民共和国安全生产法》第二十</w:t>
            </w:r>
            <w:r>
              <w:rPr>
                <w:rFonts w:hint="eastAsia"/>
                <w:color w:val="000000" w:themeColor="text1"/>
                <w:lang w:val="zh-CN"/>
                <w14:textFill>
                  <w14:solidFill>
                    <w14:schemeClr w14:val="tx1"/>
                  </w14:solidFill>
                </w14:textFill>
              </w:rPr>
              <w:t>八</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加油站对从业人员进行</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安全教育培训，经培训合格后上岗。</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生产经营单位的特种作业人员必须按照国家有关规定经专门的安全作业培训，取得相应资格，方可上岗作业。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三十条</w:t>
            </w:r>
          </w:p>
        </w:tc>
        <w:tc>
          <w:tcPr>
            <w:tcW w:w="167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加油站无</w:t>
            </w:r>
            <w:r>
              <w:rPr>
                <w:rFonts w:hint="eastAsia"/>
                <w:color w:val="000000" w:themeColor="text1"/>
                <w:lang w:val="zh-CN"/>
                <w14:textFill>
                  <w14:solidFill>
                    <w14:schemeClr w14:val="tx1"/>
                  </w14:solidFill>
                </w14:textFill>
              </w:rPr>
              <w:t>特种作业人员。</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安全检查</w:t>
            </w: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生产经营单位必须对安全设备进行经常性维护、保养，并定期检测，保证正常运转。维护、保养、检测应当作好记录，并由有关人员签字。</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三十六</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加油站对安全设备进行</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经常性维护、保养，并定期检测。</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2.</w:t>
            </w:r>
            <w:r>
              <w:rPr>
                <w:rFonts w:hint="default"/>
                <w:color w:val="000000" w:themeColor="text1"/>
                <w:lang w:val="zh-CN" w:eastAsia="zh-CN"/>
                <w14:textFill>
                  <w14:solidFill>
                    <w14:schemeClr w14:val="tx1"/>
                  </w14:solidFill>
                </w14:textFill>
              </w:rPr>
              <w:t>第十九条生产经营单位应当制定符合有关法律法规规定的安全生产自检自查标准，建立事故隐患排查治理长效机制。</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生产经营单位应当实行事故隐患清单管理，及时消除事故隐患；不能及时消除的，应当采取安全防范措施，制定治理方案，落实整改措施、责任、资金、时限和应急预案。</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生产经营单位可以委托具备相应能力的技术服务机构进行安全风险分析和事故隐患排查。</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生产经营单位应当如实记录事故隐患排查治理情况，按照规定向有关部门报告，并向从业人员通报</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《云南省安全生产条例》第十</w:t>
            </w:r>
            <w:r>
              <w:rPr>
                <w:rFonts w:hint="eastAsia"/>
                <w:color w:val="000000" w:themeColor="text1"/>
                <w:lang w:val="en-US" w:eastAsia="zh-CN"/>
                <w14:textFill>
                  <w14:solidFill>
                    <w14:schemeClr w14:val="tx1"/>
                  </w14:solidFill>
                </w14:textFill>
              </w:rPr>
              <w:t>九</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安全管理人员对加油站进行</w:t>
            </w:r>
            <w:r>
              <w:rPr>
                <w:rFonts w:hint="eastAsia"/>
                <w:color w:val="000000" w:themeColor="text1"/>
                <w14:textFill>
                  <w14:solidFill>
                    <w14:schemeClr w14:val="tx1"/>
                  </w14:solidFill>
                </w14:textFill>
              </w:rPr>
              <w:t>了</w:t>
            </w:r>
            <w:r>
              <w:rPr>
                <w:color w:val="000000" w:themeColor="text1"/>
                <w:lang w:val="zh-CN"/>
                <w14:textFill>
                  <w14:solidFill>
                    <w14:schemeClr w14:val="tx1"/>
                  </w14:solidFill>
                </w14:textFill>
              </w:rPr>
              <w:t>定期检查</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安全投入</w:t>
            </w:r>
          </w:p>
        </w:tc>
        <w:tc>
          <w:tcPr>
            <w:tcW w:w="4114" w:type="dxa"/>
            <w:vAlign w:val="center"/>
          </w:tcPr>
          <w:p>
            <w:pPr>
              <w:pStyle w:val="77"/>
              <w:jc w:val="both"/>
              <w:rPr>
                <w:rFonts w:hint="default"/>
                <w:color w:val="000000" w:themeColor="text1"/>
                <w:lang w:val="en-US" w:eastAsia="zh-CN"/>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生产经营单位必须为从业人员提供符合国家标准或者行业标准的劳动防护用品，并监督、教育从业人员按照使用规则佩戴、使用</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四十五</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加油站统一发放</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劳动防护用品。</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lang w:val="zh-CN"/>
                <w14:textFill>
                  <w14:solidFill>
                    <w14:schemeClr w14:val="tx1"/>
                  </w14:solidFill>
                </w14:textFill>
              </w:rPr>
              <w:t>生产经营单位必须依法参加工伤保险，为从业人员缴纳保险费。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 </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第五十一条</w:t>
            </w:r>
          </w:p>
        </w:tc>
        <w:tc>
          <w:tcPr>
            <w:tcW w:w="1673" w:type="dxa"/>
            <w:vAlign w:val="center"/>
          </w:tcPr>
          <w:p>
            <w:pPr>
              <w:pStyle w:val="77"/>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加油站已购买</w:t>
            </w:r>
            <w:r>
              <w:rPr>
                <w:rFonts w:hint="default"/>
                <w:color w:val="000000" w:themeColor="text1"/>
                <w:lang w:val="zh-CN" w:eastAsia="zh-CN"/>
                <w14:textFill>
                  <w14:solidFill>
                    <w14:schemeClr w14:val="tx1"/>
                  </w14:solidFill>
                </w14:textFill>
              </w:rPr>
              <w:t>工伤保险</w:t>
            </w:r>
            <w:r>
              <w:rPr>
                <w:rFonts w:hint="eastAsia"/>
                <w:color w:val="000000" w:themeColor="text1"/>
                <w:lang w:val="en-US" w:eastAsia="zh-CN"/>
                <w14:textFill>
                  <w14:solidFill>
                    <w14:schemeClr w14:val="tx1"/>
                  </w14:solidFill>
                </w14:textFill>
              </w:rPr>
              <w:t>及安全生产责任保险。</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lang w:val="zh-CN"/>
                <w14:textFill>
                  <w14:solidFill>
                    <w14:schemeClr w14:val="tx1"/>
                  </w14:solidFill>
                </w14:textFill>
              </w:rPr>
              <w:t>.</w:t>
            </w:r>
            <w:r>
              <w:rPr>
                <w:rFonts w:hint="default"/>
                <w:color w:val="000000" w:themeColor="text1"/>
                <w:lang w:val="zh-CN" w:eastAsia="zh-CN"/>
                <w14:textFill>
                  <w14:solidFill>
                    <w14:schemeClr w14:val="tx1"/>
                  </w14:solidFill>
                </w14:textFill>
              </w:rPr>
              <w:t>生产经营单位应当依法参加工伤保险，为从业人员按时足额缴纳工伤保险费。</w:t>
            </w:r>
          </w:p>
          <w:p>
            <w:pPr>
              <w:pStyle w:val="77"/>
              <w:jc w:val="both"/>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矿山、危险化学品、烟花爆竹、交通运输、建筑施工、民用爆炸物品、金属冶炼、渔业生产等行业和领域的生产经营单位应当根据国家规定实施安全生产责任保险制度。鼓励其他生产经营单位投保安全生产责任保险。</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第二十四条</w:t>
            </w:r>
          </w:p>
        </w:tc>
        <w:tc>
          <w:tcPr>
            <w:tcW w:w="1673" w:type="dxa"/>
            <w:vAlign w:val="center"/>
          </w:tcPr>
          <w:p>
            <w:pPr>
              <w:pStyle w:val="77"/>
              <w:ind w:firstLine="0" w:firstLineChars="0"/>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加油站已购买</w:t>
            </w:r>
            <w:r>
              <w:rPr>
                <w:rFonts w:hint="default"/>
                <w:color w:val="000000" w:themeColor="text1"/>
                <w:lang w:val="zh-CN" w:eastAsia="zh-CN"/>
                <w14:textFill>
                  <w14:solidFill>
                    <w14:schemeClr w14:val="tx1"/>
                  </w14:solidFill>
                </w14:textFill>
              </w:rPr>
              <w:t>工伤保险</w:t>
            </w:r>
            <w:r>
              <w:rPr>
                <w:rFonts w:hint="eastAsia"/>
                <w:color w:val="000000" w:themeColor="text1"/>
                <w:lang w:val="en-US" w:eastAsia="zh-CN"/>
                <w14:textFill>
                  <w14:solidFill>
                    <w14:schemeClr w14:val="tx1"/>
                  </w14:solidFill>
                </w14:textFill>
              </w:rPr>
              <w:t>及安全生产责任保险。</w:t>
            </w:r>
          </w:p>
        </w:tc>
        <w:tc>
          <w:tcPr>
            <w:tcW w:w="865" w:type="dxa"/>
            <w:vAlign w:val="center"/>
          </w:tcPr>
          <w:p>
            <w:pPr>
              <w:pStyle w:val="77"/>
              <w:ind w:firstLine="0" w:firstLineChars="0"/>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事故及应急管理</w:t>
            </w:r>
          </w:p>
        </w:tc>
        <w:tc>
          <w:tcPr>
            <w:tcW w:w="4114" w:type="dxa"/>
            <w:vAlign w:val="center"/>
          </w:tcPr>
          <w:p>
            <w:pPr>
              <w:pStyle w:val="77"/>
              <w:jc w:val="both"/>
              <w:rPr>
                <w:color w:val="000000" w:themeColor="text1"/>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生产经营单位应当制定本单位生产安全事故应急救援预案，与所在地县级以上地方人民政府组织制定的生产安全事故应急救援预案相衔接，并定期组织演练</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八十一</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color w:val="000000" w:themeColor="text1"/>
                <w:lang w:val="zh-CN"/>
                <w14:textFill>
                  <w14:solidFill>
                    <w14:schemeClr w14:val="tx1"/>
                  </w14:solidFill>
                </w14:textFill>
              </w:rPr>
              <w:t>制定了应急救援预案</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2.危险物品的经营、储存单位应当建立应急救援组织；生产经营规模较小的，可以不建立应急救援组织，但应当指定兼职的应急救援人员。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八十二</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成立了应急救援小组。</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lang w:val="zh-CN"/>
                <w14:textFill>
                  <w14:solidFill>
                    <w14:schemeClr w14:val="tx1"/>
                  </w14:solidFill>
                </w14:textFill>
              </w:rPr>
              <w:t>.</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矿山、金属冶炼、城市轨道交通运营、建筑施工单位和危险物品的生产、经营、运输、储存、使用单位，应当配备必要应急救援器材、设备和物资，进行经常性维护、保养，保证其正常使用；建立专职或者兼职应急救援队伍，规模较小的可以委托具备能力的应急救援机构为其提供服务。</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第四十四条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加油站制定了应急救援预案，配备了应急救援器材和物品并定期开展应急救援演练，成建立了兼职应急救援队伍。</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经营安全</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国家对危险化学品经营（包括仓储经营，下同）实行许可制度。未经许可，任何单位和个人不得经营危险化学品。</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《危险化学品安全管理条例》第</w:t>
            </w:r>
            <w:r>
              <w:rPr>
                <w:rFonts w:hint="eastAsia"/>
                <w:color w:val="000000" w:themeColor="text1"/>
                <w:lang w:val="zh-CN"/>
                <w14:textFill>
                  <w14:solidFill>
                    <w14:schemeClr w14:val="tx1"/>
                  </w14:solidFill>
                </w14:textFill>
              </w:rPr>
              <w:t>三十三</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加油站取得</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危险化学品经营许可证</w:t>
            </w:r>
            <w:r>
              <w:rPr>
                <w:rFonts w:hint="eastAsia"/>
                <w:color w:val="000000" w:themeColor="text1"/>
                <w14:textFill>
                  <w14:solidFill>
                    <w14:schemeClr w14:val="tx1"/>
                  </w14:solidFill>
                </w14:textFill>
              </w:rPr>
              <w:t>且</w:t>
            </w:r>
            <w:r>
              <w:rPr>
                <w:rFonts w:hint="eastAsia"/>
                <w:color w:val="000000" w:themeColor="text1"/>
                <w:lang w:val="zh-CN"/>
                <w14:textFill>
                  <w14:solidFill>
                    <w14:schemeClr w14:val="tx1"/>
                  </w14:solidFill>
                </w14:textFill>
              </w:rPr>
              <w:t>危险化学品经营许可证</w:t>
            </w:r>
            <w:r>
              <w:rPr>
                <w:rFonts w:hint="eastAsia"/>
                <w:color w:val="000000" w:themeColor="text1"/>
                <w14:textFill>
                  <w14:solidFill>
                    <w14:schemeClr w14:val="tx1"/>
                  </w14:solidFill>
                </w14:textFill>
              </w:rPr>
              <w:t>在有效期内</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2.从事危险化学品经营的企业应当具备下列条件：</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（一）有符合国家标准、行业标准的经营场所，储存危险化学品的，还应当有符合国家标准、行业标准的储存设施；</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（二）从业人员经过专业技术培训并经考核合格；</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（三）有健全的安全管理规章制度；</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（四）有专职安全管理人员；</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（五）有符合国家规定的危险化学品事故应急预案和必要的应急救援器材、设备；</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（六）法律、法规规定的其他条件。</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《危险化学品安全管理条例》第</w:t>
            </w:r>
            <w:r>
              <w:rPr>
                <w:rFonts w:hint="eastAsia"/>
                <w:color w:val="000000" w:themeColor="text1"/>
                <w:lang w:val="zh-CN"/>
                <w14:textFill>
                  <w14:solidFill>
                    <w14:schemeClr w14:val="tx1"/>
                  </w14:solidFill>
                </w14:textFill>
              </w:rPr>
              <w:t>三十四</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加油站储存设施符合规范要求；从业人员</w:t>
            </w:r>
            <w:r>
              <w:rPr>
                <w:rFonts w:hint="eastAsia"/>
                <w:color w:val="000000" w:themeColor="text1"/>
                <w14:textFill>
                  <w14:solidFill>
                    <w14:schemeClr w14:val="tx1"/>
                  </w14:solidFill>
                </w14:textFill>
              </w:rPr>
              <w:t>已</w:t>
            </w:r>
            <w:r>
              <w:rPr>
                <w:rFonts w:hint="eastAsia"/>
                <w:color w:val="000000" w:themeColor="text1"/>
                <w:lang w:val="zh-CN"/>
                <w14:textFill>
                  <w14:solidFill>
                    <w14:schemeClr w14:val="tx1"/>
                  </w14:solidFill>
                </w14:textFill>
              </w:rPr>
              <w:t>经过培训合格；</w:t>
            </w: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有安全管理规章制度及安全管理人员；编制了应急预案，</w:t>
            </w:r>
            <w:r>
              <w:rPr>
                <w:rFonts w:hint="eastAsia"/>
                <w:color w:val="000000" w:themeColor="text1"/>
                <w14:textFill>
                  <w14:solidFill>
                    <w14:schemeClr w14:val="tx1"/>
                  </w14:solidFill>
                </w14:textFill>
              </w:rPr>
              <w:t>配备了</w:t>
            </w:r>
            <w:r>
              <w:rPr>
                <w:rFonts w:hint="eastAsia"/>
                <w:color w:val="000000" w:themeColor="text1"/>
                <w:lang w:val="zh-CN"/>
                <w14:textFill>
                  <w14:solidFill>
                    <w14:schemeClr w14:val="tx1"/>
                  </w14:solidFill>
                </w14:textFill>
              </w:rPr>
              <w:t>应急救援器材、设备。</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特殊作业</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作业单位和生产单位应对作业现场和作业过程中可能存在的危险、有害因素进行辨识，制定相应的安全措施。</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 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）4.1条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作业前，应对参加作业的人员进行安全教育，主要内容如下：a）有关作业的安全规章制度；</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b）作业现场和作业过程中</w:t>
            </w:r>
            <w:r>
              <w:rPr>
                <w:color w:val="000000" w:themeColor="text1"/>
                <w:lang w:val="zh-CN"/>
                <w14:textFill>
                  <w14:solidFill>
                    <w14:schemeClr w14:val="tx1"/>
                  </w14:solidFill>
                </w14:textFill>
              </w:rPr>
              <w:t>可能存在的危险</w:t>
            </w:r>
            <w:r>
              <w:rPr>
                <w:rFonts w:hint="eastAsia"/>
                <w:color w:val="000000" w:themeColor="text1"/>
                <w:lang w:val="zh-CN"/>
                <w14:textFill>
                  <w14:solidFill>
                    <w14:schemeClr w14:val="tx1"/>
                  </w14:solidFill>
                </w14:textFill>
              </w:rPr>
              <w:t>、有害</w:t>
            </w:r>
            <w:r>
              <w:rPr>
                <w:color w:val="000000" w:themeColor="text1"/>
                <w:lang w:val="zh-CN"/>
                <w14:textFill>
                  <w14:solidFill>
                    <w14:schemeClr w14:val="tx1"/>
                  </w14:solidFill>
                </w14:textFill>
              </w:rPr>
              <w:t>因素及应采取的</w:t>
            </w:r>
            <w:r>
              <w:rPr>
                <w:rFonts w:hint="eastAsia"/>
                <w:color w:val="000000" w:themeColor="text1"/>
                <w:lang w:val="zh-CN"/>
                <w14:textFill>
                  <w14:solidFill>
                    <w14:schemeClr w14:val="tx1"/>
                  </w14:solidFill>
                </w14:textFill>
              </w:rPr>
              <w:t>具体</w:t>
            </w:r>
            <w:r>
              <w:rPr>
                <w:color w:val="000000" w:themeColor="text1"/>
                <w:lang w:val="zh-CN"/>
                <w14:textFill>
                  <w14:solidFill>
                    <w14:schemeClr w14:val="tx1"/>
                  </w14:solidFill>
                </w14:textFill>
              </w:rPr>
              <w:t>安全措施</w:t>
            </w:r>
            <w:r>
              <w:rPr>
                <w:rFonts w:hint="eastAsia"/>
                <w:color w:val="000000" w:themeColor="text1"/>
                <w:lang w:val="zh-CN"/>
                <w14:textFill>
                  <w14:solidFill>
                    <w14:schemeClr w14:val="tx1"/>
                  </w14:solidFill>
                </w14:textFill>
              </w:rPr>
              <w:t>；c）作业过程中所使用的个体防护器具的使用方法及使用注意事项；d）</w:t>
            </w:r>
            <w:r>
              <w:rPr>
                <w:color w:val="000000" w:themeColor="text1"/>
                <w:lang w:val="zh-CN"/>
                <w14:textFill>
                  <w14:solidFill>
                    <w14:schemeClr w14:val="tx1"/>
                  </w14:solidFill>
                </w14:textFill>
              </w:rPr>
              <w:t>事故的预防、避险、逃生、自救、互救等知识</w:t>
            </w:r>
            <w:r>
              <w:rPr>
                <w:rFonts w:hint="eastAsia"/>
                <w:color w:val="000000" w:themeColor="text1"/>
                <w:lang w:val="zh-CN"/>
                <w14:textFill>
                  <w14:solidFill>
                    <w14:schemeClr w14:val="tx1"/>
                  </w14:solidFill>
                </w14:textFill>
              </w:rPr>
              <w:t>；e）相关事故案例和经验、教训。</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 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）4.2条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已制定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作业前，作业单位应办理作业审批手续，填写安全作业票（证），并由相关责任人签字确认。</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同一作业涉及两种或两种以上特殊作业时，除应同时执行相应的作业要求外，还应同时办理相应作业的审批手续。</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作业时审批手续应齐全、安全措施应全部落实和确认、作业环境应符合安全要求。作业票（证）审批手续的相关内容参见附录 A。</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 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w:t>
            </w:r>
            <w:r>
              <w:rPr>
                <w:color w:val="000000" w:themeColor="text1"/>
                <w:lang w:val="zh-CN"/>
                <w14:textFill>
                  <w14:solidFill>
                    <w14:schemeClr w14:val="tx1"/>
                  </w14:solidFill>
                </w14:textFill>
              </w:rPr>
              <w:t>7</w:t>
            </w:r>
            <w:r>
              <w:rPr>
                <w:rFonts w:hint="eastAsia"/>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已制定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bl>
    <w:p>
      <w:pPr>
        <w:pStyle w:val="45"/>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安全管理检查结果：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该加油站建立相关管理制度及安全操作规程。成立</w:t>
      </w:r>
      <w:r>
        <w:rPr>
          <w:rFonts w:hint="eastAsia"/>
          <w:color w:val="000000" w:themeColor="text1"/>
          <w:lang w:eastAsia="zh-CN"/>
          <w14:textFill>
            <w14:solidFill>
              <w14:schemeClr w14:val="tx1"/>
            </w14:solidFill>
          </w14:textFill>
        </w:rPr>
        <w:t>安全领导小组</w:t>
      </w:r>
      <w:r>
        <w:rPr>
          <w:rFonts w:hint="eastAsia"/>
          <w:color w:val="000000" w:themeColor="text1"/>
          <w14:textFill>
            <w14:solidFill>
              <w14:schemeClr w14:val="tx1"/>
            </w14:solidFill>
          </w14:textFill>
        </w:rPr>
        <w:t>并任命有安全管理员，安全管理组织机构及人员满足加油站的运行要求。加油站成立事故应急救援小组，配备有救援器材，配备的救援器材满足加油站应急救援的需要。</w:t>
      </w:r>
    </w:p>
    <w:p>
      <w:pPr>
        <w:pStyle w:val="3"/>
        <w:rPr>
          <w:color w:val="000000" w:themeColor="text1"/>
          <w14:textFill>
            <w14:solidFill>
              <w14:schemeClr w14:val="tx1"/>
            </w14:solidFill>
          </w14:textFill>
        </w:rPr>
      </w:pPr>
      <w:bookmarkStart w:id="451" w:name="_Toc21870"/>
      <w:bookmarkStart w:id="452" w:name="_Hlk119859094"/>
      <w:bookmarkStart w:id="453" w:name="_Hlk85721837"/>
      <w:r>
        <w:rPr>
          <w:rFonts w:hint="eastAsia"/>
          <w:color w:val="000000" w:themeColor="text1"/>
          <w14:textFill>
            <w14:solidFill>
              <w14:schemeClr w14:val="tx1"/>
            </w14:solidFill>
          </w14:textFill>
        </w:rPr>
        <w:t>重大事故隐患分析评价</w:t>
      </w:r>
      <w:bookmarkEnd w:id="451"/>
    </w:p>
    <w:bookmarkEnd w:id="452"/>
    <w:p>
      <w:pPr>
        <w:rPr>
          <w:color w:val="000000" w:themeColor="text1"/>
          <w14:textFill>
            <w14:solidFill>
              <w14:schemeClr w14:val="tx1"/>
            </w14:solidFill>
          </w14:textFill>
        </w:rPr>
      </w:pPr>
      <w:bookmarkStart w:id="454" w:name="_Hlk85715252"/>
      <w:r>
        <w:rPr>
          <w:rFonts w:hint="eastAsia"/>
          <w:color w:val="000000" w:themeColor="text1"/>
          <w14:textFill>
            <w14:solidFill>
              <w14:schemeClr w14:val="tx1"/>
            </w14:solidFill>
          </w14:textFill>
        </w:rPr>
        <w:t>根据《化工和危险化学品生产经营单位重大生产安全事故隐患判定标准（试行）》的要求，对</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重大生产安全事故隐患进行排查</w:t>
      </w:r>
      <w:bookmarkEnd w:id="454"/>
      <w:r>
        <w:rPr>
          <w:rFonts w:hint="eastAsia"/>
          <w:color w:val="000000" w:themeColor="text1"/>
          <w14:textFill>
            <w14:solidFill>
              <w14:schemeClr w14:val="tx1"/>
            </w14:solidFill>
          </w14:textFill>
        </w:rPr>
        <w:t>，具体见表6-7。</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重大生产安全事故隐患检查表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809"/>
        <w:gridCol w:w="336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80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336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实际情况</w:t>
            </w:r>
          </w:p>
        </w:tc>
        <w:tc>
          <w:tcPr>
            <w:tcW w:w="120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危险化学品生产、经营单位主要负责人和安全生产管理人员未依法经考核合格。</w:t>
            </w:r>
          </w:p>
        </w:tc>
        <w:tc>
          <w:tcPr>
            <w:tcW w:w="3366" w:type="dxa"/>
            <w:vAlign w:val="center"/>
          </w:tcPr>
          <w:p>
            <w:pPr>
              <w:pStyle w:val="77"/>
              <w:rPr>
                <w:color w:val="000000" w:themeColor="text1"/>
                <w14:textFill>
                  <w14:solidFill>
                    <w14:schemeClr w14:val="tx1"/>
                  </w14:solidFill>
                </w14:textFill>
              </w:rPr>
            </w:pPr>
            <w:bookmarkStart w:id="455" w:name="_Hlk85715515"/>
            <w:r>
              <w:rPr>
                <w:rFonts w:hint="eastAsia"/>
                <w:color w:val="000000" w:themeColor="text1"/>
                <w14:textFill>
                  <w14:solidFill>
                    <w14:schemeClr w14:val="tx1"/>
                  </w14:solidFill>
                </w14:textFill>
              </w:rPr>
              <w:t>主要负责人和安全生产管理人员</w:t>
            </w:r>
            <w:bookmarkStart w:id="456" w:name="_Hlk85715675"/>
            <w:r>
              <w:rPr>
                <w:rFonts w:hint="eastAsia"/>
                <w:color w:val="000000" w:themeColor="text1"/>
                <w14:textFill>
                  <w14:solidFill>
                    <w14:schemeClr w14:val="tx1"/>
                  </w14:solidFill>
                </w14:textFill>
              </w:rPr>
              <w:t>依法经考核合格，持证上岗</w:t>
            </w:r>
            <w:bookmarkEnd w:id="455"/>
            <w:bookmarkEnd w:id="456"/>
            <w:r>
              <w:rPr>
                <w:rFonts w:hint="eastAsia"/>
                <w:color w:val="000000" w:themeColor="text1"/>
                <w14:textFill>
                  <w14:solidFill>
                    <w14:schemeClr w14:val="tx1"/>
                  </w14:solidFill>
                </w14:textFill>
              </w:rPr>
              <w:t>。</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特种作业人员未持证上岗。</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加油站特种作业人员委托有资质人员进行。</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涉及“两重点一重大”的生产装置、储存设施外部安全防护距离不符合国家标准要求。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汽油储存设施外部安全防护距离符合国家标准要求。</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涉及重点监管危险化工工艺的装置未实现自动化控制，系统未实现紧急停车功能，装备的自动化控制系统、紧急停车系统未投入使用。</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无重点监管危险化工工艺的装置。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构成一级、二级重大危险源的危险化学品罐区未实现紧急切断功能；涉及毒性气体、液化气体、剧毒液体的一级、二级重大危险源的危险化学品罐区未配备独立的安全仪表系统。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危险化学品储存数量未构成危险化学品重大危险源。</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全压力式液化烃储罐未按国家标准设置注水措施。</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无全压力式液化烃储罐。</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液化烃、液氨、液氯等易燃易爆、有毒有害液化气体的充装未使用万向管道充装系统。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无液化烃、液氨、液氯等易燃易爆、有毒有害液化气体的充装。</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光气、氯气等剧毒气体及硫化氢气体管道穿越除厂区（包括化工园区、工业园区）外的公共区域。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无光气、氯气等剧毒气体及硫化氢气体管道。</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地区架空电力线路穿越生产区且不符合国家标准要求。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无地区架空电力线路穿越加油站的加油作业区。</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在役化工装置未经正规设计且未进行安全设计诊断。</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加油站不属于化工装置。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使用淘汰落后安全技术工艺、设备目录列出的工艺、设备。</w:t>
            </w:r>
          </w:p>
        </w:tc>
        <w:tc>
          <w:tcPr>
            <w:tcW w:w="3366"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不涉及</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涉及可燃和有毒有害气体泄漏的场所未按国家标准设置检测报警装置，爆炸危险场所未按国家标准安装使用防爆电气设备。</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不涉及有毒有害气体泄漏的场所；油罐采用防爆潜油泵、加油作业区内采用防爆电气设备。</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控制室或机柜间面向具有火灾、爆炸危险性装置一侧不满足国家标准关于防火防爆的要求。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加油站无控制室或机柜间。</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化工生产装置未按国家标准要求设置双重电源供电，自动化控制系统未设置不间断电源。</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站内不涉及化工生产装置。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安全阀、爆破片等安全附件未正常投用。</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站内不涉及带压容器。</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与岗位相匹配的全员安全生产责任制或者未制定实施生产安全事故隐患排查治理制度。</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制定有安全生产责任制和生产安全事故隐患排查治理制度。</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未制定操作规程和工艺控制指标。</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制定有操作规程，液位、渗漏在线监测设有工艺控制指标。</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未按照国家标准制定动火、进入受限空间等特殊作业管理制度，或者制度未有效执行。</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制定有动火、进入受限空间等特殊作业管理制度并按要求执行。</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不属于新开发的危险化学品生产工艺。</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未按国家标准分区分类储存危险化学品，超量、超品种储存危险化学品，相互禁配物质混放混存。</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每个油罐储存一种油品，油罐设置超液位报警，不存在超量、超品种储存，不存在相互禁配物质混放混存。</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bookmarkEnd w:id="453"/>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通过检查分析，</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现阶段无重大生产安全事故隐患。</w:t>
      </w:r>
    </w:p>
    <w:p>
      <w:pPr>
        <w:pStyle w:val="3"/>
        <w:rPr>
          <w:color w:val="000000" w:themeColor="text1"/>
          <w14:textFill>
            <w14:solidFill>
              <w14:schemeClr w14:val="tx1"/>
            </w14:solidFill>
          </w14:textFill>
        </w:rPr>
      </w:pPr>
      <w:bookmarkStart w:id="457" w:name="_Toc17141"/>
      <w:r>
        <w:rPr>
          <w:rFonts w:hint="eastAsia"/>
          <w:color w:val="000000" w:themeColor="text1"/>
          <w14:textFill>
            <w14:solidFill>
              <w14:schemeClr w14:val="tx1"/>
            </w14:solidFill>
          </w14:textFill>
        </w:rPr>
        <w:t>各单元评价小结</w:t>
      </w:r>
      <w:bookmarkEnd w:id="45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（1）外部安全条件单元：该加油站周边环境对加油站的影响在可接受范围内，所在地的自然条件对加油站运行的影响在可接受和可控制的范围内。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（2）平面布置单元：</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合理，功能设置分区划分明确，总体布置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工艺及设施单元：加油站采用的技术为国内成熟的加油工艺，油罐采用埋地设置，采用潜油泵供油工艺，设置有加油站设置汽油卸油油气回收系统和汽油加油油气回收系统。设备的安全、可靠性均能满足加油站的正常经营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（4）公用工程单元：该加油站采用外接电源供电，加油站的供排水、供配电均能够满足加油站正常经营的要求。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（5）安全设施单元：该加油站设置的安全设施符合《汽车加油加气加氢站技术标准》（GB50156-2021）的要求。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（6）安全管理单元：该加油站建立了相应的安全管理组织，制定了相应的安全管理规章制度。配备的救援器材满足加油站应急救援的需要。</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（7）重大事故隐患分析评价单元：该加油站现阶段无重大生产安全事故隐患。</w:t>
      </w:r>
    </w:p>
    <w:bookmarkEnd w:id="450"/>
    <w:p>
      <w:pPr>
        <w:pStyle w:val="2"/>
        <w:spacing w:before="193" w:after="193"/>
        <w:rPr>
          <w:color w:val="000000" w:themeColor="text1"/>
          <w14:textFill>
            <w14:solidFill>
              <w14:schemeClr w14:val="tx1"/>
            </w14:solidFill>
          </w14:textFill>
        </w:rPr>
      </w:pPr>
      <w:bookmarkStart w:id="458" w:name="_Toc15786"/>
      <w:r>
        <w:rPr>
          <w:rFonts w:hint="eastAsia"/>
          <w:color w:val="000000" w:themeColor="text1"/>
          <w14:textFill>
            <w14:solidFill>
              <w14:schemeClr w14:val="tx1"/>
            </w14:solidFill>
          </w14:textFill>
        </w:rPr>
        <w:t>安全对策措施及建议</w:t>
      </w:r>
      <w:bookmarkEnd w:id="458"/>
    </w:p>
    <w:p>
      <w:pPr>
        <w:pStyle w:val="3"/>
        <w:rPr>
          <w:color w:val="000000" w:themeColor="text1"/>
          <w14:textFill>
            <w14:solidFill>
              <w14:schemeClr w14:val="tx1"/>
            </w14:solidFill>
          </w14:textFill>
        </w:rPr>
      </w:pPr>
      <w:bookmarkStart w:id="459" w:name="_Toc10468"/>
      <w:r>
        <w:rPr>
          <w:rFonts w:hint="eastAsia"/>
          <w:color w:val="000000" w:themeColor="text1"/>
          <w14:textFill>
            <w14:solidFill>
              <w14:schemeClr w14:val="tx1"/>
            </w14:solidFill>
          </w14:textFill>
        </w:rPr>
        <w:t>存在问题及整改建议</w:t>
      </w:r>
      <w:bookmarkEnd w:id="459"/>
    </w:p>
    <w:p>
      <w:pPr>
        <w:pStyle w:val="4"/>
        <w:ind w:firstLine="562"/>
        <w:rPr>
          <w:color w:val="000000" w:themeColor="text1"/>
          <w14:textFill>
            <w14:solidFill>
              <w14:schemeClr w14:val="tx1"/>
            </w14:solidFill>
          </w14:textFill>
        </w:rPr>
      </w:pPr>
      <w:bookmarkStart w:id="460" w:name="_Toc9624"/>
      <w:r>
        <w:rPr>
          <w:rFonts w:hint="eastAsia"/>
          <w:color w:val="000000" w:themeColor="text1"/>
          <w14:textFill>
            <w14:solidFill>
              <w14:schemeClr w14:val="tx1"/>
            </w14:solidFill>
          </w14:textFill>
        </w:rPr>
        <w:t>存在问题</w:t>
      </w:r>
      <w:bookmarkEnd w:id="460"/>
    </w:p>
    <w:p>
      <w:pPr>
        <w:tabs>
          <w:tab w:val="center" w:pos="4252"/>
        </w:tabs>
        <w:adjustRightInd w:val="0"/>
        <w:snapToGrid w:val="0"/>
        <w:spacing w:line="500" w:lineRule="exact"/>
        <w:ind w:firstLine="560" w:firstLineChars="200"/>
        <w:rPr>
          <w:rFonts w:hint="default" w:ascii="Times New Roman" w:hAnsi="Times New Roman" w:eastAsia="宋体" w:cs="Times New Roman"/>
          <w:b w:val="0"/>
          <w:bCs w:val="0"/>
          <w:color w:val="auto"/>
          <w:sz w:val="28"/>
          <w:szCs w:val="32"/>
          <w:lang w:val="en-US" w:eastAsia="zh-CN"/>
        </w:rPr>
      </w:pPr>
      <w:bookmarkStart w:id="461" w:name="_Hlk112254985"/>
      <w:r>
        <w:rPr>
          <w:rFonts w:hint="default" w:ascii="Times New Roman" w:hAnsi="Times New Roman" w:eastAsia="宋体" w:cs="Times New Roman"/>
          <w:b w:val="0"/>
          <w:bCs w:val="0"/>
          <w:color w:val="auto"/>
          <w:sz w:val="28"/>
          <w:szCs w:val="32"/>
          <w:lang w:val="en-US" w:eastAsia="zh-CN"/>
        </w:rPr>
        <w:t>1</w:t>
      </w:r>
      <w:r>
        <w:rPr>
          <w:rFonts w:hint="eastAsia" w:ascii="Times New Roman" w:hAnsi="Times New Roman" w:eastAsia="宋体" w:cs="Times New Roman"/>
          <w:b w:val="0"/>
          <w:bCs w:val="0"/>
          <w:color w:val="auto"/>
          <w:sz w:val="28"/>
          <w:szCs w:val="32"/>
          <w:lang w:val="en-US" w:eastAsia="zh-CN"/>
        </w:rPr>
        <w:t>.油罐区操作井内，液位仪标识、双层</w:t>
      </w:r>
      <w:r>
        <w:rPr>
          <w:rFonts w:hint="eastAsia" w:ascii="Times New Roman" w:hAnsi="Times New Roman" w:cs="Times New Roman"/>
          <w:b w:val="0"/>
          <w:bCs w:val="0"/>
          <w:color w:val="auto"/>
          <w:sz w:val="28"/>
          <w:szCs w:val="32"/>
          <w:lang w:val="en-US" w:eastAsia="zh-CN"/>
        </w:rPr>
        <w:t>管道</w:t>
      </w:r>
      <w:r>
        <w:rPr>
          <w:rFonts w:hint="eastAsia" w:ascii="Times New Roman" w:hAnsi="Times New Roman" w:eastAsia="宋体" w:cs="Times New Roman"/>
          <w:b w:val="0"/>
          <w:bCs w:val="0"/>
          <w:color w:val="auto"/>
          <w:sz w:val="28"/>
          <w:szCs w:val="32"/>
          <w:lang w:val="en-US" w:eastAsia="zh-CN"/>
        </w:rPr>
        <w:t>标识张贴错误，未能正确反映管线用途，存在安全隐患；</w:t>
      </w:r>
    </w:p>
    <w:p>
      <w:pPr>
        <w:tabs>
          <w:tab w:val="center" w:pos="4252"/>
        </w:tabs>
        <w:adjustRightInd w:val="0"/>
        <w:snapToGrid w:val="0"/>
        <w:spacing w:line="500" w:lineRule="exact"/>
        <w:ind w:firstLine="560" w:firstLineChars="200"/>
        <w:rPr>
          <w:rFonts w:hint="eastAsia" w:ascii="Times New Roman" w:hAnsi="Times New Roman" w:eastAsia="宋体" w:cs="Times New Roman"/>
          <w:b w:val="0"/>
          <w:bCs w:val="0"/>
          <w:color w:val="auto"/>
          <w:sz w:val="28"/>
          <w:szCs w:val="32"/>
          <w:lang w:val="en-US" w:eastAsia="zh-CN"/>
        </w:rPr>
      </w:pPr>
      <w:r>
        <w:rPr>
          <w:rFonts w:hint="eastAsia" w:ascii="Times New Roman" w:hAnsi="Times New Roman" w:eastAsia="宋体" w:cs="Times New Roman"/>
          <w:b w:val="0"/>
          <w:bCs w:val="0"/>
          <w:color w:val="auto"/>
          <w:sz w:val="28"/>
          <w:szCs w:val="32"/>
          <w:lang w:val="en-US" w:eastAsia="zh-CN"/>
        </w:rPr>
        <w:t>2.卸油作业现场未设置卸油操作规程；</w:t>
      </w:r>
    </w:p>
    <w:p>
      <w:pPr>
        <w:tabs>
          <w:tab w:val="center" w:pos="4252"/>
        </w:tabs>
        <w:adjustRightInd w:val="0"/>
        <w:snapToGrid w:val="0"/>
        <w:spacing w:line="500" w:lineRule="exact"/>
        <w:ind w:firstLine="560" w:firstLineChars="200"/>
        <w:rPr>
          <w:rFonts w:hint="eastAsia" w:ascii="Times New Roman" w:hAnsi="Times New Roman" w:eastAsia="宋体" w:cs="Times New Roman"/>
          <w:b w:val="0"/>
          <w:bCs w:val="0"/>
          <w:color w:val="auto"/>
          <w:sz w:val="28"/>
          <w:szCs w:val="32"/>
          <w:lang w:val="en-US" w:eastAsia="zh-CN"/>
        </w:rPr>
      </w:pPr>
      <w:r>
        <w:rPr>
          <w:rFonts w:hint="eastAsia" w:ascii="Times New Roman" w:hAnsi="Times New Roman" w:eastAsia="宋体" w:cs="Times New Roman"/>
          <w:b w:val="0"/>
          <w:bCs w:val="0"/>
          <w:color w:val="auto"/>
          <w:sz w:val="28"/>
          <w:szCs w:val="32"/>
          <w:lang w:val="en-US" w:eastAsia="zh-CN"/>
        </w:rPr>
        <w:t>3.加油区的安全警示牌、提示牌出现明显褪色、破损、信息模糊的现象，难以起到有效警示和引导作用；</w:t>
      </w:r>
    </w:p>
    <w:p>
      <w:pPr>
        <w:rPr>
          <w:color w:val="000000" w:themeColor="text1"/>
          <w14:textFill>
            <w14:solidFill>
              <w14:schemeClr w14:val="tx1"/>
            </w14:solidFill>
          </w14:textFill>
        </w:rPr>
      </w:pPr>
      <w:r>
        <w:rPr>
          <w:rFonts w:hint="eastAsia" w:ascii="Times New Roman" w:hAnsi="Times New Roman" w:eastAsia="宋体" w:cs="Times New Roman"/>
          <w:b w:val="0"/>
          <w:bCs w:val="0"/>
          <w:color w:val="auto"/>
          <w:sz w:val="28"/>
          <w:szCs w:val="32"/>
          <w:lang w:val="en-US" w:eastAsia="zh-CN"/>
        </w:rPr>
        <w:t>4.</w:t>
      </w:r>
      <w:r>
        <w:rPr>
          <w:rFonts w:hint="default" w:ascii="Times New Roman" w:hAnsi="Times New Roman" w:eastAsia="宋体" w:cs="Times New Roman"/>
          <w:b w:val="0"/>
          <w:bCs w:val="0"/>
          <w:color w:val="auto"/>
          <w:sz w:val="28"/>
          <w:szCs w:val="32"/>
          <w:lang w:val="en-US" w:eastAsia="zh-CN"/>
        </w:rPr>
        <w:t>两台柴油加油机内部存在轻微渗油现象，设备底部有油迹残留，未及时清理</w:t>
      </w:r>
      <w:r>
        <w:rPr>
          <w:rFonts w:hint="eastAsia" w:ascii="Times New Roman" w:hAnsi="Times New Roman" w:cs="Times New Roman"/>
          <w:b w:val="0"/>
          <w:bCs w:val="0"/>
          <w:color w:val="000000" w:themeColor="text1"/>
          <w:sz w:val="28"/>
          <w:szCs w:val="32"/>
          <w:lang w:val="en-US" w:eastAsia="zh-CN"/>
          <w14:textFill>
            <w14:solidFill>
              <w14:schemeClr w14:val="tx1"/>
            </w14:solidFill>
          </w14:textFill>
        </w:rPr>
        <w:t>。</w:t>
      </w:r>
    </w:p>
    <w:bookmarkEnd w:id="461"/>
    <w:p>
      <w:pPr>
        <w:pStyle w:val="4"/>
        <w:ind w:firstLine="562"/>
        <w:rPr>
          <w:color w:val="000000" w:themeColor="text1"/>
          <w14:textFill>
            <w14:solidFill>
              <w14:schemeClr w14:val="tx1"/>
            </w14:solidFill>
          </w14:textFill>
        </w:rPr>
      </w:pPr>
      <w:bookmarkStart w:id="462" w:name="_Toc17152"/>
      <w:r>
        <w:rPr>
          <w:rFonts w:hint="eastAsia"/>
          <w:color w:val="000000" w:themeColor="text1"/>
          <w14:textFill>
            <w14:solidFill>
              <w14:schemeClr w14:val="tx1"/>
            </w14:solidFill>
          </w14:textFill>
        </w:rPr>
        <w:t>存在问题的整改建议</w:t>
      </w:r>
      <w:bookmarkEnd w:id="462"/>
    </w:p>
    <w:p>
      <w:pPr>
        <w:tabs>
          <w:tab w:val="center" w:pos="4252"/>
        </w:tabs>
        <w:adjustRightInd w:val="0"/>
        <w:snapToGrid w:val="0"/>
        <w:spacing w:line="500" w:lineRule="exact"/>
        <w:ind w:firstLine="560" w:firstLineChars="200"/>
        <w:rPr>
          <w:rFonts w:hint="eastAsia" w:ascii="Times New Roman" w:hAnsi="Times New Roman" w:eastAsia="宋体" w:cs="Times New Roman"/>
          <w:b w:val="0"/>
          <w:bCs w:val="0"/>
          <w:color w:val="auto"/>
          <w:sz w:val="28"/>
          <w:szCs w:val="32"/>
          <w:lang w:val="en-US" w:eastAsia="zh-CN"/>
        </w:rPr>
      </w:pPr>
      <w:r>
        <w:rPr>
          <w:rFonts w:hint="eastAsia" w:ascii="Times New Roman" w:hAnsi="Times New Roman" w:eastAsia="宋体" w:cs="Times New Roman"/>
          <w:b w:val="0"/>
          <w:bCs w:val="0"/>
          <w:color w:val="auto"/>
          <w:sz w:val="28"/>
          <w:szCs w:val="32"/>
          <w:lang w:val="en-US" w:eastAsia="zh-CN"/>
        </w:rPr>
        <w:t>1.对油罐进行全面检查，核实设备编号和油罐信息是否一致；重新制作和张贴正确、清晰标识牌；</w:t>
      </w:r>
    </w:p>
    <w:p>
      <w:pPr>
        <w:tabs>
          <w:tab w:val="center" w:pos="4252"/>
        </w:tabs>
        <w:adjustRightInd w:val="0"/>
        <w:snapToGrid w:val="0"/>
        <w:spacing w:line="500" w:lineRule="exact"/>
        <w:ind w:firstLine="560" w:firstLineChars="200"/>
        <w:rPr>
          <w:rFonts w:hint="eastAsia" w:ascii="Times New Roman" w:hAnsi="Times New Roman" w:eastAsia="宋体" w:cs="Times New Roman"/>
          <w:b w:val="0"/>
          <w:bCs w:val="0"/>
          <w:color w:val="auto"/>
          <w:sz w:val="28"/>
          <w:szCs w:val="32"/>
          <w:lang w:val="en-US" w:eastAsia="zh-CN"/>
        </w:rPr>
      </w:pPr>
      <w:r>
        <w:rPr>
          <w:rFonts w:hint="eastAsia" w:ascii="Times New Roman" w:hAnsi="Times New Roman" w:eastAsia="宋体" w:cs="Times New Roman"/>
          <w:b w:val="0"/>
          <w:bCs w:val="0"/>
          <w:color w:val="auto"/>
          <w:sz w:val="28"/>
          <w:szCs w:val="32"/>
          <w:lang w:val="en-US" w:eastAsia="zh-CN"/>
        </w:rPr>
        <w:t>2.在卸油区醒目位置设置卸油操作规程；</w:t>
      </w:r>
    </w:p>
    <w:p>
      <w:pPr>
        <w:tabs>
          <w:tab w:val="center" w:pos="4252"/>
        </w:tabs>
        <w:adjustRightInd w:val="0"/>
        <w:snapToGrid w:val="0"/>
        <w:spacing w:line="500" w:lineRule="exact"/>
        <w:ind w:firstLine="560" w:firstLineChars="200"/>
        <w:rPr>
          <w:rFonts w:hint="eastAsia" w:ascii="Times New Roman" w:hAnsi="Times New Roman" w:eastAsia="宋体" w:cs="Times New Roman"/>
          <w:b w:val="0"/>
          <w:bCs w:val="0"/>
          <w:color w:val="auto"/>
          <w:sz w:val="28"/>
          <w:szCs w:val="32"/>
          <w:lang w:val="en-US" w:eastAsia="zh-CN"/>
        </w:rPr>
      </w:pPr>
      <w:r>
        <w:rPr>
          <w:rFonts w:hint="eastAsia" w:ascii="Times New Roman" w:hAnsi="Times New Roman" w:eastAsia="宋体" w:cs="Times New Roman"/>
          <w:b w:val="0"/>
          <w:bCs w:val="0"/>
          <w:color w:val="auto"/>
          <w:sz w:val="28"/>
          <w:szCs w:val="32"/>
          <w:lang w:val="en-US" w:eastAsia="zh-CN"/>
        </w:rPr>
        <w:t>3.更换所有褪色、老化、不规范的标识牌；</w:t>
      </w:r>
    </w:p>
    <w:p>
      <w:pPr>
        <w:rPr>
          <w:color w:val="000000" w:themeColor="text1"/>
          <w14:textFill>
            <w14:solidFill>
              <w14:schemeClr w14:val="tx1"/>
            </w14:solidFill>
          </w14:textFill>
        </w:rPr>
      </w:pPr>
      <w:r>
        <w:rPr>
          <w:rFonts w:hint="eastAsia" w:ascii="Times New Roman" w:hAnsi="Times New Roman" w:eastAsia="宋体" w:cs="Times New Roman"/>
          <w:b w:val="0"/>
          <w:bCs w:val="0"/>
          <w:color w:val="auto"/>
          <w:sz w:val="28"/>
          <w:szCs w:val="32"/>
          <w:lang w:val="en-US" w:eastAsia="zh-CN"/>
        </w:rPr>
        <w:t>4.暂停使用渗油的加油机，尽快安排专业技术人员进行检查与维修；查明渗油原因（如密封老化、接头松动等），更换密封件或维修相关部件</w:t>
      </w:r>
      <w:r>
        <w:rPr>
          <w:rFonts w:hint="eastAsia" w:ascii="Times New Roman" w:hAnsi="Times New Roman" w:eastAsia="宋体" w:cs="Times New Roman"/>
          <w:b w:val="0"/>
          <w:bCs w:val="0"/>
          <w:color w:val="000000" w:themeColor="text1"/>
          <w:sz w:val="28"/>
          <w:szCs w:val="32"/>
          <w:lang w:val="en-US" w:eastAsia="zh-CN"/>
          <w14:textFill>
            <w14:solidFill>
              <w14:schemeClr w14:val="tx1"/>
            </w14:solidFill>
          </w14:textFill>
        </w:rPr>
        <w:t>。</w:t>
      </w:r>
    </w:p>
    <w:p>
      <w:pPr>
        <w:pStyle w:val="4"/>
        <w:ind w:firstLine="562"/>
        <w:rPr>
          <w:color w:val="000000" w:themeColor="text1"/>
          <w14:textFill>
            <w14:solidFill>
              <w14:schemeClr w14:val="tx1"/>
            </w14:solidFill>
          </w14:textFill>
        </w:rPr>
      </w:pPr>
      <w:bookmarkStart w:id="463" w:name="_Toc1069"/>
      <w:r>
        <w:rPr>
          <w:rFonts w:hint="eastAsia"/>
          <w:color w:val="000000" w:themeColor="text1"/>
          <w14:textFill>
            <w14:solidFill>
              <w14:schemeClr w14:val="tx1"/>
            </w14:solidFill>
          </w14:textFill>
        </w:rPr>
        <w:t>存在问题整改情况</w:t>
      </w:r>
      <w:bookmarkEnd w:id="46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根据评价提出的整改建议，</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已进行了整改，具体的整改情况见附件。</w:t>
      </w:r>
    </w:p>
    <w:p>
      <w:pPr>
        <w:pStyle w:val="3"/>
        <w:rPr>
          <w:color w:val="000000" w:themeColor="text1"/>
          <w14:textFill>
            <w14:solidFill>
              <w14:schemeClr w14:val="tx1"/>
            </w14:solidFill>
          </w14:textFill>
        </w:rPr>
      </w:pPr>
      <w:bookmarkStart w:id="464" w:name="_Toc14509"/>
      <w:r>
        <w:rPr>
          <w:rFonts w:hint="eastAsia"/>
          <w:color w:val="000000" w:themeColor="text1"/>
          <w14:textFill>
            <w14:solidFill>
              <w14:schemeClr w14:val="tx1"/>
            </w14:solidFill>
          </w14:textFill>
        </w:rPr>
        <w:t>安全对策措施及建议</w:t>
      </w:r>
      <w:bookmarkEnd w:id="46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本节根据加油站主要存在的危险及有害因素，加油站工艺及装置的特征和有关标准、规范，从以下几方面提出如下的安全对策措施及建议，加油站在运营过程中还须认真采纳，进一步提高加油站运营的安全性。</w:t>
      </w:r>
    </w:p>
    <w:p>
      <w:pPr>
        <w:pStyle w:val="4"/>
        <w:ind w:firstLine="562"/>
        <w:rPr>
          <w:color w:val="000000" w:themeColor="text1"/>
          <w14:textFill>
            <w14:solidFill>
              <w14:schemeClr w14:val="tx1"/>
            </w14:solidFill>
          </w14:textFill>
        </w:rPr>
      </w:pPr>
      <w:bookmarkStart w:id="465" w:name="_Toc9866"/>
      <w:r>
        <w:rPr>
          <w:rFonts w:hint="eastAsia"/>
          <w:color w:val="000000" w:themeColor="text1"/>
          <w14:textFill>
            <w14:solidFill>
              <w14:schemeClr w14:val="tx1"/>
            </w14:solidFill>
          </w14:textFill>
        </w:rPr>
        <w:t>防火、防爆安全对策措施及建议</w:t>
      </w:r>
      <w:bookmarkEnd w:id="46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加油站是消防安全的重点单位。针对加油站发生火灾、爆炸的具体原因，提出下列安全对策措施及建议：</w:t>
      </w:r>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消除可燃物</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①加强卸油、加油作业管理，尽量避免油品泼洒在地上，及时清除地上污油，保持作业场所清洁干净。</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②油罐应采取卸油时的防满溢措施，油料达到油罐容量90%时，应能触动高液位报警装置；油料达到油罐容量95%时，应能自动停止油料继续进罐，防止卸油时发生泄漏。</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w:instrText>
      </w:r>
      <w:r>
        <w:rPr>
          <w:rFonts w:hint="eastAsia"/>
          <w:color w:val="000000" w:themeColor="text1"/>
          <w:lang w:val="zh-CN"/>
          <w14:textFill>
            <w14:solidFill>
              <w14:schemeClr w14:val="tx1"/>
            </w14:solidFill>
          </w14:textFill>
        </w:rPr>
        <w:instrText xml:space="preserve">= 3 \* GB3</w:instrText>
      </w:r>
      <w:r>
        <w:rPr>
          <w:color w:val="000000" w:themeColor="text1"/>
          <w:lang w:val="zh-CN"/>
          <w14:textFill>
            <w14:solidFill>
              <w14:schemeClr w14:val="tx1"/>
            </w14:solidFill>
          </w14:textFill>
        </w:rPr>
        <w:instrText xml:space="preserve"> </w:instrText>
      </w:r>
      <w:r>
        <w:rPr>
          <w:color w:val="000000" w:themeColor="text1"/>
          <w:lang w:val="zh-CN"/>
          <w14:textFill>
            <w14:solidFill>
              <w14:schemeClr w14:val="tx1"/>
            </w14:solidFill>
          </w14:textFill>
        </w:rPr>
        <w:fldChar w:fldCharType="separate"/>
      </w:r>
      <w:r>
        <w:rPr>
          <w:rFonts w:hint="eastAsia"/>
          <w:color w:val="000000" w:themeColor="text1"/>
          <w:lang w:val="zh-CN"/>
          <w14:textFill>
            <w14:solidFill>
              <w14:schemeClr w14:val="tx1"/>
            </w14:solidFill>
          </w14:textFill>
        </w:rPr>
        <w:t>③</w:t>
      </w:r>
      <w:r>
        <w:rPr>
          <w:color w:val="000000" w:themeColor="text1"/>
          <w:lang w:val="zh-CN"/>
          <w14:textFill>
            <w14:solidFill>
              <w14:schemeClr w14:val="tx1"/>
            </w14:solidFill>
          </w14:textFill>
        </w:rPr>
        <w:fldChar w:fldCharType="end"/>
      </w:r>
      <w:r>
        <w:rPr>
          <w:rFonts w:hint="eastAsia"/>
          <w:color w:val="000000" w:themeColor="text1"/>
          <w:lang w:val="zh-CN"/>
          <w14:textFill>
            <w14:solidFill>
              <w14:schemeClr w14:val="tx1"/>
            </w14:solidFill>
          </w14:textFill>
        </w:rPr>
        <w:t>定期检查储油、装卸油设备设施，保证加油站设备正常安全运行。</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消除点火源</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消除点火源是加油站防火、防爆最有效的安全措施。加油站的实际生产运行管理应采取以下安全防范措施：</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）禁绝明火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①在爆炸危险区动火时，应按相应管理制度办理动火票，检测可燃气体浓度。严禁违反作业规程盲目动火、收工后留有火种、无现场监理人员在现场时动火；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②严格限制一切明火进入加油站。</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）防止撞击起火：禁止在各爆炸危险区域敲打铁器。</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）防止电器火花及短路起火。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①定期对各防爆电器进行检测，及时更换失效的防爆电器；</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②油罐区观测井内配置的水泵应选用防爆型，现场设置的水泵启动开关也应选用防爆型。</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4</w:t>
      </w:r>
      <w:r>
        <w:rPr>
          <w:rFonts w:hint="eastAsia"/>
          <w:color w:val="000000" w:themeColor="text1"/>
          <w:lang w:val="zh-CN"/>
          <w14:textFill>
            <w14:solidFill>
              <w14:schemeClr w14:val="tx1"/>
            </w14:solidFill>
          </w14:textFill>
        </w:rPr>
        <w:t>）防止静电火花</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①避免静电聚集；</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②定期检查各静电接地装置，及时更换失效的静电接地装置；</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③严格按操作规程作业。</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5</w:t>
      </w:r>
      <w:r>
        <w:rPr>
          <w:rFonts w:hint="eastAsia"/>
          <w:color w:val="000000" w:themeColor="text1"/>
          <w:lang w:val="zh-CN"/>
          <w14:textFill>
            <w14:solidFill>
              <w14:schemeClr w14:val="tx1"/>
            </w14:solidFill>
          </w14:textFill>
        </w:rPr>
        <w:t>）防止雷击：定期对防雷、防静电设施设备进行检测，对不符合规范要求的应及时整改。</w:t>
      </w:r>
    </w:p>
    <w:p>
      <w:pPr>
        <w:pStyle w:val="4"/>
        <w:ind w:firstLine="562"/>
        <w:rPr>
          <w:color w:val="000000" w:themeColor="text1"/>
          <w14:textFill>
            <w14:solidFill>
              <w14:schemeClr w14:val="tx1"/>
            </w14:solidFill>
          </w14:textFill>
        </w:rPr>
      </w:pPr>
      <w:bookmarkStart w:id="466" w:name="_Toc8328"/>
      <w:r>
        <w:rPr>
          <w:rFonts w:hint="eastAsia"/>
          <w:color w:val="000000" w:themeColor="text1"/>
          <w14:textFill>
            <w14:solidFill>
              <w14:schemeClr w14:val="tx1"/>
            </w14:solidFill>
          </w14:textFill>
        </w:rPr>
        <w:t>电气系统安全对策措施及建议</w:t>
      </w:r>
      <w:bookmarkEnd w:id="46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1.作业人员必须严格按规定检查项目的整个电气系统，在操作和检查过程中发现绝缘破损、紧固处松脱、短网接线发红等情况应立即停电检修。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2.严禁用易导电物质接触、碰撞带电设备的任一部位。</w:t>
      </w:r>
    </w:p>
    <w:p>
      <w:pPr>
        <w:pStyle w:val="4"/>
        <w:ind w:firstLine="562"/>
        <w:rPr>
          <w:color w:val="000000" w:themeColor="text1"/>
          <w14:textFill>
            <w14:solidFill>
              <w14:schemeClr w14:val="tx1"/>
            </w14:solidFill>
          </w14:textFill>
        </w:rPr>
      </w:pPr>
      <w:bookmarkStart w:id="467" w:name="_Toc30393"/>
      <w:r>
        <w:rPr>
          <w:rFonts w:hint="eastAsia"/>
          <w:color w:val="000000" w:themeColor="text1"/>
          <w14:textFill>
            <w14:solidFill>
              <w14:schemeClr w14:val="tx1"/>
            </w14:solidFill>
          </w14:textFill>
        </w:rPr>
        <w:t>防雷、防静电安全对策措施及建议</w:t>
      </w:r>
      <w:bookmarkEnd w:id="467"/>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.加油站在经营过程中，应定期对防雷、防静电设施进行检测，并对检测出的不符合项进行认真整改。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为了保持防雷装置有良好的保护性能，应对其进行经常性检查和定期试验。对于避雷针、引下线和接地装置，应检查其是否完好，各部分连接、防护是否良好。对防雷接地装置和其它接地装置一样，应定期进行检查和测定其接地电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3.严禁在装有避雷针、避雷线的构筑物上方架设通信线、广播线或低压线。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4.在爆炸危险场所的工作人员禁止穿戴化纤、丝绸衣物和带铁掌的鞋，应穿戴防静电的工作鞋、手套、衣物。</w:t>
      </w:r>
    </w:p>
    <w:p>
      <w:pPr>
        <w:pStyle w:val="4"/>
        <w:ind w:firstLine="562"/>
        <w:rPr>
          <w:color w:val="000000" w:themeColor="text1"/>
          <w14:textFill>
            <w14:solidFill>
              <w14:schemeClr w14:val="tx1"/>
            </w14:solidFill>
          </w14:textFill>
        </w:rPr>
      </w:pPr>
      <w:bookmarkStart w:id="468" w:name="_Toc15062"/>
      <w:r>
        <w:rPr>
          <w:rFonts w:hint="eastAsia"/>
          <w:color w:val="000000" w:themeColor="text1"/>
          <w14:textFill>
            <w14:solidFill>
              <w14:schemeClr w14:val="tx1"/>
            </w14:solidFill>
          </w14:textFill>
        </w:rPr>
        <w:t>特殊作业安全对策措施及建议</w:t>
      </w:r>
      <w:bookmarkEnd w:id="46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特殊作业基本要求：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作业前，应组织作业单位对作业现场和作业过程中可能存在的危险有害因素进行</w:t>
      </w:r>
      <w:bookmarkStart w:id="469" w:name="bookmark7"/>
      <w:bookmarkEnd w:id="469"/>
      <w:r>
        <w:rPr>
          <w:color w:val="000000" w:themeColor="text1"/>
          <w14:textFill>
            <w14:solidFill>
              <w14:schemeClr w14:val="tx1"/>
            </w14:solidFill>
          </w14:textFill>
        </w:rPr>
        <w:t>辨识，开展作业危害分析，制定相应的安全风险管控措施。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作业前，应采取措施对拟作业的设备设施、管线进行处理，确保满足相应作业安全要求：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对设备、管线内介质有安全要求的特殊作业，应采用倒空、隔绝、清洗、置换等方式进行处理</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对具有能量的设备设施、环境应采取可靠的能量隔离措施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能量隔离是指将潜在的、可能因失控造成人身伤害、环境损害、设备损坏、财产损失的能量进行有效的控制、隔离和保护。包括机械隔离、工艺隔离、电气隔离等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3.进入</w:t>
      </w:r>
      <w:r>
        <w:rPr>
          <w:color w:val="000000" w:themeColor="text1"/>
          <w14:textFill>
            <w14:solidFill>
              <w14:schemeClr w14:val="tx1"/>
            </w14:solidFill>
          </w14:textFill>
        </w:rPr>
        <w:t>作业现场的人员应正确佩戴满足GB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39800.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要求的个体防护装备。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作业前，危险化学品企业应对参加作业的人员进行安全措施交底，主要包括：</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作业现场和作业过程中可能存在的危险、有害因素及采取的具体安全措施与应急措施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会同作业单位组织作业人员到作业现场，了解和熟悉现场环境，进一步核实安全措施的可靠性，熟悉应急救援器材的位置及分布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涉及断路、动土作业时，应对作业现场的地下隐蔽工程进行交底。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作业前，应组织作业单位对作业现场及作业涉及的设备、设施、工器具等进行检查，并使之符合如下要求：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作业现场消防通道、行车通道应保持畅通，影响作业安全的杂物应清理干净</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作业现场的梯子、栏杆、平台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盖板等设施应完整、牢固，采用的临时设施应确保安全</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作业现场可能危及安全的坑、井、沟、孔洞等应采取有效防护措施，并设警示标志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需要检修的设备上的电器电源应可靠断电，在电源开关处加锁并加挂安全警示牌</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作业使用的个体防护器具、消防器材、通信设备、照明设备等应完好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作业时使用的脚手架、起重机械、电气焊（割）用具、手持电动工具等各种工器具符合作业安全要求，超过安全电压的手持式、移动式电动工器具应逐个配置漏电保护器和电源开关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设置符合GB2894的安全警示标志</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按照GB30077要求配备应急设施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前，应组织办理作业审批手续，并由相关责任人签字审批。同一作业涉及两种或两种以上特殊作业时，应同时执行各自作业要求，办理相应的作业审批手续。作业时，审批手续应齐全、安全措施应全部落实、作业环境应符合安全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同一作业区域应减少、控制多工种、多层次交叉作业，最大限度避免交叉作业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交叉作业应由企业指定专人统一协调管理，作业前要组织开展交叉作业风险辨识，采取可靠的保护措施，并保持作业之间信息畅通，确保作业安全。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当生产装置或作业现场出现异常，可能危及作业人员安全时，作业人员应立即停止作业，迅速撤离，并及时通知相关单位及人员。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特殊作业涉及的特种作业和特种设备作业人员应取得相应资格证书，持证上岗。界定为GBZ/T 260中规定的职业禁忌证者不应参与相应作业。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作业期间应设监护人。监护人应由具有生产（作业）实践经验的人员担任，并经专项培训考试合格，佩戴明显标识，持培训合格证上岗。</w:t>
      </w:r>
    </w:p>
    <w:p>
      <w:pPr>
        <w:rPr>
          <w:color w:val="000000" w:themeColor="text1"/>
          <w14:textFill>
            <w14:solidFill>
              <w14:schemeClr w14:val="tx1"/>
            </w14:solidFill>
          </w14:textFill>
        </w:rPr>
      </w:pPr>
      <w:r>
        <w:rPr>
          <w:color w:val="000000" w:themeColor="text1"/>
          <w14:textFill>
            <w14:solidFill>
              <w14:schemeClr w14:val="tx1"/>
            </w14:solidFill>
          </w14:textFill>
        </w:rPr>
        <w:t>监护人的通用职责要求：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作业前检查安全作业票。安全作业票应与作业内容相符并在有效期内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核查安全作业票中各项安全措施已得到落实。</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确认相关作业人员持有效资格证书上岗。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核查作业人员配备和使用的个体防护装备满足作业要求。</w:t>
      </w:r>
    </w:p>
    <w:p>
      <w:pPr>
        <w:rPr>
          <w:color w:val="000000" w:themeColor="text1"/>
          <w14:textFill>
            <w14:solidFill>
              <w14:schemeClr w14:val="tx1"/>
            </w14:solidFill>
          </w14:textFill>
        </w:rPr>
      </w:pPr>
      <w:bookmarkStart w:id="470" w:name="bookmark8"/>
      <w:bookmarkEnd w:id="470"/>
      <w:r>
        <w:rPr>
          <w:rFonts w:hint="eastAsia"/>
          <w:color w:val="000000" w:themeColor="text1"/>
          <w14:textFill>
            <w14:solidFill>
              <w14:schemeClr w14:val="tx1"/>
            </w14:solidFill>
          </w14:textFill>
        </w:rPr>
        <w:t>（4）</w:t>
      </w:r>
      <w:r>
        <w:rPr>
          <w:color w:val="000000" w:themeColor="text1"/>
          <w14:textFill>
            <w14:solidFill>
              <w14:schemeClr w14:val="tx1"/>
            </w14:solidFill>
          </w14:textFill>
        </w:rPr>
        <w:t>对作业人员的行为和现场安全作业条件进行检查与监督，负责作业现场的安全协调与联系。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当作业现场出现异常情况时应中止作业，并采取安全有效措施进行应急处置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当作业人员违章时，应及时制止违章，情节严重时，应收回安全作业票、中止作业。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作业期间，监护人不应擅自离开作业现场且不应从事与监护无关的事。确需离开作业现场时，应收回安全作业票，中止作业。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作业审批人的职责要求：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应在作业现场完成审批工作</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应核查安全作业票审批级别与企业管理制度中规定级别一致情况，各项审批环节符合企业管理要求情况</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应核查安全作业票中各项风险识别及管控措施落实情况。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作业时使用的移动式可燃、有毒气体检测仪，氧气检测仪应符合GB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5322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3和GB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T50493中5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作业现场照明系统配置要求：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作业现场应设置满足作业要求的照明装备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受限空间内使用的照明电压不应超过36V，并满足安全用电要求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在潮湿容器、狭小容器内作业电压不应超过</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2V</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在盛装过易燃易爆气体、液体等介质的容器内作业应使用防爆灯具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作业现场可能危及安全的坑、井、沟、孔洞等周围，夜间应设警示红灯</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动力和照明线路应分路设置。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作业完毕，应及时恢复作业时拆移的盖板、扶手、栏杆、防护罩等安全设施的使用功能，恢复临时封闭的沟渠或地井，并清理作业现场，恢复原状。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作业完毕，应及时进行验收确认。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作业内容变更、作业范围扩大、作业地点转移或超过安全作业票有效期限时，应重新办理安全作业票。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工艺条件、作业条件、作业方式或作业环境改变时，应重新进行作业危害分析，核对风险管控措施，重新办理安全作业票。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18.</w:t>
      </w:r>
      <w:r>
        <w:rPr>
          <w:color w:val="000000" w:themeColor="text1"/>
          <w14:textFill>
            <w14:solidFill>
              <w14:schemeClr w14:val="tx1"/>
            </w14:solidFill>
          </w14:textFill>
        </w:rPr>
        <w:t>安全作业票应规范填写，不得涂改。</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受限空间作业安全对策措施及建议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作业前，应对受限空间进行安全隔离，要求如下：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与受限空间连通的可能危及安全作业的管道应采用加盲板或拆除一段管道的方式进行隔离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不应采用水封或关闭阀门代替盲板作为隔断措施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与受限空间连通的可能危及安全作业的孔、洞应进行严密封堵</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对作业设备上的电器电源，应采取可靠的断电措施，电源开关处应上锁并加挂警示牌。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作业前，应保持受限空间内空气流通良好，可采取如下措施：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打开人孔等与大气相通的设施进行自然通风</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必要时，可采用强制通风或管道送风，管道送风前应对管道内介质和风源进行分析确认</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在忌氧环境中作业，通风前应对作业环境中与氧性质相抵的物料采取卸放、置换或清洗合格的措施，达到可以通风的安全条件要求。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作业前，应确保受限空间内的气体环境满足作业要求，内容如下：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作业前30min内，对受限空间进行气体检测，检测分析合格后方可进</w:t>
      </w:r>
      <w:r>
        <w:rPr>
          <w:rFonts w:hint="eastAsia"/>
          <w:color w:val="000000" w:themeColor="text1"/>
          <w14:textFill>
            <w14:solidFill>
              <w14:schemeClr w14:val="tx1"/>
            </w14:solidFill>
          </w14:textFill>
        </w:rPr>
        <w:t>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检测点应有代表性，容积较大的受限空间，应对上、中、下（左、中、右）各部位进行检测分析</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检测人员进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探入</w:t>
      </w:r>
      <w:r>
        <w:rPr>
          <w:color w:val="000000" w:themeColor="text1"/>
          <w14:textFill>
            <w14:solidFill>
              <w14:schemeClr w14:val="tx1"/>
            </w14:solidFill>
          </w14:textFill>
        </w:rPr>
        <w:t>受限空间检测时，应佩戴</w:t>
      </w:r>
      <w:r>
        <w:rPr>
          <w:rFonts w:hint="eastAsia"/>
          <w:color w:val="000000" w:themeColor="text1"/>
          <w14:textFill>
            <w14:solidFill>
              <w14:schemeClr w14:val="tx1"/>
            </w14:solidFill>
          </w14:textFill>
        </w:rPr>
        <w:t>符合</w:t>
      </w:r>
      <w:r>
        <w:rPr>
          <w:color w:val="000000" w:themeColor="text1"/>
          <w14:textFill>
            <w14:solidFill>
              <w14:schemeClr w14:val="tx1"/>
            </w14:solidFill>
          </w14:textFill>
        </w:rPr>
        <w:t>规定的个体防护装备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涂刷具有挥发性溶剂的涂料时，应采取强制通风措施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不应向受限空间充纯氧气或富氧空气</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作业中断时间超过60min时，应重新进行气体检测分析。</w:t>
      </w:r>
    </w:p>
    <w:p>
      <w:pPr>
        <w:rPr>
          <w:color w:val="000000" w:themeColor="text1"/>
          <w14:textFill>
            <w14:solidFill>
              <w14:schemeClr w14:val="tx1"/>
            </w14:solidFill>
          </w14:textFill>
        </w:rPr>
      </w:pPr>
      <w:bookmarkStart w:id="471" w:name="bookmark10"/>
      <w:bookmarkEnd w:id="471"/>
      <w:r>
        <w:rPr>
          <w:rFonts w:hint="eastAsia"/>
          <w:color w:val="000000" w:themeColor="text1"/>
          <w14:textFill>
            <w14:solidFill>
              <w14:schemeClr w14:val="tx1"/>
            </w14:solidFill>
          </w14:textFill>
        </w:rPr>
        <w:t>（4）</w:t>
      </w:r>
      <w:r>
        <w:rPr>
          <w:color w:val="000000" w:themeColor="text1"/>
          <w14:textFill>
            <w14:solidFill>
              <w14:schemeClr w14:val="tx1"/>
            </w14:solidFill>
          </w14:textFill>
        </w:rPr>
        <w:t>受限空间内气体检测内容及要求如下：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氧气含量为</w:t>
      </w:r>
      <w:r>
        <w:rPr>
          <w:rFonts w:hint="eastAsia"/>
          <w:color w:val="000000" w:themeColor="text1"/>
          <w14:textFill>
            <w14:solidFill>
              <w14:schemeClr w14:val="tx1"/>
            </w14:solidFill>
          </w14:textFill>
        </w:rPr>
        <w:t>19.5</w:t>
      </w:r>
      <w:r>
        <w:rPr>
          <w:color w:val="000000" w:themeColor="text1"/>
          <w14:textFill>
            <w14:solidFill>
              <w14:schemeClr w14:val="tx1"/>
            </w14:solidFill>
          </w14:textFill>
        </w:rPr>
        <w:t>%～2l%（体积分数），在富氧环境下不应大于23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5%（体积分数）</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有毒物质允许浓度应符合GBZ 2.1的规定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可燃气体、蒸气浓度要求应符合规定。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作业时，作业现场应配置移动式气体检测报警仪，连续检测受限空间内可燃气体、有毒气体及氧气浓度，并2h记录</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气体浓度超限报警时，应立即停止作业、撤离人员、对现场进行处理，重新检测合格后方可恢复作业。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受限空间作业人员应正确穿戴相应的个体防护装备。进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下列受限空间作业应采取如下防护措施：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缺氧或有毒的受限空间经清洗或置换仍达不到要求的，应佩戴满足GB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 xml:space="preserve"> 1</w:t>
      </w:r>
      <w:r>
        <w:rPr>
          <w:color w:val="000000" w:themeColor="text1"/>
          <w14:textFill>
            <w14:solidFill>
              <w14:schemeClr w14:val="tx1"/>
            </w14:solidFill>
          </w14:textFill>
        </w:rPr>
        <w:t>8664要求的隔绝式呼吸防护装备，并正确拴带救生绳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易燃易爆的受限空间经清洗或置换仍达不到要求的，应穿防静电工作服及工作鞋，使用防爆工器具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0" distR="0" simplePos="0" relativeHeight="251661312" behindDoc="1" locked="0" layoutInCell="1" allowOverlap="1">
                <wp:simplePos x="0" y="0"/>
                <wp:positionH relativeFrom="column">
                  <wp:posOffset>653415</wp:posOffset>
                </wp:positionH>
                <wp:positionV relativeFrom="paragraph">
                  <wp:posOffset>17145</wp:posOffset>
                </wp:positionV>
                <wp:extent cx="190500" cy="190500"/>
                <wp:effectExtent l="0" t="0" r="7620" b="7620"/>
                <wp:wrapNone/>
                <wp:docPr id="17" name="Rect 14"/>
                <wp:cNvGraphicFramePr/>
                <a:graphic xmlns:a="http://schemas.openxmlformats.org/drawingml/2006/main">
                  <a:graphicData uri="http://schemas.microsoft.com/office/word/2010/wordprocessingShape">
                    <wps:wsp>
                      <wps:cNvSpPr/>
                      <wps:spPr>
                        <a:xfrm>
                          <a:off x="653828" y="17147"/>
                          <a:ext cx="190500" cy="190500"/>
                        </a:xfrm>
                        <a:prstGeom prst="rect">
                          <a:avLst/>
                        </a:prstGeom>
                        <a:solidFill>
                          <a:srgbClr val="3CA4DD">
                            <a:alpha val="745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51.45pt;margin-top:1.35pt;height:15pt;width:15pt;z-index:-251655168;mso-width-relative:page;mso-height-relative:page;" fillcolor="#3CA4DD" filled="t" stroked="f" coordsize="21600,21600" o:gfxdata="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ueLstUAAAAIAQAADwAAAAAAAAABACAAAAAiAAAAZHJzL2Rvd25y&#10;ZXYueG1sUEsBAhQAFAAAAAgAh07iQOCcXBM6AgAAjAQAAA4AAAAAAAAAAQAgAAAAJAEAAGRycy9l&#10;Mm9Eb2MueG1sUEsFBgAAAAAGAAYAWQEAANAFAAAAAA==&#10;">
                <v:fill on="t" opacity="4882f" focussize="0,0"/>
                <v:stroke on="f" weight="0pt"/>
                <v:imagedata o:title=""/>
                <o:lock v:ext="edit" aspectratio="f"/>
                <v:textbox inset="0mm,0mm,0mm,0mm"/>
              </v:rect>
            </w:pict>
          </mc:Fallback>
        </mc:AlternateConten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在受限空间内从事电焊作业时，应穿绝缘鞋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有噪声产生的受限空间，应佩戴耳塞或耳罩等防噪声护具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）低温的受限空间，应穿戴低温防护用品，必要时采取供暖措施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在受限空间内从事清污作业，应佩戴隔绝式呼吸防护装备，并正确拴带救生绳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在受限空间内作业时，应配备相应的通信工具。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当一处受限空间存在动火作业时，该处受限空间内不应安排涂刷油漆、涂料等其他可能产生有毒有害、可燃物质的作业活动。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对监护人的特殊要求：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监护人应在受限空间外进行全程监护，不应在无任何防护措施的情况下</w:t>
      </w:r>
      <w:r>
        <w:rPr>
          <w:rFonts w:hint="eastAsia"/>
          <w:color w:val="000000" w:themeColor="text1"/>
          <w14:textFill>
            <w14:solidFill>
              <w14:schemeClr w14:val="tx1"/>
            </w14:solidFill>
          </w14:textFill>
        </w:rPr>
        <w:t>探入</w:t>
      </w:r>
      <w:r>
        <w:rPr>
          <w:color w:val="000000" w:themeColor="text1"/>
          <w14:textFill>
            <w14:solidFill>
              <w14:schemeClr w14:val="tx1"/>
            </w14:solidFill>
          </w14:textFill>
        </w:rPr>
        <w:t>或进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在风险较大的受限空间作业时，应增设监护人员，并随时与受限空间内作业人员保持联络</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监护人应对进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受限空间的人员及其携带的工器具种类、数量进行登记，作业完毕后再次进行清点，防止遗漏在受限空间内。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受限空间作业应满足的其他要求：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出入口</w:t>
      </w:r>
      <w:r>
        <w:rPr>
          <w:color w:val="000000" w:themeColor="text1"/>
          <w14:textFill>
            <w14:solidFill>
              <w14:schemeClr w14:val="tx1"/>
            </w14:solidFill>
          </w14:textFill>
        </w:rPr>
        <w:t>应保持畅通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作业人员不应携带与作业无关的物品进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作业中不应抛掷材料、工器具等物品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在有毒、缺氧环境下不应摘下防护面具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难度大、劳动强度大、时间长的受限空间作业应采取轮换作业方式</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接</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受限空间的电线、电缆、通气管应在进口处进行保护或加强绝缘，应避免与人员出</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使用同一</w:t>
      </w:r>
      <w:r>
        <w:rPr>
          <w:rFonts w:hint="eastAsia"/>
          <w:color w:val="000000" w:themeColor="text1"/>
          <w14:textFill>
            <w14:solidFill>
              <w14:schemeClr w14:val="tx1"/>
            </w14:solidFill>
          </w14:textFill>
        </w:rPr>
        <w:t>出入口；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作业期间发生异常情况时，未穿戴</w:t>
      </w:r>
      <w:r>
        <w:rPr>
          <w:rFonts w:hint="eastAsia"/>
          <w:color w:val="000000" w:themeColor="text1"/>
          <w14:textFill>
            <w14:solidFill>
              <w14:schemeClr w14:val="tx1"/>
            </w14:solidFill>
          </w14:textFill>
        </w:rPr>
        <w:t>规范</w:t>
      </w:r>
      <w:r>
        <w:rPr>
          <w:color w:val="000000" w:themeColor="text1"/>
          <w14:textFill>
            <w14:solidFill>
              <w14:schemeClr w14:val="tx1"/>
            </w14:solidFill>
          </w14:textFill>
        </w:rPr>
        <w:t>规定个体防护装备的人员严禁</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内救援</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停止作业期间，应在受限空间</w:t>
      </w:r>
      <w:r>
        <w:rPr>
          <w:rFonts w:hint="eastAsia"/>
          <w:color w:val="000000" w:themeColor="text1"/>
          <w14:textFill>
            <w14:solidFill>
              <w14:schemeClr w14:val="tx1"/>
            </w14:solidFill>
          </w14:textFill>
        </w:rPr>
        <w:t>入口</w:t>
      </w:r>
      <w:r>
        <w:rPr>
          <w:color w:val="000000" w:themeColor="text1"/>
          <w14:textFill>
            <w14:solidFill>
              <w14:schemeClr w14:val="tx1"/>
            </w14:solidFill>
          </w14:textFill>
        </w:rPr>
        <w:t>处增设警示标志，并采取防止人员误人的措施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作业结束后，应将工器具带出受限空间。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受限空间安全作业票有效期不应超过24h。</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高处作业安全对策措施及建议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1.高处作业人员应正确佩戴符合GB6095要求的安全带及符合GB24543要求的安全绳，30m以上高处作业应配备通信联络工具。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2.高处作业应设专人监护，作业人员不应在作业处休息。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3.应根据实际需要配备符合安全要求的作业平台，吊笼、梯子，挡脚板、跳板等；脚手架的搭设、拆除和使用应符合GB 51210等有关标准要求。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高处作业人员不应站在不牢固的结构物上进行作业；在彩钢板屋顶、石棉瓦、瓦棱板等轻型材料上作业，应铺设牢固的脚手板并加以固定，脚手板上要有防滑措施；不应在未固定、无防护设施的构件及管道上进行作业或通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5.在邻近排放有毒、有害气体的放空管线等场所进行作业时，应采取有效的安全防护措施，作业人员应配备必要的符合国家相关标准的防护装备（如隔绝式呼吸防护装备、过滤式防毒面具或口罩等）。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雨天和雪天作业时，应采取可靠的防滑、防寒措施；遇有五级风以上（含五级风），浓雾等恶劣天气，不应进行高处作业、露天攀登与悬空高处作业；暴风雪、台风，暴雨后，应对作业安全设施进行检查，发现问题立即处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7.作业使用的工具、材料、零件等应装入工具袋，上下时手中不应持物，不应投掷工具、材料及其他物品；易滑动，易滚动的工具、材料堆放在脚手架上时，应采取防坠落措施。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8.在同一坠落方向上，一般不应进行上下交叉作业，如需进行交叉作业，中间应设置安全防护层。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9.因作业需要，须临时拆除或变动作业对象的安全防护设施时，应经作业审批人员同意，并采取相应的防护措施，作业后应及时恢复。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10.拆除脚手架﹑防护棚时，应设警戒区并派专人监护，不应上下同时施工。</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临时用电安全对策措施及建议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在运行的火灾爆炸危险性生产装置、罐区和具有火灾爆炸危险场所内不应接临时电源，确需时应对周围环境进行可燃气体检测分析，分析结果应符合GB30871的规定。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各类移动电源及外部自备电源，不应</w:t>
      </w:r>
      <w:r>
        <w:rPr>
          <w:rFonts w:hint="eastAsia"/>
          <w:color w:val="000000" w:themeColor="text1"/>
          <w14:textFill>
            <w14:solidFill>
              <w14:schemeClr w14:val="tx1"/>
            </w14:solidFill>
          </w14:textFill>
        </w:rPr>
        <w:t>接入</w:t>
      </w:r>
      <w:r>
        <w:rPr>
          <w:color w:val="000000" w:themeColor="text1"/>
          <w14:textFill>
            <w14:solidFill>
              <w14:schemeClr w14:val="tx1"/>
            </w14:solidFill>
          </w14:textFill>
        </w:rPr>
        <w:t>电网。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在开关上接引、拆除临时用电线路时，其上级开关应断电、加锁，并挂安全警示标牌，接、拆线路作业时，应有监护人在场。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临时用电应设置保护开关，使用前应检查电气装置和保护设施的可靠性。所有的临时用电均应设置接地保护。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临时用电设备和线路应按供电电压等级和容量正确配置、使用，所用的电器元件应符合国家相关产品标准及作业现场环境要求，临时用电电源施工、安装应符合GB50194的有关要求，并有良好的接地。</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临时用电还应满足如下要求：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火灾爆炸危险场所应使用相应防爆等级的电气元件，并采取相应的防爆安全措施；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临时用电线路及设备应有良好的绝缘，所有的临时用电线路应采用耐压等级不低于500V的绝缘导线；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临时用电线路经过火灾爆炸危险场所以及有高温、振动、腐蚀、积水及产生机械损伤等区域，不应有接头，并应采取相应的保护措施；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临时用电架空线应采用绝缘铜芯线，并应架设在专用电杆或支架上，其最大弧垂与地面距离，在作业现场不低于2.5m，穿越机动车道不低于5m；</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沿墙面或地面敷设电缆线路应符合下列规定：</w:t>
      </w:r>
    </w:p>
    <w:p>
      <w:pPr>
        <w:rPr>
          <w:color w:val="000000" w:themeColor="text1"/>
          <w14:textFill>
            <w14:solidFill>
              <w14:schemeClr w14:val="tx1"/>
            </w14:solidFill>
          </w14:textFill>
        </w:rPr>
      </w:pPr>
      <w:r>
        <w:rPr>
          <w:color w:val="000000" w:themeColor="text1"/>
          <w14:textFill>
            <w14:solidFill>
              <w14:schemeClr w14:val="tx1"/>
            </w14:solidFill>
          </w14:textFill>
        </w:rPr>
        <w:t>—电缆线路敷设路径应有醒目的警告标志；</w:t>
      </w:r>
    </w:p>
    <w:p>
      <w:pPr>
        <w:rPr>
          <w:color w:val="000000" w:themeColor="text1"/>
          <w14:textFill>
            <w14:solidFill>
              <w14:schemeClr w14:val="tx1"/>
            </w14:solidFill>
          </w14:textFill>
        </w:rPr>
      </w:pPr>
      <w:r>
        <w:rPr>
          <w:color w:val="000000" w:themeColor="text1"/>
          <w14:textFill>
            <w14:solidFill>
              <w14:schemeClr w14:val="tx1"/>
            </w14:solidFill>
          </w14:textFill>
        </w:rPr>
        <w:t>—沿地面明敷的电缆线路应沿建筑物墙体根部敷设，穿越道路或其他易受机械损伤的区域，应采取防机械损伤的措施，周围环境应保持干燥；</w:t>
      </w:r>
    </w:p>
    <w:p>
      <w:pPr>
        <w:rPr>
          <w:color w:val="000000" w:themeColor="text1"/>
          <w14:textFill>
            <w14:solidFill>
              <w14:schemeClr w14:val="tx1"/>
            </w14:solidFill>
          </w14:textFill>
        </w:rPr>
      </w:pPr>
      <w:r>
        <w:rPr>
          <w:color w:val="000000" w:themeColor="text1"/>
          <w14:textFill>
            <w14:solidFill>
              <w14:schemeClr w14:val="tx1"/>
            </w14:solidFill>
          </w14:textFill>
        </w:rPr>
        <w:t>—在电缆敷设路径附近，当有产生明火的作业时，应采取防止火花损伤电缆的措施；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对需埋地敷设的电缆线路应设有走向标志和安全标志。电缆埋地深度不应小于0.7m，穿越道路时应加设防护套管；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现场临时用电配电盘、箱应有电压标志和危险标志，应有防雨措施，盘、箱、门应能牢靠关闭并上锁管理；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临时用电设施应安装符合规范要求的漏电保护器，移动工具、手持式电动工具应逐个配置漏电保护器和电源开关。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未经批准，临时用电单位不应向其他单位转供电或增加用电负荷，以及变更用电地点和用途。</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临时用电时间一般不超过15天，特殊情况不应超过30天；用于动火、受限空间作业的临时用电时间应和相应作业时间一致；用电结束后，用电单位应及时通知供电单位拆除临时用电线路。</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动火作业安全对策措施及建议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动火作业应有专人监护，作业前应清除动火现场及周围的易燃物品，或采取其他有效安全防火措施，并配备消防器材，满足作业现场应急需求。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凡在盛有或盛装过助燃或易燃易爆危险化学品的设备、管道等生产、储存设施及本文件规定的火灾爆炸危险场所中生产设备上的动火作业，应将上述设备设施与生产系统彻底断开或隔离，不应以水封或仅关闭阀门代替盲板作为隔断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拆除管线进行动火作业时，应先查明其内部介质危险特性、工艺条件及其走向，并根据所要拆除管线的情况制定安全防护措施。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动火点周围或其下方如有可燃物、电缆桥架、孔洞、</w:t>
      </w:r>
      <w:r>
        <w:rPr>
          <w:rFonts w:hint="eastAsia"/>
          <w:color w:val="000000" w:themeColor="text1"/>
          <w:lang w:val="en-US" w:eastAsia="zh-CN"/>
          <w14:textFill>
            <w14:solidFill>
              <w14:schemeClr w14:val="tx1"/>
            </w14:solidFill>
          </w14:textFill>
        </w:rPr>
        <w:t>窨</w:t>
      </w:r>
      <w:r>
        <w:rPr>
          <w:color w:val="000000" w:themeColor="text1"/>
          <w14:textFill>
            <w14:solidFill>
              <w14:schemeClr w14:val="tx1"/>
            </w14:solidFill>
          </w14:textFill>
        </w:rPr>
        <w:t>井、地沟等，应检查分析并采取清理或封盖等措施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对于动火点周围15m范围内有可能泄漏易燃、可燃物料的设备设施，应采取隔离措施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对于受热分解可产生易燃易爆、有毒有害物质的场所，应进行风险分析并采取清理或封盖等防护措施。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在有可燃物构件和使用可燃物做防腐内衬的设备内部进行动火作业时，应采取防火隔绝措施。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在作业过程中可能释放出易燃易爆、有毒有害物质的设备上或设备内部动火时，动火前应进行风险分析，并采取有效的防范措施，必要时应连续检测气体浓度，发现气体浓度超限报警时，应立即停止作业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在较长的物料管线上动火，动火前应在彻底隔绝区域内分段采样分析。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在罐区防火堤内进行动火作业时，不应同时进行切水、取样作业。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动火期间，距动火点30m内不应排放可燃气体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距动火点15m内不应排放可燃液体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在动火点10m范围内、动火点上方及下方不应同时进行可燃溶剂清洗或喷漆作业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在动火点10m范围内不应进行可燃性粉尘</w:t>
      </w:r>
      <w:r>
        <w:rPr>
          <w:rFonts w:hint="eastAsia"/>
          <w:color w:val="000000" w:themeColor="text1"/>
          <w14:textFill>
            <w14:solidFill>
              <w14:schemeClr w14:val="tx1"/>
            </w14:solidFill>
          </w14:textFill>
        </w:rPr>
        <w:t>、灰尘及杂物</w:t>
      </w:r>
      <w:r>
        <w:rPr>
          <w:color w:val="000000" w:themeColor="text1"/>
          <w14:textFill>
            <w14:solidFill>
              <w14:schemeClr w14:val="tx1"/>
            </w14:solidFill>
          </w14:textFill>
        </w:rPr>
        <w:t>清扫作业。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在厂内铁路沿线25m以内动火作业时，如遇装有危险化学品的火车通过或停留时，应立即停止作业。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特级动火作业应采集全过程作业影像，且作业现场使用的摄录设备应为防爆型。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使用电焊机作业时，电焊机与动火点的间距不应超过10m，不能满足要求时应将电焊机作为动火点进行管理。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使用气焊、气割动火作业时，乙炔瓶应直立放置，不应卧放使用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氧气瓶与乙炔瓶的间距不应小于5m，二者与动火点间距不应小于10m，并应采取防晒和防倾倒措施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乙炔瓶应安装防回火装置。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作业完毕后应清理现场，确认无残留火种后方可离开。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遇五级风以上（含五级风）天气，禁止露天动火作业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因生产确需动火，动火作业应升级管理。</w:t>
      </w:r>
    </w:p>
    <w:p>
      <w:pPr>
        <w:pStyle w:val="4"/>
        <w:ind w:firstLine="562"/>
        <w:rPr>
          <w:color w:val="000000" w:themeColor="text1"/>
          <w14:textFill>
            <w14:solidFill>
              <w14:schemeClr w14:val="tx1"/>
            </w14:solidFill>
          </w14:textFill>
        </w:rPr>
      </w:pPr>
      <w:bookmarkStart w:id="472" w:name="_Toc8419"/>
      <w:r>
        <w:rPr>
          <w:rFonts w:hint="eastAsia"/>
          <w:color w:val="000000" w:themeColor="text1"/>
          <w14:textFill>
            <w14:solidFill>
              <w14:schemeClr w14:val="tx1"/>
            </w14:solidFill>
          </w14:textFill>
        </w:rPr>
        <w:t>加油站油品卸油对策措施</w:t>
      </w:r>
      <w:bookmarkEnd w:id="47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1.基本要</w:t>
      </w:r>
      <w:r>
        <w:rPr>
          <w:color w:val="000000" w:themeColor="text1"/>
          <w14:textFill>
            <w14:solidFill>
              <w14:schemeClr w14:val="tx1"/>
            </w14:solidFill>
          </w14:textFill>
        </w:rPr>
        <w:t>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（1）应具备密闭卸油的条件。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（2）防雷﹑防静电接地设施应完好。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（3）油罐车排气管应安装阻火帽。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（4）卸油作业现场应至少配备2具手提式干粉灭火器和2块灭火毯等应急救援物资。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（5）油罐车宜采用液位差自流方式卸油。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（6）卸油作业区的辅助设施应具有防静电措施；进入卸油区作业的人员，应先通过具有报警功能的人体静电释放装置消除静电。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卸油</w:t>
      </w:r>
      <w:r>
        <w:rPr>
          <w:rFonts w:hint="eastAsia"/>
          <w:color w:val="000000" w:themeColor="text1"/>
          <w14:textFill>
            <w14:solidFill>
              <w14:schemeClr w14:val="tx1"/>
            </w14:solidFill>
          </w14:textFill>
        </w:rPr>
        <w:t>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（1）加油站人员应在确认油罐车无油品滴漏后，方可引导油罐车进入卸油作业区，油罐车在站内车速不应大于5km/h。</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（2）油罐车停于卸油停车位熄火并拉上手刹，车轮处宜放置与最大允许总质量和车轮尺寸相匹配的轮挡，车钥匙宜放置指定位置管控。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（3）卸油人员应将防静电跨接线连接到油罐车专用接地端，并确认接触良好。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（4）卸油作业现场应设置隔离警示标识。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（5）手提式灭火器宜摆放在距卸油口2m～3m处。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（6）应在油罐车静置进行静电释放5min后，方可进行计量，取样和卸油等相关作业。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（7）检查确认油罐计量孔密闭良好，汽油罐通气管上阀门应处于关闭状态，安装呼吸阀的通气管上阀门应处于开启状态。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（8）卸油前，应计量油罐的存油量，确认有足够的剩余容量，并核对罐车单据与油罐中油品的名称、牌号是否一致。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对油罐车进行人工取样时，人员应戴安全帽，应选用铝或铜等不发火花、不易积聚静电的器具；油样可通过卸油口回罐，不应从计量孔倒人。若人员在油罐车罐顶上取样，还应采取防坠落措施，并有人监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（10）卸油人员应按工艺流程将卸油软管和汽油油气回收软管与油罐车和埋地油罐紧密连接，保持卸油软管自然弯曲。</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（11）经双方检查确认具备开阀卸油条件后，将卸油口对应油罐进油阀门打开（卸汽油时先打开气路阀门），再缓慢开启油罐车卸油阀门。通过采取调节阀门开度等措施控制卸油流速不大于4.5m/s。</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（12）卸油作业过程中应有专人监护，油罐车驾驶员和押运员不应同时离开作业现场。无人监护时，应停止作业。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（13）卸油作业过程中，不应开启计量孔，不应修理，擦洗油罐车，不应鸣笛；使用器具时要轻拿轻放；与该罐连接且无防水杂措施的加油机应停止加油作业。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（14）卸油时若发生油料溅溢或其他影响卸油安全情况时，应立即停止作业并及时处理。若发生事故，应立即停止作业，并按应急预案进行应急处置。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（15）卸至软管内无油后，应做好以下工作：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a）关闭软管两端阀门；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b）拆除软管，将卸油接口的密封盖盖紧并加锁；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c）收回卸油软管和防静电跨接线，收存软管时不应抛摔，以防接头变形。</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（16）卸油结束后，卸油员应全面检查并确认状态正常，方可引导油罐车启动车辆，离站，并清理卸油现场，将应急器材放回原位。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卸油口未使用时应加锁。</w:t>
      </w:r>
    </w:p>
    <w:p>
      <w:pPr>
        <w:pStyle w:val="4"/>
        <w:ind w:firstLine="562"/>
        <w:rPr>
          <w:color w:val="000000" w:themeColor="text1"/>
          <w14:textFill>
            <w14:solidFill>
              <w14:schemeClr w14:val="tx1"/>
            </w14:solidFill>
          </w14:textFill>
        </w:rPr>
      </w:pPr>
      <w:bookmarkStart w:id="473" w:name="_Toc1088"/>
      <w:r>
        <w:rPr>
          <w:rFonts w:hint="eastAsia"/>
          <w:color w:val="000000" w:themeColor="text1"/>
          <w14:textFill>
            <w14:solidFill>
              <w14:schemeClr w14:val="tx1"/>
            </w14:solidFill>
          </w14:textFill>
        </w:rPr>
        <w:t>加油站油品储存对策措施</w:t>
      </w:r>
      <w:bookmarkEnd w:id="47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油品按种类分别储存在相应的油罐中</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油罐的通气管保证畅通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阻火器安全性能符合要求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罐区所有设施配置静电接地装置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且符合规范标准要求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进行定期检查、检测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油罐区配备消防器材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定期维护保养</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油罐区严禁烟火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动火作业必须办理动火作业许可证</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油罐区通道、出入口和通向消防设施的道路保持畅通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加强对员工安全作业的培训教育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并做到持证上岗</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做好相应的测量记录。</w:t>
      </w:r>
    </w:p>
    <w:p>
      <w:pPr>
        <w:pStyle w:val="4"/>
        <w:ind w:firstLine="562"/>
        <w:rPr>
          <w:color w:val="000000" w:themeColor="text1"/>
          <w14:textFill>
            <w14:solidFill>
              <w14:schemeClr w14:val="tx1"/>
            </w14:solidFill>
          </w14:textFill>
        </w:rPr>
      </w:pPr>
      <w:bookmarkStart w:id="474" w:name="_Toc21386"/>
      <w:r>
        <w:rPr>
          <w:rFonts w:hint="eastAsia"/>
          <w:color w:val="000000" w:themeColor="text1"/>
          <w14:textFill>
            <w14:solidFill>
              <w14:schemeClr w14:val="tx1"/>
            </w14:solidFill>
          </w14:textFill>
        </w:rPr>
        <w:t>加油站油品计量对策措施</w:t>
      </w:r>
      <w:bookmarkEnd w:id="47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（1）应采用电子液位计进行测量。人工计量时，应使用符合计量和安全要求的计量器具。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（2）油罐静态计量时，与该罐连接的给油设备应停止使用。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（3）卸油后，静置5 min后方可进行人工取样，测水和计量，人宜站在上风方向进行作业。对于汽油罐，若罐内正压，应先打开通气阀进行泄压后再打开量油帽，作业结束后，应及时复位。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（4）采用人工取样、计量、测水和测温时，工具应符合安全要求，工具上提速度不应大于0.5m/s，下落速度不应大于1m/s。</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（5）夜间测量油罐时应使用防爆型照明设备。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（6）编制油品计量安全操作规程，不断加强对员工安全作业的培训教育，并做到持证上岗；做好相应的测量记录。</w:t>
      </w:r>
    </w:p>
    <w:p>
      <w:pPr>
        <w:pStyle w:val="4"/>
        <w:ind w:firstLine="562"/>
        <w:rPr>
          <w:color w:val="000000" w:themeColor="text1"/>
          <w14:textFill>
            <w14:solidFill>
              <w14:schemeClr w14:val="tx1"/>
            </w14:solidFill>
          </w14:textFill>
        </w:rPr>
      </w:pPr>
      <w:bookmarkStart w:id="475" w:name="_Toc3008"/>
      <w:r>
        <w:rPr>
          <w:rFonts w:hint="eastAsia"/>
          <w:color w:val="000000" w:themeColor="text1"/>
          <w14:textFill>
            <w14:solidFill>
              <w14:schemeClr w14:val="tx1"/>
            </w14:solidFill>
          </w14:textFill>
        </w:rPr>
        <w:t>加油站加油对策措施</w:t>
      </w:r>
      <w:bookmarkEnd w:id="475"/>
    </w:p>
    <w:p>
      <w:pPr>
        <w:rPr>
          <w:color w:val="000000" w:themeColor="text1"/>
          <w14:textFill>
            <w14:solidFill>
              <w14:schemeClr w14:val="tx1"/>
            </w14:solidFill>
          </w14:textFill>
        </w:rPr>
      </w:pPr>
      <w:r>
        <w:rPr>
          <w:color w:val="000000" w:themeColor="text1"/>
          <w14:textFill>
            <w14:solidFill>
              <w14:schemeClr w14:val="tx1"/>
            </w14:solidFill>
          </w14:textFill>
        </w:rPr>
        <w:t>1.基本要求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（1）加油机附近应按GB 50156的要求配备灭火器和灭火毯。加油机爆炸危险区域内不应放置可燃性物品。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（2）不应在加油作业区外进行加油作业。不应向未采取防止静电积聚措施的绝缘性容器进行散装加注。客户不应操作非自助加油机。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具有自助加油功能的加油站应在营业室内设置紧急切断系统，在事故状态下迅速切断油泵电源，紧急切断系统应为故障安全型；加油站应通过加油机音频提示客户进行加油操作。自助加油机处宜采取静电检测等技术措施，提示客户在靠近油箱前先消除人体静电。</w:t>
      </w:r>
    </w:p>
    <w:p>
      <w:pPr>
        <w:rPr>
          <w:color w:val="000000" w:themeColor="text1"/>
          <w14:textFill>
            <w14:solidFill>
              <w14:schemeClr w14:val="tx1"/>
            </w14:solidFill>
          </w14:textFill>
        </w:rPr>
      </w:pPr>
      <w:r>
        <w:rPr>
          <w:color w:val="000000" w:themeColor="text1"/>
          <w14:textFill>
            <w14:solidFill>
              <w14:schemeClr w14:val="tx1"/>
            </w14:solidFill>
          </w14:textFill>
        </w:rPr>
        <w:t>2.加油</w:t>
      </w:r>
      <w:r>
        <w:rPr>
          <w:rFonts w:hint="eastAsia"/>
          <w:color w:val="000000" w:themeColor="text1"/>
          <w14:textFill>
            <w14:solidFill>
              <w14:schemeClr w14:val="tx1"/>
            </w14:solidFill>
          </w14:textFill>
        </w:rPr>
        <w:t>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（1）车辆驶人非自助加油站时，加油员宜主动引导车辆进入加油位置。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（2）加油作业前，加油员应确认车辆停稳、熄火；摩托车驾驶人和乘座人员应离开座位，并将车辆熄火，放置平稳；加油员与客户确认油品的名称和牌号等信息；应提示客户在靠近油箱口前先释放人体静电。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（3）加油枪应为自封式加油枪，汽油加油流量不应大于50L/min。</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（4）加油时应避免油料溅出，若发生油料滴漏、溢洒或影响加油作业安全的情况，应立即停止加油，并及时处理。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（5）加完油后，应立即将加油枪复位于加油机。</w:t>
      </w:r>
    </w:p>
    <w:p>
      <w:pPr>
        <w:pStyle w:val="4"/>
        <w:ind w:firstLine="562"/>
        <w:rPr>
          <w:color w:val="000000" w:themeColor="text1"/>
          <w14:textFill>
            <w14:solidFill>
              <w14:schemeClr w14:val="tx1"/>
            </w14:solidFill>
          </w14:textFill>
        </w:rPr>
      </w:pPr>
      <w:bookmarkStart w:id="476" w:name="_Toc31315"/>
      <w:r>
        <w:rPr>
          <w:rFonts w:hint="eastAsia"/>
          <w:color w:val="000000" w:themeColor="text1"/>
          <w14:textFill>
            <w14:solidFill>
              <w14:schemeClr w14:val="tx1"/>
            </w14:solidFill>
          </w14:textFill>
        </w:rPr>
        <w:t>劳动防护用品配备和使用建议</w:t>
      </w:r>
      <w:bookmarkEnd w:id="476"/>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.防护用品配备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加油站应当按照国家颁发的劳动防护用品配备标准以及有关规定，为从业人员配备劳动防护用品。</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.防护用品佩戴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从业人员在作业过程中，必须严格按照安全生产规章制度和劳动防护用品使用规则，正确佩戴和使用劳动防护用品；未按规定佩戴和使用劳动防护用品的，不得上岗作业。</w:t>
      </w:r>
    </w:p>
    <w:p>
      <w:pPr>
        <w:pStyle w:val="4"/>
        <w:ind w:firstLine="562"/>
        <w:rPr>
          <w:color w:val="000000" w:themeColor="text1"/>
          <w14:textFill>
            <w14:solidFill>
              <w14:schemeClr w14:val="tx1"/>
            </w14:solidFill>
          </w14:textFill>
        </w:rPr>
      </w:pPr>
      <w:bookmarkStart w:id="477" w:name="_Toc3242"/>
      <w:r>
        <w:rPr>
          <w:rFonts w:hint="eastAsia"/>
          <w:color w:val="000000" w:themeColor="text1"/>
          <w14:textFill>
            <w14:solidFill>
              <w14:schemeClr w14:val="tx1"/>
            </w14:solidFill>
          </w14:textFill>
        </w:rPr>
        <w:t>安全管理对策措施及建议</w:t>
      </w:r>
      <w:bookmarkEnd w:id="477"/>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.健全安全管理制度及安全操作规程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）健全安全经营责任制，明确各级各类人员安全职责。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）健全各种安全管理制度，使加油站的安全管理工作有据可依，有章可循。</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）按照岗位设置情况具体制订各岗位安全操作规程，规范作业人员操作行为。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）依据《云南省安全生产条例》完善安全生产责任制及配套的考核制度。</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.安全培训、教育和考核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）加油站主要负责人和安全生产管理人员必须具备相应的安全管理资格，并定期参加教育培训；</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定期对从业人员进行安全教育培训，包括新进员工的教育培训，搞好新职工的安全教育与培训，建设一支注重安全、懂得安全、保证安全的经营职工队伍。落实员工的安全技术培训、岗位技能培训、新工人（含临时工）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三级安全教育</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，保证员工具备必要的安全生产知识，熟悉有关的安全经营规章制度和安全操作规程，掌握本岗位的安全操作技能。主要技术骨干和操作人员在同类企业进行培训，经严格考试后方可上岗；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）制定职工安全教育年度培训计划；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）加油站人员宜全员进行消防培训。</w:t>
      </w:r>
    </w:p>
    <w:p>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.事故应急预案</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根据相关法律法规规定，有下列情形之一的，需重新修订预案：</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（1）有关法律、法规、规章、标准、上位预案中的有关规定发生变化的；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（2）应急指挥机构及职责发生重大调整的；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（3）面临的风险发生重大变化的；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（4）重要应急资源发生重大变化的；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（5）预案中的其他重要信息发生变化的；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（6）在突发事件实际应对和应急演练中发现需要作出重大调整的事项；</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（7）应急预案编制单位认为应修订的其他情况。</w:t>
      </w:r>
    </w:p>
    <w:p>
      <w:pPr>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.日常安全管理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）在雨季应及时抽排油罐区积水。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（2）定期对加油机等设施检测，加强对储存设施、消防器材的维护、保养。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（3）加强安全管理人员的培训，实行安全员跟班作业，进行安全生产教育和员工的岗位技能培训，提高员工的安全意识；当人员有变动后应对其相应的材料进行整理，把已不在此岗位的人名姓名进行相应变更。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（4）加强作业现场管理，杜绝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行为。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（5）严格按照操作规程进行清罐作业。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加强经常性的安全教育培训，提高全体员工的安全意识。针对本站实际，安全教育内容至少包括以下内容：深入理解危险化学品标识提供的信息；了解重点部位、管理要求及一旦发生事故进行处理和救援的程序和办法；认真学习各项安全管理制度，包括安全生产责任制，安全生产规章制度、岗位安全操作规程，事故应急救援预案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（7）加强对收、储、发油设施的安全检查和维护，确保设施完好。对消防设施和器材要定期检查，以免失效。对防雷设施要按照规定，定期请检测中心检测。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（8）结合工作实际，不断总结、完善各项安全管理规章制度和规范，适时修订，以确保安全管理质量和水平的提高。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（9）加强站区地面油污的清洁工作。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）严禁向塑料桶内加油，严禁加油员之外的其他外来人员进行加油、卸油操作。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）汽油属于特别管控危险化学品，应按照特别管控危险化学品的相关要求加强汽油储存、销售管理。</w:t>
      </w:r>
    </w:p>
    <w:p>
      <w:pPr>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.建立安全专项资金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将安全投入资金单独列项，建立安全专项资金，从根本上保证安全资金的来源。</w:t>
      </w:r>
    </w:p>
    <w:p>
      <w:pPr>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.购买保险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为从业人员购买工伤保险，为从业人员办理意外伤害险。</w:t>
      </w:r>
    </w:p>
    <w:p>
      <w:pPr>
        <w:pStyle w:val="4"/>
        <w:ind w:firstLine="562"/>
        <w:rPr>
          <w:color w:val="000000" w:themeColor="text1"/>
          <w14:textFill>
            <w14:solidFill>
              <w14:schemeClr w14:val="tx1"/>
            </w14:solidFill>
          </w14:textFill>
        </w:rPr>
      </w:pPr>
      <w:bookmarkStart w:id="478" w:name="_Toc4194"/>
      <w:r>
        <w:rPr>
          <w:rFonts w:hint="eastAsia"/>
          <w:color w:val="000000" w:themeColor="text1"/>
          <w14:textFill>
            <w14:solidFill>
              <w14:schemeClr w14:val="tx1"/>
            </w14:solidFill>
          </w14:textFill>
        </w:rPr>
        <w:t>加油站设备设施安全对策措施和建议</w:t>
      </w:r>
      <w:bookmarkEnd w:id="47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加油站定期维护紧急切断系统，紧急切断系统应在加油现场工作人员容易接近的位置或在控制室、值班室内设置启动开关。紧急切断系统应只能手动复位。</w:t>
      </w:r>
    </w:p>
    <w:p>
      <w:pPr>
        <w:pStyle w:val="4"/>
        <w:ind w:firstLine="562"/>
        <w:rPr>
          <w:color w:val="000000" w:themeColor="text1"/>
          <w14:textFill>
            <w14:solidFill>
              <w14:schemeClr w14:val="tx1"/>
            </w14:solidFill>
          </w14:textFill>
        </w:rPr>
      </w:pPr>
      <w:bookmarkStart w:id="479" w:name="_Toc5679"/>
      <w:r>
        <w:rPr>
          <w:rFonts w:hint="eastAsia"/>
          <w:color w:val="000000" w:themeColor="text1"/>
          <w14:textFill>
            <w14:solidFill>
              <w14:schemeClr w14:val="tx1"/>
            </w14:solidFill>
          </w14:textFill>
        </w:rPr>
        <w:t>重点监管及特别管控危险化学品对策措施和建议</w:t>
      </w:r>
      <w:bookmarkEnd w:id="47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1.一般要求</w:t>
      </w:r>
    </w:p>
    <w:p>
      <w:pPr>
        <w:rPr>
          <w:color w:val="000000" w:themeColor="text1"/>
          <w14:textFill>
            <w14:solidFill>
              <w14:schemeClr w14:val="tx1"/>
            </w14:solidFill>
          </w14:textFill>
        </w:rPr>
      </w:pPr>
      <w:r>
        <w:rPr>
          <w:color w:val="000000" w:themeColor="text1"/>
          <w14:textFill>
            <w14:solidFill>
              <w14:schemeClr w14:val="tx1"/>
            </w14:solidFill>
          </w14:textFill>
        </w:rPr>
        <w:t>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熟练掌握操作技能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具备应急处置知识。</w:t>
      </w:r>
    </w:p>
    <w:p>
      <w:pPr>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防止泄漏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工作场所全面通风。远离火种、热源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工作场所严禁吸烟。配备易燃气体泄漏监测报警仪</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使用防爆型通风系统和设备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配备两套以上重型防护服。操作人员穿防静电工作服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戴耐油橡胶手套。</w:t>
      </w:r>
    </w:p>
    <w:p>
      <w:pPr>
        <w:rPr>
          <w:color w:val="000000" w:themeColor="text1"/>
          <w14:textFill>
            <w14:solidFill>
              <w14:schemeClr w14:val="tx1"/>
            </w14:solidFill>
          </w14:textFill>
        </w:rPr>
      </w:pPr>
      <w:r>
        <w:rPr>
          <w:color w:val="000000" w:themeColor="text1"/>
          <w14:textFill>
            <w14:solidFill>
              <w14:schemeClr w14:val="tx1"/>
            </w14:solidFill>
          </w14:textFill>
        </w:rPr>
        <w:t>储存区域设置安全警示标志。灌装时控制流速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且有</w:t>
      </w:r>
      <w:r>
        <w:rPr>
          <w:rFonts w:hint="eastAsia"/>
          <w:color w:val="000000" w:themeColor="text1"/>
          <w14:textFill>
            <w14:solidFill>
              <w14:schemeClr w14:val="tx1"/>
            </w14:solidFill>
          </w14:textFill>
        </w:rPr>
        <w:t>良好的</w:t>
      </w:r>
      <w:r>
        <w:rPr>
          <w:color w:val="000000" w:themeColor="text1"/>
          <w14:textFill>
            <w14:solidFill>
              <w14:schemeClr w14:val="tx1"/>
            </w14:solidFill>
          </w14:textFill>
        </w:rPr>
        <w:t>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操作安全</w:t>
      </w:r>
    </w:p>
    <w:p>
      <w:pPr>
        <w:rPr>
          <w:color w:val="000000" w:themeColor="text1"/>
          <w14:textFill>
            <w14:solidFill>
              <w14:schemeClr w14:val="tx1"/>
            </w14:solidFill>
          </w14:textFill>
        </w:rPr>
      </w:pPr>
      <w:r>
        <w:rPr>
          <w:color w:val="000000" w:themeColor="text1"/>
          <w14:textFill>
            <w14:solidFill>
              <w14:schemeClr w14:val="tx1"/>
            </w14:solidFill>
          </w14:textFill>
        </w:rPr>
        <w:t>（1）油罐</w:t>
      </w:r>
      <w:r>
        <w:rPr>
          <w:rFonts w:hint="eastAsia"/>
          <w:color w:val="000000" w:themeColor="text1"/>
          <w14:textFill>
            <w14:solidFill>
              <w14:schemeClr w14:val="tx1"/>
            </w14:solidFill>
          </w14:textFill>
        </w:rPr>
        <w:t>及卸油点</w:t>
      </w:r>
      <w:r>
        <w:rPr>
          <w:color w:val="000000" w:themeColor="text1"/>
          <w14:textFill>
            <w14:solidFill>
              <w14:schemeClr w14:val="tx1"/>
            </w14:solidFill>
          </w14:textFill>
        </w:rPr>
        <w:t>附近严禁烟火。禁止将汽油与其他易燃物放在一起。</w:t>
      </w:r>
    </w:p>
    <w:p>
      <w:pPr>
        <w:rPr>
          <w:color w:val="000000" w:themeColor="text1"/>
          <w14:textFill>
            <w14:solidFill>
              <w14:schemeClr w14:val="tx1"/>
            </w14:solidFill>
          </w14:textFill>
        </w:rPr>
      </w:pPr>
      <w:r>
        <w:rPr>
          <w:color w:val="000000" w:themeColor="text1"/>
          <w14:textFill>
            <w14:solidFill>
              <w14:schemeClr w14:val="tx1"/>
            </w14:solidFill>
          </w14:textFill>
        </w:rPr>
        <w:t>（2）往油罐或油罐汽车装油时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输油管要插入油面以下或接近罐的底部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以减少油料的冲击和与空气的摩擦。不</w:t>
      </w:r>
      <w:r>
        <w:rPr>
          <w:rFonts w:hint="eastAsia"/>
          <w:color w:val="000000" w:themeColor="text1"/>
          <w14:textFill>
            <w14:solidFill>
              <w14:schemeClr w14:val="tx1"/>
            </w14:solidFill>
          </w14:textFill>
        </w:rPr>
        <w:t>能</w:t>
      </w:r>
      <w:r>
        <w:rPr>
          <w:color w:val="000000" w:themeColor="text1"/>
          <w14:textFill>
            <w14:solidFill>
              <w14:schemeClr w14:val="tx1"/>
            </w14:solidFill>
          </w14:textFill>
        </w:rPr>
        <w:t>用铁器工具敲击汽油桶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特别是空汽油桶更危险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桶内充满汽油与空气的混合气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而且经常处于爆炸极限之内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一遇明火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就能引起爆炸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（3）存汽油地点附近严禁检修车辆。</w:t>
      </w:r>
    </w:p>
    <w:p>
      <w:pP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）注意操作场所的通风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使油蒸气容易逸散。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3.储存安全</w:t>
      </w:r>
    </w:p>
    <w:p>
      <w:pPr>
        <w:rPr>
          <w:color w:val="000000" w:themeColor="text1"/>
          <w14:textFill>
            <w14:solidFill>
              <w14:schemeClr w14:val="tx1"/>
            </w14:solidFill>
          </w14:textFill>
        </w:rPr>
      </w:pPr>
      <w:r>
        <w:rPr>
          <w:color w:val="000000" w:themeColor="text1"/>
          <w14:textFill>
            <w14:solidFill>
              <w14:schemeClr w14:val="tx1"/>
            </w14:solidFill>
          </w14:textFill>
        </w:rPr>
        <w:t>采用防爆型照明、通风设施。禁止使用易产生火花的机械设备和工具。储存区应备有泄漏应急处理设备和合适的收容材料。罐储时要有防火防爆</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技术措施。</w:t>
      </w:r>
      <w:bookmarkStart w:id="480" w:name="_Toc258574859"/>
      <w:bookmarkStart w:id="481" w:name="_Toc19517677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4.运输安全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运输车辆应有危险货物运输标志、安装具有行驶记录功能的卫星定位装置。未经公安机关批准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运输车辆不得进入限制通行的区域。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汽油装于专用的槽车内运输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槽车应定期清理。运送汽油的油罐汽车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必须有导静电拖线。对有每分钟0.5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以上的快速装卸油设备的油罐汽车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在装卸油时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除了保证铁链接地外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更要将车上油罐的接地线插入地下并不得浅于100mm。运输时运输车辆应配备相应品种和数量的消防器材。装运该物品的车辆排气管必须配备阻火装置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禁止使用易产生火花的机械设备和工具装卸。汽车槽罐内可设孔隔板以减少</w:t>
      </w:r>
      <w:r>
        <w:rPr>
          <w:rFonts w:hint="eastAsia"/>
          <w:color w:val="000000" w:themeColor="text1"/>
          <w14:textFill>
            <w14:solidFill>
              <w14:schemeClr w14:val="tx1"/>
            </w14:solidFill>
          </w14:textFill>
        </w:rPr>
        <w:t>振荡</w:t>
      </w:r>
      <w:r>
        <w:rPr>
          <w:color w:val="000000" w:themeColor="text1"/>
          <w14:textFill>
            <w14:solidFill>
              <w14:schemeClr w14:val="tx1"/>
            </w14:solidFill>
          </w14:textFill>
        </w:rPr>
        <w:t>产生静电。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夏季最好早晚运输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、防雨淋、防高温。中途停留时应远离火种、热源、高温区及人口密集地段。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汽油应急处置原则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【急救措施】</w:t>
      </w:r>
    </w:p>
    <w:p>
      <w:pPr>
        <w:rPr>
          <w:color w:val="000000" w:themeColor="text1"/>
          <w14:textFill>
            <w14:solidFill>
              <w14:schemeClr w14:val="tx1"/>
            </w14:solidFill>
          </w14:textFill>
        </w:rPr>
      </w:pPr>
      <w:r>
        <w:rPr>
          <w:color w:val="000000" w:themeColor="text1"/>
          <w14:textFill>
            <w14:solidFill>
              <w14:schemeClr w14:val="tx1"/>
            </w14:solidFill>
          </w14:textFill>
        </w:rPr>
        <w:t>吸入：迅速脱离现场至空气新鲜处。保持呼吸道通畅。如呼吸困难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p>
      <w:pPr>
        <w:rPr>
          <w:color w:val="000000" w:themeColor="text1"/>
          <w14:textFill>
            <w14:solidFill>
              <w14:schemeClr w14:val="tx1"/>
            </w14:solidFill>
          </w14:textFill>
        </w:rPr>
      </w:pPr>
      <w:r>
        <w:rPr>
          <w:color w:val="000000" w:themeColor="text1"/>
          <w14:textFill>
            <w14:solidFill>
              <w14:schemeClr w14:val="tx1"/>
            </w14:solidFill>
          </w14:textFill>
        </w:rPr>
        <w:t>食入：给饮牛奶或用植物油洗胃和灌肠。就医。</w:t>
      </w:r>
    </w:p>
    <w:p>
      <w:pPr>
        <w:rPr>
          <w:color w:val="000000" w:themeColor="text1"/>
          <w14:textFill>
            <w14:solidFill>
              <w14:schemeClr w14:val="tx1"/>
            </w14:solidFill>
          </w14:textFill>
        </w:rPr>
      </w:pPr>
      <w:r>
        <w:rPr>
          <w:color w:val="000000" w:themeColor="text1"/>
          <w14:textFill>
            <w14:solidFill>
              <w14:schemeClr w14:val="tx1"/>
            </w14:solidFill>
          </w14:textFill>
        </w:rPr>
        <w:t>皮肤接触：立即脱去污染的衣着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p>
      <w:pPr>
        <w:rPr>
          <w:color w:val="000000" w:themeColor="text1"/>
          <w14:textFill>
            <w14:solidFill>
              <w14:schemeClr w14:val="tx1"/>
            </w14:solidFill>
          </w14:textFill>
        </w:rPr>
      </w:pPr>
      <w:r>
        <w:rPr>
          <w:color w:val="000000" w:themeColor="text1"/>
          <w14:textFill>
            <w14:solidFill>
              <w14:schemeClr w14:val="tx1"/>
            </w14:solidFill>
          </w14:textFill>
        </w:rPr>
        <w:t>眼睛接触：立即提起眼睑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用大量流动清水或生理盐水彻底冲洗至少15</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。就医。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【灭火方法】</w:t>
      </w:r>
    </w:p>
    <w:p>
      <w:pPr>
        <w:rPr>
          <w:color w:val="000000" w:themeColor="text1"/>
          <w14:textFill>
            <w14:solidFill>
              <w14:schemeClr w14:val="tx1"/>
            </w14:solidFill>
          </w14:textFill>
        </w:rPr>
      </w:pPr>
      <w:r>
        <w:rPr>
          <w:color w:val="000000" w:themeColor="text1"/>
          <w14:textFill>
            <w14:solidFill>
              <w14:schemeClr w14:val="tx1"/>
            </w14:solidFill>
          </w14:textFill>
        </w:rPr>
        <w:t>喷水冷却容器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尽可能将容器从火场移至空旷处。</w:t>
      </w:r>
    </w:p>
    <w:p>
      <w:pPr>
        <w:rPr>
          <w:color w:val="000000" w:themeColor="text1"/>
          <w14:textFill>
            <w14:solidFill>
              <w14:schemeClr w14:val="tx1"/>
            </w14:solidFill>
          </w14:textFill>
        </w:rPr>
      </w:pPr>
      <w:r>
        <w:rPr>
          <w:color w:val="000000" w:themeColor="text1"/>
          <w14:textFill>
            <w14:solidFill>
              <w14:schemeClr w14:val="tx1"/>
            </w14:solidFill>
          </w14:textFill>
        </w:rPr>
        <w:t>灭火剂：泡沫、干粉、二氧化碳。用水灭火无效。</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【泄漏应急处置】</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color w:val="000000" w:themeColor="text1"/>
          <w14:textFill>
            <w14:solidFill>
              <w14:schemeClr w14:val="tx1"/>
            </w14:solidFill>
          </w14:textFill>
        </w:rPr>
        <w:t>消除所有点火源。根据液体流动和蒸气扩散的影响区域划定警戒区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无关人员从侧风、上风向撤离至安全区。建议应急处理人员戴正压自给式空气呼吸器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穿防毒、防静电服。作业时使用的所有设备应接地。禁止接触或跨越泄漏物。尽可能切断泄漏源。防止泄漏物进入水体、下水道、地下室或密闭性空间。小量泄漏：用</w:t>
      </w:r>
      <w:r>
        <w:rPr>
          <w:rFonts w:hint="eastAsia"/>
          <w:color w:val="000000" w:themeColor="text1"/>
          <w14:textFill>
            <w14:solidFill>
              <w14:schemeClr w14:val="tx1"/>
            </w14:solidFill>
          </w14:textFill>
        </w:rPr>
        <w:t>沙土</w:t>
      </w:r>
      <w:r>
        <w:rPr>
          <w:color w:val="000000" w:themeColor="text1"/>
          <w14:textFill>
            <w14:solidFill>
              <w14:schemeClr w14:val="tx1"/>
            </w14:solidFill>
          </w14:textFill>
        </w:rPr>
        <w:t>或其它不燃材料吸收。使用洁净的无火花工具收集吸收材料。大量泄漏：构筑围堤或挖坑收容。用泡沫覆盖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减少蒸发。喷水雾能减少蒸发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但不能降低泄漏物在受限制空间内的易燃性。用防爆泵转移至槽车或专用收集器内。</w:t>
      </w:r>
    </w:p>
    <w:p>
      <w:pPr>
        <w:pStyle w:val="2"/>
        <w:spacing w:before="193" w:after="193"/>
        <w:rPr>
          <w:color w:val="000000" w:themeColor="text1"/>
          <w14:textFill>
            <w14:solidFill>
              <w14:schemeClr w14:val="tx1"/>
            </w14:solidFill>
          </w14:textFill>
        </w:rPr>
      </w:pPr>
      <w:bookmarkStart w:id="482" w:name="_Toc20058"/>
      <w:r>
        <w:rPr>
          <w:rFonts w:hint="eastAsia"/>
          <w:color w:val="000000" w:themeColor="text1"/>
          <w14:textFill>
            <w14:solidFill>
              <w14:schemeClr w14:val="tx1"/>
            </w14:solidFill>
          </w14:textFill>
        </w:rPr>
        <w:t>评价结论</w:t>
      </w:r>
      <w:bookmarkEnd w:id="480"/>
      <w:bookmarkEnd w:id="481"/>
      <w:bookmarkEnd w:id="482"/>
    </w:p>
    <w:p>
      <w:pPr>
        <w:pStyle w:val="3"/>
        <w:rPr>
          <w:color w:val="000000" w:themeColor="text1"/>
          <w14:textFill>
            <w14:solidFill>
              <w14:schemeClr w14:val="tx1"/>
            </w14:solidFill>
          </w14:textFill>
        </w:rPr>
      </w:pPr>
      <w:bookmarkStart w:id="483" w:name="_Toc5074"/>
      <w:bookmarkStart w:id="484" w:name="_Toc258574860"/>
      <w:bookmarkStart w:id="485" w:name="_Toc195176777"/>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存在的危险、有害因素及其危险危害程度</w:t>
      </w:r>
      <w:bookmarkEnd w:id="483"/>
      <w:bookmarkEnd w:id="484"/>
    </w:p>
    <w:p>
      <w:pPr>
        <w:pStyle w:val="45"/>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通过对加油站危险有害因素分析结果和预先危险性分析过程（定性分析危险、有害程度）表明，该加油站涉及的危险化学品主要为汽油和柴油，涉及的主要危险有害因素有火灾爆炸、触电、坍塌、车辆伤害、中毒、窒息、受限空间作业、高处坠落和雷击危险性等。其中，火灾爆炸、坍塌的危险性等级为Ⅳ级，窒息、车辆伤害、触电、中毒、高处坠落、机械伤害的危险性等级为III级。</w:t>
      </w:r>
    </w:p>
    <w:p>
      <w:pPr>
        <w:pStyle w:val="3"/>
        <w:rPr>
          <w:color w:val="000000" w:themeColor="text1"/>
          <w14:textFill>
            <w14:solidFill>
              <w14:schemeClr w14:val="tx1"/>
            </w14:solidFill>
          </w14:textFill>
        </w:rPr>
      </w:pPr>
      <w:bookmarkStart w:id="486" w:name="_Toc258574862"/>
      <w:bookmarkStart w:id="487" w:name="_Toc22899"/>
      <w:r>
        <w:rPr>
          <w:rFonts w:hint="eastAsia"/>
          <w:color w:val="000000" w:themeColor="text1"/>
          <w14:textFill>
            <w14:solidFill>
              <w14:schemeClr w14:val="tx1"/>
            </w14:solidFill>
          </w14:textFill>
        </w:rPr>
        <w:t>各单元评价</w:t>
      </w:r>
      <w:bookmarkEnd w:id="486"/>
      <w:r>
        <w:rPr>
          <w:rFonts w:hint="eastAsia"/>
          <w:color w:val="000000" w:themeColor="text1"/>
          <w14:textFill>
            <w14:solidFill>
              <w14:schemeClr w14:val="tx1"/>
            </w14:solidFill>
          </w14:textFill>
        </w:rPr>
        <w:t>综述</w:t>
      </w:r>
      <w:bookmarkEnd w:id="487"/>
    </w:p>
    <w:p>
      <w:pPr>
        <w:rPr>
          <w:color w:val="000000" w:themeColor="text1"/>
          <w14:textFill>
            <w14:solidFill>
              <w14:schemeClr w14:val="tx1"/>
            </w14:solidFill>
          </w14:textFill>
        </w:rPr>
      </w:pPr>
      <w:r>
        <w:rPr>
          <w:color w:val="000000" w:themeColor="text1"/>
          <w14:textFill>
            <w14:solidFill>
              <w14:schemeClr w14:val="tx1"/>
            </w14:solidFill>
          </w14:textFill>
        </w:rPr>
        <w:t>根据上述安全评价结果和国家现行有关安全生产法律、法规和部门规章及标准的规定和要求</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形成如下评价结论：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外部安全条件单元：该加油站周边环境对加油站的影响在可接受范围内，所在地的自然条件对加油站运行的影响在可接受和可控制的范围内。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平面布置单元：</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合理，功能设置分区划分明确，总体布置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工艺及设施单元：加油站采用的技术为国内成熟的加油工艺，油罐采用埋地设置，采用潜油泵供油工艺，设置有汽油加油油气回收系统和卸油油气回收系统。设备的安全、可靠性均能满足加油站的正常经营要求。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公用工程单元：该加油站采用外接电源供电，加油站的供排水、供配电均能够满足加油站正常经营的要求。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安全设施单元：该加油站设置的安全设施符合《汽车加油加气加氢站技术标准》（GB50156-2021）的要求。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安全管理单元：该加油站建立了相应的安全管理组织，制定了相应的安全管理规章制度。应急预案已备案，配备的救援器材满足加油站应急救援的需要。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重大事故隐患分析评价单元：通过检查分析，该加油站现阶段无重大生产安全事故隐患。</w:t>
      </w:r>
    </w:p>
    <w:p>
      <w:pPr>
        <w:pStyle w:val="3"/>
        <w:rPr>
          <w:color w:val="000000" w:themeColor="text1"/>
          <w14:textFill>
            <w14:solidFill>
              <w14:schemeClr w14:val="tx1"/>
            </w14:solidFill>
          </w14:textFill>
        </w:rPr>
      </w:pPr>
      <w:bookmarkStart w:id="488" w:name="_Toc26274"/>
      <w:bookmarkStart w:id="489" w:name="_Toc258574861"/>
      <w:bookmarkStart w:id="490" w:name="_Toc258574863"/>
      <w:r>
        <w:rPr>
          <w:rFonts w:hint="eastAsia"/>
          <w:color w:val="000000" w:themeColor="text1"/>
          <w14:textFill>
            <w14:solidFill>
              <w14:schemeClr w14:val="tx1"/>
            </w14:solidFill>
          </w14:textFill>
        </w:rPr>
        <w:t>应重视的危险有害因素</w:t>
      </w:r>
      <w:bookmarkEnd w:id="488"/>
      <w:bookmarkEnd w:id="489"/>
    </w:p>
    <w:p>
      <w:pP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丘北县树皮路顺加油站</w:t>
      </w:r>
      <w:r>
        <w:rPr>
          <w:rFonts w:hint="eastAsia"/>
          <w:color w:val="000000" w:themeColor="text1"/>
          <w14:textFill>
            <w14:solidFill>
              <w14:schemeClr w14:val="tx1"/>
            </w14:solidFill>
          </w14:textFill>
        </w:rPr>
        <w:t>应重视的危险、有害因素是火灾、爆炸。该加油站经营的汽油为国家首批重点监管及特别管控的危险化学品，应按要求采取相应的安全对策措施，确保油品经营的安全。</w:t>
      </w:r>
    </w:p>
    <w:p>
      <w:pPr>
        <w:pStyle w:val="3"/>
        <w:rPr>
          <w:color w:val="000000" w:themeColor="text1"/>
          <w14:textFill>
            <w14:solidFill>
              <w14:schemeClr w14:val="tx1"/>
            </w14:solidFill>
          </w14:textFill>
        </w:rPr>
      </w:pPr>
      <w:bookmarkStart w:id="491" w:name="_Toc1106"/>
      <w:r>
        <w:rPr>
          <w:rFonts w:hint="eastAsia"/>
          <w:color w:val="000000" w:themeColor="text1"/>
          <w14:textFill>
            <w14:solidFill>
              <w14:schemeClr w14:val="tx1"/>
            </w14:solidFill>
          </w14:textFill>
        </w:rPr>
        <w:t>应重视的安全对策措施及建议</w:t>
      </w:r>
      <w:bookmarkEnd w:id="49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（1）防火、防爆安全对策措施及建议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（2）电气系统安全对策措施及建议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（3）防雷、防静电安全对策措施及建议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（4）特殊作业安全对策措施及建议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（5）劳动防护用品配备和使用建议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（7）加油站设备设施安全对策措施和建议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（8）重点监管及特别管控危险化学品对策措施和建议</w:t>
      </w:r>
    </w:p>
    <w:p>
      <w:pPr>
        <w:pStyle w:val="3"/>
        <w:rPr>
          <w:color w:val="000000" w:themeColor="text1"/>
          <w14:textFill>
            <w14:solidFill>
              <w14:schemeClr w14:val="tx1"/>
            </w14:solidFill>
          </w14:textFill>
        </w:rPr>
      </w:pPr>
      <w:bookmarkStart w:id="492" w:name="_Toc32060"/>
      <w:r>
        <w:rPr>
          <w:rFonts w:hint="eastAsia"/>
          <w:color w:val="000000" w:themeColor="text1"/>
          <w14:textFill>
            <w14:solidFill>
              <w14:schemeClr w14:val="tx1"/>
            </w14:solidFill>
          </w14:textFill>
        </w:rPr>
        <w:t>评价结论</w:t>
      </w:r>
      <w:bookmarkEnd w:id="490"/>
      <w:bookmarkEnd w:id="49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通过对加油站外部安全条件、加油站平面布置、加油站工艺及设施、公用工程、安全设施、安全管理等方面的综合分析评价，评价组认为：</w:t>
      </w:r>
    </w:p>
    <w:p>
      <w:pPr>
        <w:rPr>
          <w:b/>
          <w:bCs/>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加油站与周边环境设施、加油站内部设备设施的安全距离满足规范要求；加油站的平面布置合理，采用的工艺系统及设备设施</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现行标准和规范要求，加油站的公用工程能够满足加油站安全运行需求；加油站的安全管理机构设置合理、安全管理规章制度符合加油站实际要求，安全生产保障系统运作有效。</w:t>
      </w:r>
      <w:r>
        <w:rPr>
          <w:rFonts w:hint="eastAsia"/>
          <w:b/>
          <w:bCs/>
          <w:color w:val="000000" w:themeColor="text1"/>
          <w:lang w:eastAsia="zh-CN"/>
          <w14:textFill>
            <w14:solidFill>
              <w14:schemeClr w14:val="tx1"/>
            </w14:solidFill>
          </w14:textFill>
        </w:rPr>
        <w:t>丘北县树皮路顺加油站</w:t>
      </w:r>
      <w:r>
        <w:rPr>
          <w:rFonts w:hint="eastAsia"/>
          <w:b/>
          <w:bCs/>
          <w:color w:val="000000" w:themeColor="text1"/>
          <w14:textFill>
            <w14:solidFill>
              <w14:schemeClr w14:val="tx1"/>
            </w14:solidFill>
          </w14:textFill>
        </w:rPr>
        <w:t>符合国家现行安全生产相关的法律、法规及技术标准的要求，</w:t>
      </w:r>
      <w:r>
        <w:rPr>
          <w:b/>
          <w:bCs/>
          <w:color w:val="000000" w:themeColor="text1"/>
          <w14:textFill>
            <w14:solidFill>
              <w14:schemeClr w14:val="tx1"/>
            </w14:solidFill>
          </w14:textFill>
        </w:rPr>
        <w:t>具备安全</w:t>
      </w:r>
      <w:r>
        <w:rPr>
          <w:rFonts w:hint="eastAsia"/>
          <w:b/>
          <w:bCs/>
          <w:color w:val="000000" w:themeColor="text1"/>
          <w14:textFill>
            <w14:solidFill>
              <w14:schemeClr w14:val="tx1"/>
            </w14:solidFill>
          </w14:textFill>
        </w:rPr>
        <w:t>经营</w:t>
      </w:r>
      <w:r>
        <w:rPr>
          <w:b/>
          <w:bCs/>
          <w:color w:val="000000" w:themeColor="text1"/>
          <w14:textFill>
            <w14:solidFill>
              <w14:schemeClr w14:val="tx1"/>
            </w14:solidFill>
          </w14:textFill>
        </w:rPr>
        <w:t>的条件</w:t>
      </w:r>
      <w:r>
        <w:rPr>
          <w:rFonts w:hint="eastAsia"/>
          <w:b/>
          <w:bCs/>
          <w:color w:val="000000" w:themeColor="text1"/>
          <w14:textFill>
            <w14:solidFill>
              <w14:schemeClr w14:val="tx1"/>
            </w14:solidFill>
          </w14:textFill>
        </w:rPr>
        <w:t>。</w:t>
      </w:r>
    </w:p>
    <w:bookmarkEnd w:id="485"/>
    <w:p>
      <w:pPr>
        <w:pStyle w:val="2"/>
        <w:spacing w:before="193" w:after="193"/>
        <w:rPr>
          <w:color w:val="000000" w:themeColor="text1"/>
          <w14:textFill>
            <w14:solidFill>
              <w14:schemeClr w14:val="tx1"/>
            </w14:solidFill>
          </w14:textFill>
        </w:rPr>
      </w:pPr>
      <w:bookmarkStart w:id="493" w:name="_Toc30591"/>
      <w:bookmarkStart w:id="494" w:name="_Toc8947"/>
      <w:bookmarkStart w:id="495" w:name="_Toc258574864"/>
      <w:bookmarkStart w:id="496" w:name="_Toc195176780"/>
      <w:r>
        <w:rPr>
          <w:rFonts w:hint="eastAsia"/>
          <w:color w:val="000000" w:themeColor="text1"/>
          <w14:textFill>
            <w14:solidFill>
              <w14:schemeClr w14:val="tx1"/>
            </w14:solidFill>
          </w14:textFill>
        </w:rPr>
        <w:t>与建设单位交换意见的情况</w:t>
      </w:r>
      <w:bookmarkEnd w:id="493"/>
      <w:bookmarkEnd w:id="49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通过评价组成员对建设项目提供的资料进行认真分析及对现场实地勘查，评价组认为目前该项目选择工艺设备，消防、供配电、防雷等设施设备符合规范要求。</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同时，针对项目的相关资料文件及现场勘查情况，评价组提出了相应的安全对策措施及建议，建设单位对评价组提出的意见可以接受，并进行落实。</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企业应当严格按照标准化工作要求持续运行、改进，每年</w:t>
      </w:r>
      <w:r>
        <w:rPr>
          <w:rFonts w:hint="eastAsia"/>
          <w:color w:val="000000" w:themeColor="text1"/>
          <w:lang w:val="en-US" w:eastAsia="zh-CN"/>
          <w14:textFill>
            <w14:solidFill>
              <w14:schemeClr w14:val="tx1"/>
            </w14:solidFill>
          </w14:textFill>
        </w:rPr>
        <w:t>进行1次自评，及时整改存在的问题，形成自评报告，向属地应急管理部门报备，并提交至安全生产标准化信息管理系统。</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2.企业在经营过程中应不断完善安全管理制度，如应急值班制度</w:t>
      </w:r>
      <w:bookmarkEnd w:id="9"/>
      <w:bookmarkEnd w:id="10"/>
      <w:bookmarkEnd w:id="11"/>
      <w:bookmarkEnd w:id="12"/>
      <w:bookmarkEnd w:id="13"/>
      <w:bookmarkEnd w:id="14"/>
      <w:bookmarkEnd w:id="15"/>
      <w:bookmarkEnd w:id="16"/>
      <w:bookmarkEnd w:id="17"/>
      <w:bookmarkEnd w:id="18"/>
      <w:bookmarkEnd w:id="19"/>
      <w:bookmarkEnd w:id="20"/>
      <w:bookmarkEnd w:id="21"/>
      <w:bookmarkEnd w:id="495"/>
      <w:bookmarkEnd w:id="496"/>
      <w:r>
        <w:rPr>
          <w:rFonts w:hint="eastAsia"/>
          <w:color w:val="000000" w:themeColor="text1"/>
          <w:lang w:val="en-US" w:eastAsia="zh-CN"/>
          <w14:textFill>
            <w14:solidFill>
              <w14:schemeClr w14:val="tx1"/>
            </w14:solidFill>
          </w14:textFill>
        </w:rPr>
        <w:t>。</w:t>
      </w:r>
    </w:p>
    <w:sectPr>
      <w:pgSz w:w="11905" w:h="16838"/>
      <w:pgMar w:top="1417" w:right="1134" w:bottom="1134" w:left="1587" w:header="850" w:footer="850" w:gutter="0"/>
      <w:cols w:space="0" w:num="1"/>
      <w:docGrid w:type="linesAndChar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jc w:val="both"/>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0" cy="2286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7785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Bdr>
                              <w:top w:val="none" w:color="auto" w:sz="0" w:space="1"/>
                            </w:pBdr>
                            <w:ind w:firstLine="42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pt;width:45.5pt;mso-position-horizontal:center;mso-position-horizontal-relative:margin;z-index:251660288;mso-width-relative:page;mso-height-relative:page;" filled="f" stroked="f" coordsize="21600,21600" o:gfxdata="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xkGrSAAAAAwEAAA8AAAAAAAAAAQAgAAAAIgAAAGRycy9kb3ducmV2LnhtbFBLAQIU&#10;ABQAAAAIAIdO4kD73h4xMgIAAFcEAAAOAAAAAAAAAAEAIAAAACEBAABkcnMvZTJvRG9jLnhtbFBL&#10;BQYAAAAABgAGAFkBAADFBQAAAAA=&#10;">
              <v:fill on="f" focussize="0,0"/>
              <v:stroke on="f" weight="0.5pt"/>
              <v:imagedata o:title=""/>
              <o:lock v:ext="edit" aspectratio="f"/>
              <v:textbox inset="0mm,0mm,0mm,0mm">
                <w:txbxContent>
                  <w:p>
                    <w:pPr>
                      <w:pStyle w:val="23"/>
                      <w:pBdr>
                        <w:top w:val="none" w:color="auto" w:sz="0" w:space="1"/>
                      </w:pBdr>
                      <w:ind w:firstLine="42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252"/>
        <w:tab w:val="clear" w:pos="4153"/>
      </w:tabs>
      <w:ind w:firstLine="420"/>
      <w:jc w:val="both"/>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93065"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0.95pt;mso-position-horizontal:center;mso-position-horizontal-relative:margin;z-index:251660288;mso-width-relative:page;mso-height-relative:page;" filled="f" stroked="f" coordsize="21600,21600" o:gfxdata="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hMoT0wAAAAQBAAAPAAAAAAAAAAEAIAAAACIAAABkcnMvZG93bnJldi54bWxQ&#10;SwECFAAUAAAACACHTuJApGI5KjUCAABYBAAADgAAAAAAAAABACAAAAAiAQAAZHJzL2Uyb0RvYy54&#10;bWxQSwUGAAAAAAYABgBZAQAAyQUAAAAA&#10;">
              <v:fill on="f" focussize="0,0"/>
              <v:stroke on="f" weight="0.5pt"/>
              <v:imagedata o:title=""/>
              <o:lock v:ext="edit" aspectratio="f"/>
              <v:textbox inset="0mm,0mm,0mm,0mm" style="mso-fit-shape-to-text:t;">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r>
      <w:rPr>
        <w:rFonts w:hint="eastAsia"/>
        <w:szCs w:val="21"/>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252"/>
        <w:tab w:val="clear" w:pos="4153"/>
      </w:tabs>
      <w:ind w:firstLine="0" w:firstLineChars="0"/>
      <w:jc w:val="both"/>
      <w:rPr>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9306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0.95pt;mso-position-horizontal:center;mso-position-horizontal-relative:margin;z-index:251661312;mso-width-relative:page;mso-height-relative:page;" filled="f" stroked="f" coordsize="21600,21600" o:gfxdata="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oTKE9MAAAAEAQAADwAAAAAAAAABACAAAAAiAAAAZHJzL2Rvd25yZXYueG1sUEsB&#10;AhQAFAAAAAgAh07iQL7x4N0zAgAAVgQAAA4AAAAAAAAAAQAgAAAAIgEAAGRycy9lMm9Eb2MueG1s&#10;UEsFBgAAAAAGAAYAWQEAAMcFAAAAAA==&#10;">
              <v:fill on="f" focussize="0,0"/>
              <v:stroke on="f" weight="0.5pt"/>
              <v:imagedata o:title=""/>
              <o:lock v:ext="edit" aspectratio="f"/>
              <v:textbox inset="0mm,0mm,0mm,0mm" style="mso-fit-shape-to-text:t;">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1"/>
      </w:pBdr>
      <w:ind w:firstLine="420"/>
    </w:pPr>
    <w:r>
      <w:rPr>
        <w:rFonts w:hint="eastAsia"/>
        <w:lang w:eastAsia="zh-CN"/>
      </w:rPr>
      <w:t>丘北县树皮路顺加油站</w:t>
    </w:r>
    <w:r>
      <w:rPr>
        <w:rFonts w:hint="eastAsia"/>
      </w:rPr>
      <w:t>安全现状评价报告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2C4EB"/>
    <w:multiLevelType w:val="singleLevel"/>
    <w:tmpl w:val="89E2C4EB"/>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23D67C8B"/>
    <w:multiLevelType w:val="multilevel"/>
    <w:tmpl w:val="23D67C8B"/>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25C540E4"/>
    <w:multiLevelType w:val="multilevel"/>
    <w:tmpl w:val="25C540E4"/>
    <w:lvl w:ilvl="0" w:tentative="0">
      <w:start w:val="1"/>
      <w:numFmt w:val="decimal"/>
      <w:lvlText w:val="%1."/>
      <w:lvlJc w:val="left"/>
      <w:pPr>
        <w:tabs>
          <w:tab w:val="left" w:pos="1049"/>
        </w:tabs>
        <w:ind w:left="78"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41C32576"/>
    <w:multiLevelType w:val="multilevel"/>
    <w:tmpl w:val="41C32576"/>
    <w:lvl w:ilvl="0" w:tentative="0">
      <w:start w:val="1"/>
      <w:numFmt w:val="decimal"/>
      <w:pStyle w:val="2"/>
      <w:lvlText w:val="第%1章"/>
      <w:lvlJc w:val="center"/>
      <w:pPr>
        <w:tabs>
          <w:tab w:val="left" w:pos="992"/>
        </w:tabs>
        <w:ind w:left="0" w:firstLine="0"/>
      </w:pPr>
      <w:rPr>
        <w:rFonts w:hint="eastAsia"/>
      </w:rPr>
    </w:lvl>
    <w:lvl w:ilvl="1" w:tentative="0">
      <w:start w:val="1"/>
      <w:numFmt w:val="decimal"/>
      <w:pStyle w:val="3"/>
      <w:lvlText w:val="%1.%2"/>
      <w:lvlJc w:val="left"/>
      <w:pPr>
        <w:tabs>
          <w:tab w:val="left" w:pos="851"/>
        </w:tabs>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481626DF"/>
    <w:multiLevelType w:val="multilevel"/>
    <w:tmpl w:val="481626DF"/>
    <w:lvl w:ilvl="0" w:tentative="0">
      <w:start w:val="1"/>
      <w:numFmt w:val="decimal"/>
      <w:lvlText w:val="%1."/>
      <w:lvlJc w:val="left"/>
      <w:pPr>
        <w:tabs>
          <w:tab w:val="left" w:pos="1049"/>
        </w:tabs>
        <w:ind w:left="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56862591"/>
    <w:multiLevelType w:val="multilevel"/>
    <w:tmpl w:val="56862591"/>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
    <w:nsid w:val="568625A0"/>
    <w:multiLevelType w:val="multilevel"/>
    <w:tmpl w:val="568625A0"/>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68EA2BA5"/>
    <w:multiLevelType w:val="multilevel"/>
    <w:tmpl w:val="68EA2BA5"/>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4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7A6C652E"/>
    <w:multiLevelType w:val="multilevel"/>
    <w:tmpl w:val="7A6C652E"/>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
    <w:nsid w:val="7FB2335A"/>
    <w:multiLevelType w:val="multilevel"/>
    <w:tmpl w:val="7FB2335A"/>
    <w:lvl w:ilvl="0" w:tentative="0">
      <w:start w:val="1"/>
      <w:numFmt w:val="decimal"/>
      <w:lvlText w:val="%1."/>
      <w:lvlJc w:val="left"/>
      <w:pPr>
        <w:tabs>
          <w:tab w:val="left" w:pos="1049"/>
        </w:tabs>
        <w:ind w:left="2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3"/>
  </w:num>
  <w:num w:numId="2">
    <w:abstractNumId w:val="0"/>
  </w:num>
  <w:num w:numId="3">
    <w:abstractNumId w:val="8"/>
  </w:num>
  <w:num w:numId="4">
    <w:abstractNumId w:val="7"/>
  </w:num>
  <w:num w:numId="5">
    <w:abstractNumId w:val="9"/>
  </w:num>
  <w:num w:numId="6">
    <w:abstractNumId w:val="5"/>
  </w:num>
  <w:num w:numId="7">
    <w:abstractNumId w:val="1"/>
  </w:num>
  <w:num w:numId="8">
    <w:abstractNumId w:val="6"/>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mOGFkZTIzNDM2N2JkNGVhMDAwZDM2YTNlNDk1YzMifQ=="/>
  </w:docVars>
  <w:rsids>
    <w:rsidRoot w:val="00B861E5"/>
    <w:rsid w:val="000012C3"/>
    <w:rsid w:val="000040C7"/>
    <w:rsid w:val="00006DF3"/>
    <w:rsid w:val="000100C0"/>
    <w:rsid w:val="000155E3"/>
    <w:rsid w:val="00016ED8"/>
    <w:rsid w:val="00025848"/>
    <w:rsid w:val="00027424"/>
    <w:rsid w:val="0003138B"/>
    <w:rsid w:val="00031921"/>
    <w:rsid w:val="00053DD0"/>
    <w:rsid w:val="00056DD8"/>
    <w:rsid w:val="00063796"/>
    <w:rsid w:val="00064929"/>
    <w:rsid w:val="000706E2"/>
    <w:rsid w:val="000748A4"/>
    <w:rsid w:val="000776F7"/>
    <w:rsid w:val="00084FD1"/>
    <w:rsid w:val="00093617"/>
    <w:rsid w:val="000A4667"/>
    <w:rsid w:val="000A4910"/>
    <w:rsid w:val="000A58E7"/>
    <w:rsid w:val="000A5E0A"/>
    <w:rsid w:val="000A7FE2"/>
    <w:rsid w:val="000B09EA"/>
    <w:rsid w:val="000B1A0E"/>
    <w:rsid w:val="000B238F"/>
    <w:rsid w:val="000B675B"/>
    <w:rsid w:val="000B70D2"/>
    <w:rsid w:val="000B7321"/>
    <w:rsid w:val="000D06CA"/>
    <w:rsid w:val="000D226D"/>
    <w:rsid w:val="000D384B"/>
    <w:rsid w:val="000E14E6"/>
    <w:rsid w:val="000E3B97"/>
    <w:rsid w:val="000E7F4A"/>
    <w:rsid w:val="000F0C24"/>
    <w:rsid w:val="000F122A"/>
    <w:rsid w:val="000F39B4"/>
    <w:rsid w:val="000F54A5"/>
    <w:rsid w:val="000F70F9"/>
    <w:rsid w:val="001030E8"/>
    <w:rsid w:val="00103540"/>
    <w:rsid w:val="00113238"/>
    <w:rsid w:val="00114385"/>
    <w:rsid w:val="00115BE5"/>
    <w:rsid w:val="00116399"/>
    <w:rsid w:val="00121E93"/>
    <w:rsid w:val="00126B86"/>
    <w:rsid w:val="00131228"/>
    <w:rsid w:val="00132B6B"/>
    <w:rsid w:val="00136D59"/>
    <w:rsid w:val="00142699"/>
    <w:rsid w:val="00157036"/>
    <w:rsid w:val="00165596"/>
    <w:rsid w:val="0017327D"/>
    <w:rsid w:val="001733DB"/>
    <w:rsid w:val="00176686"/>
    <w:rsid w:val="0017755E"/>
    <w:rsid w:val="00180F7A"/>
    <w:rsid w:val="00181BBD"/>
    <w:rsid w:val="00182895"/>
    <w:rsid w:val="001850CB"/>
    <w:rsid w:val="00194560"/>
    <w:rsid w:val="00196347"/>
    <w:rsid w:val="001A0392"/>
    <w:rsid w:val="001A049C"/>
    <w:rsid w:val="001A10BA"/>
    <w:rsid w:val="001A37C1"/>
    <w:rsid w:val="001A42A0"/>
    <w:rsid w:val="001A43AC"/>
    <w:rsid w:val="001B0CFB"/>
    <w:rsid w:val="001B0E36"/>
    <w:rsid w:val="001B2031"/>
    <w:rsid w:val="001B500B"/>
    <w:rsid w:val="001B5AE7"/>
    <w:rsid w:val="001B5B2F"/>
    <w:rsid w:val="001B68E4"/>
    <w:rsid w:val="001B69AB"/>
    <w:rsid w:val="001B69D0"/>
    <w:rsid w:val="001C19F2"/>
    <w:rsid w:val="001C27A1"/>
    <w:rsid w:val="001D024F"/>
    <w:rsid w:val="001D09F4"/>
    <w:rsid w:val="001D4324"/>
    <w:rsid w:val="001D6853"/>
    <w:rsid w:val="001D6BB5"/>
    <w:rsid w:val="001D6BFC"/>
    <w:rsid w:val="001E2639"/>
    <w:rsid w:val="001E29F5"/>
    <w:rsid w:val="001E3FEC"/>
    <w:rsid w:val="001E7810"/>
    <w:rsid w:val="001F04A4"/>
    <w:rsid w:val="001F2195"/>
    <w:rsid w:val="001F2BCE"/>
    <w:rsid w:val="00201A41"/>
    <w:rsid w:val="0020297B"/>
    <w:rsid w:val="0020386D"/>
    <w:rsid w:val="00206CE4"/>
    <w:rsid w:val="002071C3"/>
    <w:rsid w:val="00210814"/>
    <w:rsid w:val="00210887"/>
    <w:rsid w:val="00220FAC"/>
    <w:rsid w:val="00222A9A"/>
    <w:rsid w:val="00222B1F"/>
    <w:rsid w:val="00245739"/>
    <w:rsid w:val="00254857"/>
    <w:rsid w:val="00262C23"/>
    <w:rsid w:val="00264A79"/>
    <w:rsid w:val="002657C9"/>
    <w:rsid w:val="002676D1"/>
    <w:rsid w:val="00272CD7"/>
    <w:rsid w:val="00272F5C"/>
    <w:rsid w:val="00273177"/>
    <w:rsid w:val="002757FC"/>
    <w:rsid w:val="00277AA6"/>
    <w:rsid w:val="0028310B"/>
    <w:rsid w:val="002841DC"/>
    <w:rsid w:val="00286B6A"/>
    <w:rsid w:val="00290655"/>
    <w:rsid w:val="00294BB1"/>
    <w:rsid w:val="002A14ED"/>
    <w:rsid w:val="002A4D2E"/>
    <w:rsid w:val="002A7B4E"/>
    <w:rsid w:val="002B107A"/>
    <w:rsid w:val="002B560B"/>
    <w:rsid w:val="002B7BFA"/>
    <w:rsid w:val="002C28FB"/>
    <w:rsid w:val="002C4FAF"/>
    <w:rsid w:val="002D7815"/>
    <w:rsid w:val="002E27F8"/>
    <w:rsid w:val="002E510E"/>
    <w:rsid w:val="002F625D"/>
    <w:rsid w:val="00302C28"/>
    <w:rsid w:val="003035E0"/>
    <w:rsid w:val="00303F00"/>
    <w:rsid w:val="00303F4F"/>
    <w:rsid w:val="003046E3"/>
    <w:rsid w:val="00305B5C"/>
    <w:rsid w:val="00306232"/>
    <w:rsid w:val="003064D7"/>
    <w:rsid w:val="00316E52"/>
    <w:rsid w:val="003229DF"/>
    <w:rsid w:val="00323A26"/>
    <w:rsid w:val="003246D6"/>
    <w:rsid w:val="0032507F"/>
    <w:rsid w:val="00326D0E"/>
    <w:rsid w:val="00327E57"/>
    <w:rsid w:val="003305FC"/>
    <w:rsid w:val="00330644"/>
    <w:rsid w:val="003315F4"/>
    <w:rsid w:val="003322A4"/>
    <w:rsid w:val="00334CD9"/>
    <w:rsid w:val="00337DB5"/>
    <w:rsid w:val="00346DCD"/>
    <w:rsid w:val="00350B40"/>
    <w:rsid w:val="00350C32"/>
    <w:rsid w:val="0035153A"/>
    <w:rsid w:val="00351D56"/>
    <w:rsid w:val="0035301F"/>
    <w:rsid w:val="00356DD7"/>
    <w:rsid w:val="00357F8C"/>
    <w:rsid w:val="0036034E"/>
    <w:rsid w:val="00360DF2"/>
    <w:rsid w:val="00365052"/>
    <w:rsid w:val="00365474"/>
    <w:rsid w:val="00366377"/>
    <w:rsid w:val="00366EB0"/>
    <w:rsid w:val="00371ABF"/>
    <w:rsid w:val="0037575A"/>
    <w:rsid w:val="00377550"/>
    <w:rsid w:val="00381661"/>
    <w:rsid w:val="003843D5"/>
    <w:rsid w:val="0038542F"/>
    <w:rsid w:val="00385ED5"/>
    <w:rsid w:val="00395CEC"/>
    <w:rsid w:val="00395DF8"/>
    <w:rsid w:val="00396112"/>
    <w:rsid w:val="003969B6"/>
    <w:rsid w:val="00396AD1"/>
    <w:rsid w:val="003A5882"/>
    <w:rsid w:val="003A682F"/>
    <w:rsid w:val="003B5847"/>
    <w:rsid w:val="003C2449"/>
    <w:rsid w:val="003C708C"/>
    <w:rsid w:val="003D15DD"/>
    <w:rsid w:val="003D19AD"/>
    <w:rsid w:val="003D401C"/>
    <w:rsid w:val="003D6728"/>
    <w:rsid w:val="003E5DF8"/>
    <w:rsid w:val="003E7546"/>
    <w:rsid w:val="003E7B61"/>
    <w:rsid w:val="003F3B9F"/>
    <w:rsid w:val="003F508F"/>
    <w:rsid w:val="003F7BB2"/>
    <w:rsid w:val="00402D81"/>
    <w:rsid w:val="00403929"/>
    <w:rsid w:val="004065AF"/>
    <w:rsid w:val="004138BC"/>
    <w:rsid w:val="00414110"/>
    <w:rsid w:val="00415565"/>
    <w:rsid w:val="0041601D"/>
    <w:rsid w:val="0041697F"/>
    <w:rsid w:val="004210C6"/>
    <w:rsid w:val="00430337"/>
    <w:rsid w:val="00434291"/>
    <w:rsid w:val="00455AC8"/>
    <w:rsid w:val="004608D6"/>
    <w:rsid w:val="00462FB1"/>
    <w:rsid w:val="004668AC"/>
    <w:rsid w:val="00470942"/>
    <w:rsid w:val="00474BEE"/>
    <w:rsid w:val="00477065"/>
    <w:rsid w:val="00477B8F"/>
    <w:rsid w:val="00480097"/>
    <w:rsid w:val="004838B8"/>
    <w:rsid w:val="00486AE0"/>
    <w:rsid w:val="00487B37"/>
    <w:rsid w:val="00491387"/>
    <w:rsid w:val="00491BCF"/>
    <w:rsid w:val="0049591C"/>
    <w:rsid w:val="004A5402"/>
    <w:rsid w:val="004A55B2"/>
    <w:rsid w:val="004A55C8"/>
    <w:rsid w:val="004A5669"/>
    <w:rsid w:val="004A56D7"/>
    <w:rsid w:val="004A727D"/>
    <w:rsid w:val="004B530E"/>
    <w:rsid w:val="004B7FA2"/>
    <w:rsid w:val="004C212A"/>
    <w:rsid w:val="004C2739"/>
    <w:rsid w:val="004C36B9"/>
    <w:rsid w:val="004C7E20"/>
    <w:rsid w:val="004D03BF"/>
    <w:rsid w:val="004D202D"/>
    <w:rsid w:val="004D2631"/>
    <w:rsid w:val="004D2F86"/>
    <w:rsid w:val="004D3377"/>
    <w:rsid w:val="004D516E"/>
    <w:rsid w:val="004D6996"/>
    <w:rsid w:val="004D7839"/>
    <w:rsid w:val="004E04F3"/>
    <w:rsid w:val="004E1B44"/>
    <w:rsid w:val="004E3189"/>
    <w:rsid w:val="004E49CC"/>
    <w:rsid w:val="004E4EA9"/>
    <w:rsid w:val="004E6FE2"/>
    <w:rsid w:val="004F7BFD"/>
    <w:rsid w:val="00500D1C"/>
    <w:rsid w:val="00510943"/>
    <w:rsid w:val="00516180"/>
    <w:rsid w:val="005200EF"/>
    <w:rsid w:val="00523AF1"/>
    <w:rsid w:val="00525E05"/>
    <w:rsid w:val="00525FDA"/>
    <w:rsid w:val="0053007D"/>
    <w:rsid w:val="0053255D"/>
    <w:rsid w:val="00535F7E"/>
    <w:rsid w:val="0053663D"/>
    <w:rsid w:val="005404B3"/>
    <w:rsid w:val="00542D18"/>
    <w:rsid w:val="00542FFA"/>
    <w:rsid w:val="0054498A"/>
    <w:rsid w:val="00557214"/>
    <w:rsid w:val="0056104B"/>
    <w:rsid w:val="00562684"/>
    <w:rsid w:val="00571A02"/>
    <w:rsid w:val="00573722"/>
    <w:rsid w:val="00574DB0"/>
    <w:rsid w:val="005805DC"/>
    <w:rsid w:val="00581AB8"/>
    <w:rsid w:val="005838E3"/>
    <w:rsid w:val="00584F19"/>
    <w:rsid w:val="0058698A"/>
    <w:rsid w:val="005A0707"/>
    <w:rsid w:val="005A19F6"/>
    <w:rsid w:val="005A30EA"/>
    <w:rsid w:val="005A432C"/>
    <w:rsid w:val="005A6F47"/>
    <w:rsid w:val="005B1704"/>
    <w:rsid w:val="005B67C3"/>
    <w:rsid w:val="005C067C"/>
    <w:rsid w:val="005C3DF2"/>
    <w:rsid w:val="005C4BD6"/>
    <w:rsid w:val="005D067D"/>
    <w:rsid w:val="005D27C4"/>
    <w:rsid w:val="005D2D88"/>
    <w:rsid w:val="005D4432"/>
    <w:rsid w:val="005E3401"/>
    <w:rsid w:val="005E4BE9"/>
    <w:rsid w:val="005F01E0"/>
    <w:rsid w:val="005F0CAE"/>
    <w:rsid w:val="005F10DB"/>
    <w:rsid w:val="005F1F09"/>
    <w:rsid w:val="005F6E8E"/>
    <w:rsid w:val="00603637"/>
    <w:rsid w:val="006044D7"/>
    <w:rsid w:val="00606037"/>
    <w:rsid w:val="006064CC"/>
    <w:rsid w:val="00611207"/>
    <w:rsid w:val="0061432E"/>
    <w:rsid w:val="0062215E"/>
    <w:rsid w:val="006267A8"/>
    <w:rsid w:val="006326A0"/>
    <w:rsid w:val="006355A9"/>
    <w:rsid w:val="00637B3B"/>
    <w:rsid w:val="00640898"/>
    <w:rsid w:val="00646B1F"/>
    <w:rsid w:val="00652223"/>
    <w:rsid w:val="00653704"/>
    <w:rsid w:val="00653D3A"/>
    <w:rsid w:val="00655E9C"/>
    <w:rsid w:val="00664AF0"/>
    <w:rsid w:val="0066590E"/>
    <w:rsid w:val="006713FA"/>
    <w:rsid w:val="00673A0B"/>
    <w:rsid w:val="00673E65"/>
    <w:rsid w:val="00674746"/>
    <w:rsid w:val="0067643A"/>
    <w:rsid w:val="00686BA8"/>
    <w:rsid w:val="006915E6"/>
    <w:rsid w:val="00696DB1"/>
    <w:rsid w:val="006A21FA"/>
    <w:rsid w:val="006A4EAB"/>
    <w:rsid w:val="006A6CF1"/>
    <w:rsid w:val="006B7807"/>
    <w:rsid w:val="006C172B"/>
    <w:rsid w:val="006C1B79"/>
    <w:rsid w:val="006C2195"/>
    <w:rsid w:val="006C27AF"/>
    <w:rsid w:val="006C4AA0"/>
    <w:rsid w:val="006D41A0"/>
    <w:rsid w:val="006E0D06"/>
    <w:rsid w:val="006E1202"/>
    <w:rsid w:val="006E2FD3"/>
    <w:rsid w:val="006E7177"/>
    <w:rsid w:val="006F0241"/>
    <w:rsid w:val="006F153B"/>
    <w:rsid w:val="006F1A23"/>
    <w:rsid w:val="006F1C37"/>
    <w:rsid w:val="006F3150"/>
    <w:rsid w:val="006F31F3"/>
    <w:rsid w:val="006F3CF9"/>
    <w:rsid w:val="006F5F26"/>
    <w:rsid w:val="0070127D"/>
    <w:rsid w:val="00701F4E"/>
    <w:rsid w:val="00710430"/>
    <w:rsid w:val="007149EF"/>
    <w:rsid w:val="00715962"/>
    <w:rsid w:val="00717FF3"/>
    <w:rsid w:val="00721DCB"/>
    <w:rsid w:val="0072228C"/>
    <w:rsid w:val="00724E22"/>
    <w:rsid w:val="007261B9"/>
    <w:rsid w:val="00726C48"/>
    <w:rsid w:val="0073038A"/>
    <w:rsid w:val="00730F22"/>
    <w:rsid w:val="00732696"/>
    <w:rsid w:val="0073278E"/>
    <w:rsid w:val="00736597"/>
    <w:rsid w:val="00741A2E"/>
    <w:rsid w:val="00745085"/>
    <w:rsid w:val="007467CA"/>
    <w:rsid w:val="00750602"/>
    <w:rsid w:val="0075748B"/>
    <w:rsid w:val="0075795D"/>
    <w:rsid w:val="00762615"/>
    <w:rsid w:val="00765A02"/>
    <w:rsid w:val="007667D7"/>
    <w:rsid w:val="00775115"/>
    <w:rsid w:val="0077624E"/>
    <w:rsid w:val="00776A1D"/>
    <w:rsid w:val="007807A0"/>
    <w:rsid w:val="00780ABF"/>
    <w:rsid w:val="00781140"/>
    <w:rsid w:val="007849DF"/>
    <w:rsid w:val="00784CC8"/>
    <w:rsid w:val="0078789C"/>
    <w:rsid w:val="00793119"/>
    <w:rsid w:val="0079458A"/>
    <w:rsid w:val="00795CB5"/>
    <w:rsid w:val="007A21AE"/>
    <w:rsid w:val="007A74A0"/>
    <w:rsid w:val="007B0B62"/>
    <w:rsid w:val="007B1702"/>
    <w:rsid w:val="007B7B3B"/>
    <w:rsid w:val="007C08A8"/>
    <w:rsid w:val="007C0AFB"/>
    <w:rsid w:val="007C2416"/>
    <w:rsid w:val="007D20BD"/>
    <w:rsid w:val="007D3647"/>
    <w:rsid w:val="007D3A3F"/>
    <w:rsid w:val="007D41C8"/>
    <w:rsid w:val="007D696C"/>
    <w:rsid w:val="007D79F6"/>
    <w:rsid w:val="007E0A38"/>
    <w:rsid w:val="007E0B86"/>
    <w:rsid w:val="007E47EB"/>
    <w:rsid w:val="007E7B28"/>
    <w:rsid w:val="007F4771"/>
    <w:rsid w:val="007F4D78"/>
    <w:rsid w:val="007F7B04"/>
    <w:rsid w:val="00801FA0"/>
    <w:rsid w:val="00802F74"/>
    <w:rsid w:val="00804127"/>
    <w:rsid w:val="00815604"/>
    <w:rsid w:val="008159F0"/>
    <w:rsid w:val="0082134C"/>
    <w:rsid w:val="008216E6"/>
    <w:rsid w:val="00826542"/>
    <w:rsid w:val="008370CB"/>
    <w:rsid w:val="00841B9B"/>
    <w:rsid w:val="00842A43"/>
    <w:rsid w:val="00852564"/>
    <w:rsid w:val="00855C71"/>
    <w:rsid w:val="00860ABC"/>
    <w:rsid w:val="00861C4B"/>
    <w:rsid w:val="008621CC"/>
    <w:rsid w:val="00864066"/>
    <w:rsid w:val="00864C90"/>
    <w:rsid w:val="00870156"/>
    <w:rsid w:val="0087221F"/>
    <w:rsid w:val="008749F2"/>
    <w:rsid w:val="00876E78"/>
    <w:rsid w:val="00880E81"/>
    <w:rsid w:val="00883C65"/>
    <w:rsid w:val="00884EC5"/>
    <w:rsid w:val="00887566"/>
    <w:rsid w:val="0089195B"/>
    <w:rsid w:val="00892FDB"/>
    <w:rsid w:val="00893FD8"/>
    <w:rsid w:val="0089485F"/>
    <w:rsid w:val="008A0970"/>
    <w:rsid w:val="008A2EED"/>
    <w:rsid w:val="008A508A"/>
    <w:rsid w:val="008A7B82"/>
    <w:rsid w:val="008C3C71"/>
    <w:rsid w:val="008C692C"/>
    <w:rsid w:val="008D26CB"/>
    <w:rsid w:val="008D2D99"/>
    <w:rsid w:val="008D3271"/>
    <w:rsid w:val="008D6A68"/>
    <w:rsid w:val="008D74A5"/>
    <w:rsid w:val="008E181E"/>
    <w:rsid w:val="008E538D"/>
    <w:rsid w:val="008E6F9C"/>
    <w:rsid w:val="008F2F67"/>
    <w:rsid w:val="008F49A0"/>
    <w:rsid w:val="008F76C3"/>
    <w:rsid w:val="00901794"/>
    <w:rsid w:val="00902163"/>
    <w:rsid w:val="0091381C"/>
    <w:rsid w:val="00921162"/>
    <w:rsid w:val="009215CC"/>
    <w:rsid w:val="009267EF"/>
    <w:rsid w:val="00927DAA"/>
    <w:rsid w:val="00932117"/>
    <w:rsid w:val="00934638"/>
    <w:rsid w:val="00936749"/>
    <w:rsid w:val="009404EF"/>
    <w:rsid w:val="00947C3F"/>
    <w:rsid w:val="009505D0"/>
    <w:rsid w:val="009544E0"/>
    <w:rsid w:val="009549B0"/>
    <w:rsid w:val="00960C65"/>
    <w:rsid w:val="00961240"/>
    <w:rsid w:val="0096219C"/>
    <w:rsid w:val="0096278E"/>
    <w:rsid w:val="00966300"/>
    <w:rsid w:val="009711A5"/>
    <w:rsid w:val="009752CB"/>
    <w:rsid w:val="0097539F"/>
    <w:rsid w:val="009844B1"/>
    <w:rsid w:val="00986A54"/>
    <w:rsid w:val="00990858"/>
    <w:rsid w:val="009925BA"/>
    <w:rsid w:val="00992CBD"/>
    <w:rsid w:val="009A1A56"/>
    <w:rsid w:val="009A370F"/>
    <w:rsid w:val="009B103D"/>
    <w:rsid w:val="009B6648"/>
    <w:rsid w:val="009B72F0"/>
    <w:rsid w:val="009B74BF"/>
    <w:rsid w:val="009C1AE4"/>
    <w:rsid w:val="009C47DE"/>
    <w:rsid w:val="009C6BC9"/>
    <w:rsid w:val="009D079C"/>
    <w:rsid w:val="009D3DCD"/>
    <w:rsid w:val="009D6C3B"/>
    <w:rsid w:val="009E0C30"/>
    <w:rsid w:val="009E588B"/>
    <w:rsid w:val="009E6926"/>
    <w:rsid w:val="009F07A9"/>
    <w:rsid w:val="009F1D9C"/>
    <w:rsid w:val="009F2DEF"/>
    <w:rsid w:val="009F5619"/>
    <w:rsid w:val="009F7BD0"/>
    <w:rsid w:val="00A034D7"/>
    <w:rsid w:val="00A04E2B"/>
    <w:rsid w:val="00A06E12"/>
    <w:rsid w:val="00A07225"/>
    <w:rsid w:val="00A20798"/>
    <w:rsid w:val="00A20F9E"/>
    <w:rsid w:val="00A23626"/>
    <w:rsid w:val="00A24B25"/>
    <w:rsid w:val="00A25543"/>
    <w:rsid w:val="00A26743"/>
    <w:rsid w:val="00A37722"/>
    <w:rsid w:val="00A41F11"/>
    <w:rsid w:val="00A421C4"/>
    <w:rsid w:val="00A45847"/>
    <w:rsid w:val="00A46C41"/>
    <w:rsid w:val="00A5098B"/>
    <w:rsid w:val="00A52800"/>
    <w:rsid w:val="00A52E29"/>
    <w:rsid w:val="00A536A4"/>
    <w:rsid w:val="00A56A47"/>
    <w:rsid w:val="00A617B3"/>
    <w:rsid w:val="00A65908"/>
    <w:rsid w:val="00A65BD2"/>
    <w:rsid w:val="00A67136"/>
    <w:rsid w:val="00A73E51"/>
    <w:rsid w:val="00A75B3A"/>
    <w:rsid w:val="00A76945"/>
    <w:rsid w:val="00A8354E"/>
    <w:rsid w:val="00A862A3"/>
    <w:rsid w:val="00A87C46"/>
    <w:rsid w:val="00A918DA"/>
    <w:rsid w:val="00A92C93"/>
    <w:rsid w:val="00A95B3C"/>
    <w:rsid w:val="00A963B7"/>
    <w:rsid w:val="00AA0366"/>
    <w:rsid w:val="00AA4AD8"/>
    <w:rsid w:val="00AA6250"/>
    <w:rsid w:val="00AA672E"/>
    <w:rsid w:val="00AB1A78"/>
    <w:rsid w:val="00AC0CD3"/>
    <w:rsid w:val="00AC0F69"/>
    <w:rsid w:val="00AC235B"/>
    <w:rsid w:val="00AD19A6"/>
    <w:rsid w:val="00AD264F"/>
    <w:rsid w:val="00AD4615"/>
    <w:rsid w:val="00AD6357"/>
    <w:rsid w:val="00AE01D8"/>
    <w:rsid w:val="00AE2F0E"/>
    <w:rsid w:val="00AE47D5"/>
    <w:rsid w:val="00AE581C"/>
    <w:rsid w:val="00AE7597"/>
    <w:rsid w:val="00AF368D"/>
    <w:rsid w:val="00AF7515"/>
    <w:rsid w:val="00AF7772"/>
    <w:rsid w:val="00B004E3"/>
    <w:rsid w:val="00B0053F"/>
    <w:rsid w:val="00B107B0"/>
    <w:rsid w:val="00B11393"/>
    <w:rsid w:val="00B12910"/>
    <w:rsid w:val="00B129AF"/>
    <w:rsid w:val="00B12F21"/>
    <w:rsid w:val="00B13685"/>
    <w:rsid w:val="00B246E5"/>
    <w:rsid w:val="00B249B2"/>
    <w:rsid w:val="00B26120"/>
    <w:rsid w:val="00B27592"/>
    <w:rsid w:val="00B30988"/>
    <w:rsid w:val="00B37C5D"/>
    <w:rsid w:val="00B40282"/>
    <w:rsid w:val="00B40606"/>
    <w:rsid w:val="00B40E07"/>
    <w:rsid w:val="00B40E16"/>
    <w:rsid w:val="00B41425"/>
    <w:rsid w:val="00B426C3"/>
    <w:rsid w:val="00B44820"/>
    <w:rsid w:val="00B44B2D"/>
    <w:rsid w:val="00B514A9"/>
    <w:rsid w:val="00B5741B"/>
    <w:rsid w:val="00B61F4D"/>
    <w:rsid w:val="00B64FB5"/>
    <w:rsid w:val="00B7333F"/>
    <w:rsid w:val="00B7403B"/>
    <w:rsid w:val="00B76CA0"/>
    <w:rsid w:val="00B82AB5"/>
    <w:rsid w:val="00B861E5"/>
    <w:rsid w:val="00B9050A"/>
    <w:rsid w:val="00B93E17"/>
    <w:rsid w:val="00BA2F71"/>
    <w:rsid w:val="00BA54C5"/>
    <w:rsid w:val="00BA5B7C"/>
    <w:rsid w:val="00BA6C24"/>
    <w:rsid w:val="00BB041F"/>
    <w:rsid w:val="00BB050B"/>
    <w:rsid w:val="00BB0718"/>
    <w:rsid w:val="00BB345C"/>
    <w:rsid w:val="00BB7CA8"/>
    <w:rsid w:val="00BC1D8D"/>
    <w:rsid w:val="00BC2CC2"/>
    <w:rsid w:val="00BC5002"/>
    <w:rsid w:val="00BD1961"/>
    <w:rsid w:val="00BD63EC"/>
    <w:rsid w:val="00BE0BCF"/>
    <w:rsid w:val="00BE10A2"/>
    <w:rsid w:val="00BE17C3"/>
    <w:rsid w:val="00BE6725"/>
    <w:rsid w:val="00BF0028"/>
    <w:rsid w:val="00BF2D25"/>
    <w:rsid w:val="00C02F90"/>
    <w:rsid w:val="00C11246"/>
    <w:rsid w:val="00C138D8"/>
    <w:rsid w:val="00C16933"/>
    <w:rsid w:val="00C16A1C"/>
    <w:rsid w:val="00C23258"/>
    <w:rsid w:val="00C24E97"/>
    <w:rsid w:val="00C25E9F"/>
    <w:rsid w:val="00C3254A"/>
    <w:rsid w:val="00C360F9"/>
    <w:rsid w:val="00C362BC"/>
    <w:rsid w:val="00C362D1"/>
    <w:rsid w:val="00C43287"/>
    <w:rsid w:val="00C44E5B"/>
    <w:rsid w:val="00C46213"/>
    <w:rsid w:val="00C46705"/>
    <w:rsid w:val="00C5155B"/>
    <w:rsid w:val="00C52546"/>
    <w:rsid w:val="00C538A1"/>
    <w:rsid w:val="00C53B96"/>
    <w:rsid w:val="00C553C3"/>
    <w:rsid w:val="00C5613F"/>
    <w:rsid w:val="00C56202"/>
    <w:rsid w:val="00C572DC"/>
    <w:rsid w:val="00C64BDC"/>
    <w:rsid w:val="00C663FA"/>
    <w:rsid w:val="00C666F3"/>
    <w:rsid w:val="00C73C54"/>
    <w:rsid w:val="00C746B4"/>
    <w:rsid w:val="00C825DE"/>
    <w:rsid w:val="00C9070C"/>
    <w:rsid w:val="00CA4443"/>
    <w:rsid w:val="00CA5F5A"/>
    <w:rsid w:val="00CB2AD9"/>
    <w:rsid w:val="00CB5642"/>
    <w:rsid w:val="00CC42C7"/>
    <w:rsid w:val="00CD291D"/>
    <w:rsid w:val="00CD6821"/>
    <w:rsid w:val="00CD7620"/>
    <w:rsid w:val="00CE1524"/>
    <w:rsid w:val="00CE5E1C"/>
    <w:rsid w:val="00CF13EF"/>
    <w:rsid w:val="00CF3981"/>
    <w:rsid w:val="00CF39F1"/>
    <w:rsid w:val="00CF7A8B"/>
    <w:rsid w:val="00D153C6"/>
    <w:rsid w:val="00D1791E"/>
    <w:rsid w:val="00D20222"/>
    <w:rsid w:val="00D20F12"/>
    <w:rsid w:val="00D2246E"/>
    <w:rsid w:val="00D25BAE"/>
    <w:rsid w:val="00D25C39"/>
    <w:rsid w:val="00D30D03"/>
    <w:rsid w:val="00D32335"/>
    <w:rsid w:val="00D338AC"/>
    <w:rsid w:val="00D36A87"/>
    <w:rsid w:val="00D36D90"/>
    <w:rsid w:val="00D37CD1"/>
    <w:rsid w:val="00D43509"/>
    <w:rsid w:val="00D44F3C"/>
    <w:rsid w:val="00D4594A"/>
    <w:rsid w:val="00D46A36"/>
    <w:rsid w:val="00D52E2C"/>
    <w:rsid w:val="00D53E67"/>
    <w:rsid w:val="00D5718C"/>
    <w:rsid w:val="00D605C6"/>
    <w:rsid w:val="00D62CC6"/>
    <w:rsid w:val="00D62E3F"/>
    <w:rsid w:val="00D6462E"/>
    <w:rsid w:val="00D64AE1"/>
    <w:rsid w:val="00D658BC"/>
    <w:rsid w:val="00D679A6"/>
    <w:rsid w:val="00D67FEE"/>
    <w:rsid w:val="00D710B1"/>
    <w:rsid w:val="00D7233E"/>
    <w:rsid w:val="00D72626"/>
    <w:rsid w:val="00D72F45"/>
    <w:rsid w:val="00D759DA"/>
    <w:rsid w:val="00D76284"/>
    <w:rsid w:val="00D80B81"/>
    <w:rsid w:val="00D81DB7"/>
    <w:rsid w:val="00D84503"/>
    <w:rsid w:val="00D85A5E"/>
    <w:rsid w:val="00D92BB0"/>
    <w:rsid w:val="00D93666"/>
    <w:rsid w:val="00D952A5"/>
    <w:rsid w:val="00DA5E64"/>
    <w:rsid w:val="00DB10D7"/>
    <w:rsid w:val="00DB36BA"/>
    <w:rsid w:val="00DB5EE8"/>
    <w:rsid w:val="00DB69DD"/>
    <w:rsid w:val="00DB705E"/>
    <w:rsid w:val="00DB70E2"/>
    <w:rsid w:val="00DC0597"/>
    <w:rsid w:val="00DC3D15"/>
    <w:rsid w:val="00DC770C"/>
    <w:rsid w:val="00DD6477"/>
    <w:rsid w:val="00DD6B37"/>
    <w:rsid w:val="00DE08A5"/>
    <w:rsid w:val="00DE114E"/>
    <w:rsid w:val="00DE13EE"/>
    <w:rsid w:val="00DE1C44"/>
    <w:rsid w:val="00DE45CD"/>
    <w:rsid w:val="00E04BE1"/>
    <w:rsid w:val="00E05443"/>
    <w:rsid w:val="00E05D15"/>
    <w:rsid w:val="00E06A77"/>
    <w:rsid w:val="00E124DE"/>
    <w:rsid w:val="00E125B1"/>
    <w:rsid w:val="00E22370"/>
    <w:rsid w:val="00E24483"/>
    <w:rsid w:val="00E24BE7"/>
    <w:rsid w:val="00E25724"/>
    <w:rsid w:val="00E37373"/>
    <w:rsid w:val="00E37CF6"/>
    <w:rsid w:val="00E416EE"/>
    <w:rsid w:val="00E46E1C"/>
    <w:rsid w:val="00E50C7C"/>
    <w:rsid w:val="00E50E07"/>
    <w:rsid w:val="00E53C82"/>
    <w:rsid w:val="00E562FB"/>
    <w:rsid w:val="00E5669C"/>
    <w:rsid w:val="00E60C1B"/>
    <w:rsid w:val="00E636AD"/>
    <w:rsid w:val="00E63A0E"/>
    <w:rsid w:val="00E649CE"/>
    <w:rsid w:val="00E75FF2"/>
    <w:rsid w:val="00E76645"/>
    <w:rsid w:val="00E81433"/>
    <w:rsid w:val="00E829E2"/>
    <w:rsid w:val="00E85208"/>
    <w:rsid w:val="00E85C1F"/>
    <w:rsid w:val="00E870BE"/>
    <w:rsid w:val="00E901A4"/>
    <w:rsid w:val="00E90CD7"/>
    <w:rsid w:val="00E90DEF"/>
    <w:rsid w:val="00E90E7F"/>
    <w:rsid w:val="00E92FE4"/>
    <w:rsid w:val="00E93A77"/>
    <w:rsid w:val="00EA2A5D"/>
    <w:rsid w:val="00EA3C3D"/>
    <w:rsid w:val="00EA7B21"/>
    <w:rsid w:val="00EB2ABB"/>
    <w:rsid w:val="00EB2BBB"/>
    <w:rsid w:val="00EB4B88"/>
    <w:rsid w:val="00EC200B"/>
    <w:rsid w:val="00EC5DEB"/>
    <w:rsid w:val="00EC6799"/>
    <w:rsid w:val="00ED0DFB"/>
    <w:rsid w:val="00ED1D48"/>
    <w:rsid w:val="00ED253B"/>
    <w:rsid w:val="00ED29E2"/>
    <w:rsid w:val="00ED34F7"/>
    <w:rsid w:val="00ED38F9"/>
    <w:rsid w:val="00ED7341"/>
    <w:rsid w:val="00EE15DC"/>
    <w:rsid w:val="00EF03A7"/>
    <w:rsid w:val="00EF0F9C"/>
    <w:rsid w:val="00EF278A"/>
    <w:rsid w:val="00EF7CC1"/>
    <w:rsid w:val="00F025DF"/>
    <w:rsid w:val="00F02E8B"/>
    <w:rsid w:val="00F072DF"/>
    <w:rsid w:val="00F10C9B"/>
    <w:rsid w:val="00F11BE8"/>
    <w:rsid w:val="00F13BAC"/>
    <w:rsid w:val="00F21CBC"/>
    <w:rsid w:val="00F2257E"/>
    <w:rsid w:val="00F3115A"/>
    <w:rsid w:val="00F41737"/>
    <w:rsid w:val="00F43169"/>
    <w:rsid w:val="00F4463B"/>
    <w:rsid w:val="00F45526"/>
    <w:rsid w:val="00F4668E"/>
    <w:rsid w:val="00F46A42"/>
    <w:rsid w:val="00F5108C"/>
    <w:rsid w:val="00F51178"/>
    <w:rsid w:val="00F5610D"/>
    <w:rsid w:val="00F64F7B"/>
    <w:rsid w:val="00F660A2"/>
    <w:rsid w:val="00F66381"/>
    <w:rsid w:val="00F6665E"/>
    <w:rsid w:val="00F67301"/>
    <w:rsid w:val="00F67FD6"/>
    <w:rsid w:val="00F70196"/>
    <w:rsid w:val="00F70921"/>
    <w:rsid w:val="00F75AA1"/>
    <w:rsid w:val="00F7653D"/>
    <w:rsid w:val="00F76E01"/>
    <w:rsid w:val="00F80EAA"/>
    <w:rsid w:val="00F842B3"/>
    <w:rsid w:val="00F87A10"/>
    <w:rsid w:val="00F92F58"/>
    <w:rsid w:val="00F94FDD"/>
    <w:rsid w:val="00F97266"/>
    <w:rsid w:val="00FA0DF9"/>
    <w:rsid w:val="00FA1BD3"/>
    <w:rsid w:val="00FA37FA"/>
    <w:rsid w:val="00FA3BDB"/>
    <w:rsid w:val="00FA64DB"/>
    <w:rsid w:val="00FA6916"/>
    <w:rsid w:val="00FA6A97"/>
    <w:rsid w:val="00FA6ACC"/>
    <w:rsid w:val="00FA77C4"/>
    <w:rsid w:val="00FB1892"/>
    <w:rsid w:val="00FB38E2"/>
    <w:rsid w:val="00FB4547"/>
    <w:rsid w:val="00FC11C5"/>
    <w:rsid w:val="00FC14D2"/>
    <w:rsid w:val="00FC1B67"/>
    <w:rsid w:val="00FC29D3"/>
    <w:rsid w:val="00FC440C"/>
    <w:rsid w:val="00FC6299"/>
    <w:rsid w:val="00FC6C55"/>
    <w:rsid w:val="00FC7040"/>
    <w:rsid w:val="00FD239E"/>
    <w:rsid w:val="00FD2DAB"/>
    <w:rsid w:val="00FD3B09"/>
    <w:rsid w:val="00FE0C6E"/>
    <w:rsid w:val="00FE22A8"/>
    <w:rsid w:val="00FE310F"/>
    <w:rsid w:val="00FE76E3"/>
    <w:rsid w:val="00FF18B9"/>
    <w:rsid w:val="00FF2D76"/>
    <w:rsid w:val="01172179"/>
    <w:rsid w:val="01452157"/>
    <w:rsid w:val="0198797E"/>
    <w:rsid w:val="01AF5332"/>
    <w:rsid w:val="01D46718"/>
    <w:rsid w:val="01DF3EC6"/>
    <w:rsid w:val="01E672D5"/>
    <w:rsid w:val="02071E35"/>
    <w:rsid w:val="021C7930"/>
    <w:rsid w:val="021D229B"/>
    <w:rsid w:val="02285683"/>
    <w:rsid w:val="025C7C3B"/>
    <w:rsid w:val="026E0D49"/>
    <w:rsid w:val="0273010D"/>
    <w:rsid w:val="028D692C"/>
    <w:rsid w:val="02906F11"/>
    <w:rsid w:val="029841FB"/>
    <w:rsid w:val="02A96106"/>
    <w:rsid w:val="02B26804"/>
    <w:rsid w:val="02DA63DE"/>
    <w:rsid w:val="02EB4148"/>
    <w:rsid w:val="031F7F2F"/>
    <w:rsid w:val="032338E1"/>
    <w:rsid w:val="03433F84"/>
    <w:rsid w:val="036A1510"/>
    <w:rsid w:val="03E811F5"/>
    <w:rsid w:val="03F84D6E"/>
    <w:rsid w:val="04090D29"/>
    <w:rsid w:val="043856EB"/>
    <w:rsid w:val="043D11AF"/>
    <w:rsid w:val="044004C3"/>
    <w:rsid w:val="04780388"/>
    <w:rsid w:val="04840912"/>
    <w:rsid w:val="04C04D76"/>
    <w:rsid w:val="04D31337"/>
    <w:rsid w:val="04ED41A7"/>
    <w:rsid w:val="04EF1DF0"/>
    <w:rsid w:val="04F92264"/>
    <w:rsid w:val="05384ED8"/>
    <w:rsid w:val="05793C8D"/>
    <w:rsid w:val="05D45367"/>
    <w:rsid w:val="05ED15B8"/>
    <w:rsid w:val="063C19F6"/>
    <w:rsid w:val="069D4426"/>
    <w:rsid w:val="06CD117A"/>
    <w:rsid w:val="06F20C19"/>
    <w:rsid w:val="07334A4A"/>
    <w:rsid w:val="073D0CEA"/>
    <w:rsid w:val="07487DBA"/>
    <w:rsid w:val="074D28B2"/>
    <w:rsid w:val="07554285"/>
    <w:rsid w:val="07697D31"/>
    <w:rsid w:val="076A5F83"/>
    <w:rsid w:val="0796181F"/>
    <w:rsid w:val="07A76DE7"/>
    <w:rsid w:val="07C801CE"/>
    <w:rsid w:val="080D5E13"/>
    <w:rsid w:val="08167EB9"/>
    <w:rsid w:val="082456F4"/>
    <w:rsid w:val="083D471B"/>
    <w:rsid w:val="08471B55"/>
    <w:rsid w:val="08747D30"/>
    <w:rsid w:val="088E1E77"/>
    <w:rsid w:val="08BA4CE8"/>
    <w:rsid w:val="09410F65"/>
    <w:rsid w:val="094C0FF5"/>
    <w:rsid w:val="09581E0B"/>
    <w:rsid w:val="096E0EE2"/>
    <w:rsid w:val="098470A4"/>
    <w:rsid w:val="09AD125A"/>
    <w:rsid w:val="09B03A0D"/>
    <w:rsid w:val="09B17DE9"/>
    <w:rsid w:val="09C358AA"/>
    <w:rsid w:val="09C556F2"/>
    <w:rsid w:val="09DD5E60"/>
    <w:rsid w:val="09E12944"/>
    <w:rsid w:val="09E576CD"/>
    <w:rsid w:val="09F71624"/>
    <w:rsid w:val="0A110938"/>
    <w:rsid w:val="0A125A06"/>
    <w:rsid w:val="0A1C51AB"/>
    <w:rsid w:val="0A2D14EA"/>
    <w:rsid w:val="0A2D5046"/>
    <w:rsid w:val="0A3D4E0D"/>
    <w:rsid w:val="0A5371A2"/>
    <w:rsid w:val="0A5A351E"/>
    <w:rsid w:val="0A621DEF"/>
    <w:rsid w:val="0A647547"/>
    <w:rsid w:val="0A705714"/>
    <w:rsid w:val="0A747118"/>
    <w:rsid w:val="0ABD48E0"/>
    <w:rsid w:val="0AD11914"/>
    <w:rsid w:val="0ADE515E"/>
    <w:rsid w:val="0AF049F1"/>
    <w:rsid w:val="0B0F14CD"/>
    <w:rsid w:val="0B100DA8"/>
    <w:rsid w:val="0B3B0B0D"/>
    <w:rsid w:val="0B6158EF"/>
    <w:rsid w:val="0B642CE9"/>
    <w:rsid w:val="0B764EEE"/>
    <w:rsid w:val="0B8E4C10"/>
    <w:rsid w:val="0B952F4D"/>
    <w:rsid w:val="0B9D6080"/>
    <w:rsid w:val="0BAB40C8"/>
    <w:rsid w:val="0BD75BB1"/>
    <w:rsid w:val="0C005169"/>
    <w:rsid w:val="0C0608D2"/>
    <w:rsid w:val="0C593122"/>
    <w:rsid w:val="0C790A16"/>
    <w:rsid w:val="0C842CBC"/>
    <w:rsid w:val="0C862863"/>
    <w:rsid w:val="0C895E65"/>
    <w:rsid w:val="0C935F81"/>
    <w:rsid w:val="0CCF4176"/>
    <w:rsid w:val="0CEE4F60"/>
    <w:rsid w:val="0D0C2FB5"/>
    <w:rsid w:val="0D211B6B"/>
    <w:rsid w:val="0D29279E"/>
    <w:rsid w:val="0D3B3F1D"/>
    <w:rsid w:val="0D436E01"/>
    <w:rsid w:val="0D58062B"/>
    <w:rsid w:val="0D6D3C36"/>
    <w:rsid w:val="0D712BF2"/>
    <w:rsid w:val="0D766D04"/>
    <w:rsid w:val="0D7B654D"/>
    <w:rsid w:val="0DD52CE6"/>
    <w:rsid w:val="0DD705FB"/>
    <w:rsid w:val="0DE34B57"/>
    <w:rsid w:val="0E042561"/>
    <w:rsid w:val="0E2C26F4"/>
    <w:rsid w:val="0E562298"/>
    <w:rsid w:val="0E7E40C2"/>
    <w:rsid w:val="0E8A6F0A"/>
    <w:rsid w:val="0ECF29CC"/>
    <w:rsid w:val="0F1A5E75"/>
    <w:rsid w:val="0F654E58"/>
    <w:rsid w:val="0F853D0A"/>
    <w:rsid w:val="0F8554ED"/>
    <w:rsid w:val="0FAA2376"/>
    <w:rsid w:val="0FE7589C"/>
    <w:rsid w:val="100D5FBD"/>
    <w:rsid w:val="10280789"/>
    <w:rsid w:val="102F518A"/>
    <w:rsid w:val="10537F76"/>
    <w:rsid w:val="109E39FF"/>
    <w:rsid w:val="10AD5132"/>
    <w:rsid w:val="10CA7A92"/>
    <w:rsid w:val="10EF574B"/>
    <w:rsid w:val="10F1501F"/>
    <w:rsid w:val="10F44B0F"/>
    <w:rsid w:val="1102722C"/>
    <w:rsid w:val="110B3162"/>
    <w:rsid w:val="11131439"/>
    <w:rsid w:val="11164A85"/>
    <w:rsid w:val="111E5A3E"/>
    <w:rsid w:val="115F467E"/>
    <w:rsid w:val="118063A3"/>
    <w:rsid w:val="118F191C"/>
    <w:rsid w:val="11A12C03"/>
    <w:rsid w:val="11BA7B07"/>
    <w:rsid w:val="11E04DB6"/>
    <w:rsid w:val="11EB4164"/>
    <w:rsid w:val="12086AC4"/>
    <w:rsid w:val="123258EF"/>
    <w:rsid w:val="123F7BEF"/>
    <w:rsid w:val="12490B7F"/>
    <w:rsid w:val="128D5F68"/>
    <w:rsid w:val="12957C2C"/>
    <w:rsid w:val="129B7938"/>
    <w:rsid w:val="12BD7854"/>
    <w:rsid w:val="12C127C8"/>
    <w:rsid w:val="12E50BB3"/>
    <w:rsid w:val="133A4330"/>
    <w:rsid w:val="139B3968"/>
    <w:rsid w:val="13A26AA4"/>
    <w:rsid w:val="13B23C03"/>
    <w:rsid w:val="13DA7FEC"/>
    <w:rsid w:val="13F54E26"/>
    <w:rsid w:val="13F57B76"/>
    <w:rsid w:val="14066779"/>
    <w:rsid w:val="140973EB"/>
    <w:rsid w:val="14136BD9"/>
    <w:rsid w:val="1427631F"/>
    <w:rsid w:val="14326FF7"/>
    <w:rsid w:val="144578B8"/>
    <w:rsid w:val="14E630A7"/>
    <w:rsid w:val="14EB7FD7"/>
    <w:rsid w:val="14F938CA"/>
    <w:rsid w:val="14FB646C"/>
    <w:rsid w:val="15211C4B"/>
    <w:rsid w:val="152A332F"/>
    <w:rsid w:val="152D239E"/>
    <w:rsid w:val="152F25BA"/>
    <w:rsid w:val="155341CA"/>
    <w:rsid w:val="15727625"/>
    <w:rsid w:val="157306F8"/>
    <w:rsid w:val="15D445BE"/>
    <w:rsid w:val="15E909BB"/>
    <w:rsid w:val="15F76BBD"/>
    <w:rsid w:val="160E6673"/>
    <w:rsid w:val="16490889"/>
    <w:rsid w:val="1662251B"/>
    <w:rsid w:val="1665769A"/>
    <w:rsid w:val="16775DA2"/>
    <w:rsid w:val="16777D74"/>
    <w:rsid w:val="16832BBD"/>
    <w:rsid w:val="169A1CB5"/>
    <w:rsid w:val="16BD25D8"/>
    <w:rsid w:val="16E527F2"/>
    <w:rsid w:val="16F413C5"/>
    <w:rsid w:val="170F26A3"/>
    <w:rsid w:val="17660F72"/>
    <w:rsid w:val="176C3651"/>
    <w:rsid w:val="177A38B0"/>
    <w:rsid w:val="178A558B"/>
    <w:rsid w:val="179A2F3F"/>
    <w:rsid w:val="179D64B2"/>
    <w:rsid w:val="17DB07D7"/>
    <w:rsid w:val="17F15BC5"/>
    <w:rsid w:val="182B68AE"/>
    <w:rsid w:val="18455C50"/>
    <w:rsid w:val="184A1D82"/>
    <w:rsid w:val="185D28BB"/>
    <w:rsid w:val="187A1308"/>
    <w:rsid w:val="18887D0D"/>
    <w:rsid w:val="18D07C10"/>
    <w:rsid w:val="18D3325C"/>
    <w:rsid w:val="190516FD"/>
    <w:rsid w:val="191B6957"/>
    <w:rsid w:val="196565AA"/>
    <w:rsid w:val="19A54BF8"/>
    <w:rsid w:val="19C20E4D"/>
    <w:rsid w:val="19FA75E5"/>
    <w:rsid w:val="1A057D8D"/>
    <w:rsid w:val="1A240213"/>
    <w:rsid w:val="1A6B7EB4"/>
    <w:rsid w:val="1A88631A"/>
    <w:rsid w:val="1A8E7704"/>
    <w:rsid w:val="1A993ADA"/>
    <w:rsid w:val="1AB1581F"/>
    <w:rsid w:val="1ABF048F"/>
    <w:rsid w:val="1AC75042"/>
    <w:rsid w:val="1AC76DF0"/>
    <w:rsid w:val="1AD03EF7"/>
    <w:rsid w:val="1AEA7E00"/>
    <w:rsid w:val="1AFE6CB6"/>
    <w:rsid w:val="1B0643A4"/>
    <w:rsid w:val="1B0D6EF9"/>
    <w:rsid w:val="1B365A09"/>
    <w:rsid w:val="1B397CEE"/>
    <w:rsid w:val="1B5C578B"/>
    <w:rsid w:val="1B742AD4"/>
    <w:rsid w:val="1C1F086E"/>
    <w:rsid w:val="1C27223D"/>
    <w:rsid w:val="1C476D9C"/>
    <w:rsid w:val="1C6E6AA0"/>
    <w:rsid w:val="1C724F57"/>
    <w:rsid w:val="1C8F2174"/>
    <w:rsid w:val="1CA05B4B"/>
    <w:rsid w:val="1CC63DBE"/>
    <w:rsid w:val="1CDF6F23"/>
    <w:rsid w:val="1CF17ED4"/>
    <w:rsid w:val="1D0600A4"/>
    <w:rsid w:val="1D6B43AB"/>
    <w:rsid w:val="1D884ECC"/>
    <w:rsid w:val="1DC55869"/>
    <w:rsid w:val="1DF919B7"/>
    <w:rsid w:val="1E002D45"/>
    <w:rsid w:val="1E05210A"/>
    <w:rsid w:val="1E286E07"/>
    <w:rsid w:val="1E2C0141"/>
    <w:rsid w:val="1E752A43"/>
    <w:rsid w:val="1E9D7F11"/>
    <w:rsid w:val="1EA01E32"/>
    <w:rsid w:val="1EAF2E64"/>
    <w:rsid w:val="1EB37DB8"/>
    <w:rsid w:val="1EC04736"/>
    <w:rsid w:val="1ED61B94"/>
    <w:rsid w:val="1EF045B7"/>
    <w:rsid w:val="1F2E69D8"/>
    <w:rsid w:val="1F3C5FFF"/>
    <w:rsid w:val="1F443106"/>
    <w:rsid w:val="1F4C5FA0"/>
    <w:rsid w:val="1F80581A"/>
    <w:rsid w:val="1FB5190D"/>
    <w:rsid w:val="1FB713CE"/>
    <w:rsid w:val="1FDF0FA7"/>
    <w:rsid w:val="1FEA200A"/>
    <w:rsid w:val="1FF30464"/>
    <w:rsid w:val="20043C15"/>
    <w:rsid w:val="201475CF"/>
    <w:rsid w:val="20286583"/>
    <w:rsid w:val="20436F19"/>
    <w:rsid w:val="204D3FC5"/>
    <w:rsid w:val="20562444"/>
    <w:rsid w:val="2059469C"/>
    <w:rsid w:val="20651585"/>
    <w:rsid w:val="206675C3"/>
    <w:rsid w:val="20AE4CDA"/>
    <w:rsid w:val="20D31B29"/>
    <w:rsid w:val="210B763A"/>
    <w:rsid w:val="21161AE1"/>
    <w:rsid w:val="21381484"/>
    <w:rsid w:val="214C004F"/>
    <w:rsid w:val="215E19DD"/>
    <w:rsid w:val="21A07443"/>
    <w:rsid w:val="21C3619F"/>
    <w:rsid w:val="21CB61A6"/>
    <w:rsid w:val="21CB652F"/>
    <w:rsid w:val="21F27172"/>
    <w:rsid w:val="222F58FD"/>
    <w:rsid w:val="22304734"/>
    <w:rsid w:val="22543660"/>
    <w:rsid w:val="22687929"/>
    <w:rsid w:val="22AA635A"/>
    <w:rsid w:val="22E2129A"/>
    <w:rsid w:val="22FC51EC"/>
    <w:rsid w:val="23052BAC"/>
    <w:rsid w:val="232474D6"/>
    <w:rsid w:val="23563EDF"/>
    <w:rsid w:val="2358717F"/>
    <w:rsid w:val="23AD1279"/>
    <w:rsid w:val="23B76BD7"/>
    <w:rsid w:val="23F77F57"/>
    <w:rsid w:val="242F4C61"/>
    <w:rsid w:val="248A11E7"/>
    <w:rsid w:val="248D3587"/>
    <w:rsid w:val="24910AF8"/>
    <w:rsid w:val="249E6E14"/>
    <w:rsid w:val="24A84769"/>
    <w:rsid w:val="24B63ADA"/>
    <w:rsid w:val="24B76D91"/>
    <w:rsid w:val="24B90CFA"/>
    <w:rsid w:val="251B47FC"/>
    <w:rsid w:val="25284930"/>
    <w:rsid w:val="253204FB"/>
    <w:rsid w:val="2571054D"/>
    <w:rsid w:val="25733DFD"/>
    <w:rsid w:val="25A641D2"/>
    <w:rsid w:val="25AB7A3A"/>
    <w:rsid w:val="25CC356F"/>
    <w:rsid w:val="25CE7F92"/>
    <w:rsid w:val="25F0544D"/>
    <w:rsid w:val="260C44CD"/>
    <w:rsid w:val="2612593D"/>
    <w:rsid w:val="261819BB"/>
    <w:rsid w:val="264D1073"/>
    <w:rsid w:val="26574E39"/>
    <w:rsid w:val="265A0EC9"/>
    <w:rsid w:val="266016DA"/>
    <w:rsid w:val="26695200"/>
    <w:rsid w:val="26752333"/>
    <w:rsid w:val="26802C75"/>
    <w:rsid w:val="26AF2191"/>
    <w:rsid w:val="26BE4F00"/>
    <w:rsid w:val="26EA4592"/>
    <w:rsid w:val="26F23447"/>
    <w:rsid w:val="27187D6A"/>
    <w:rsid w:val="272A2F95"/>
    <w:rsid w:val="276C6496"/>
    <w:rsid w:val="278247CB"/>
    <w:rsid w:val="27A6495D"/>
    <w:rsid w:val="27C76FB9"/>
    <w:rsid w:val="27FE4493"/>
    <w:rsid w:val="28043B56"/>
    <w:rsid w:val="28117E8C"/>
    <w:rsid w:val="28182B6A"/>
    <w:rsid w:val="2834649F"/>
    <w:rsid w:val="28431333"/>
    <w:rsid w:val="28537F15"/>
    <w:rsid w:val="286D547B"/>
    <w:rsid w:val="286F595B"/>
    <w:rsid w:val="28A75544"/>
    <w:rsid w:val="28F811E9"/>
    <w:rsid w:val="29121B7F"/>
    <w:rsid w:val="291B489A"/>
    <w:rsid w:val="29491F0D"/>
    <w:rsid w:val="29727BBA"/>
    <w:rsid w:val="29736AC1"/>
    <w:rsid w:val="29915199"/>
    <w:rsid w:val="29967465"/>
    <w:rsid w:val="29F251EF"/>
    <w:rsid w:val="2A2E29E8"/>
    <w:rsid w:val="2A444B3F"/>
    <w:rsid w:val="2A467D32"/>
    <w:rsid w:val="2A5E151F"/>
    <w:rsid w:val="2A6636FD"/>
    <w:rsid w:val="2A8030DC"/>
    <w:rsid w:val="2AAD35BF"/>
    <w:rsid w:val="2AB253C7"/>
    <w:rsid w:val="2ACE3C4E"/>
    <w:rsid w:val="2B251B3D"/>
    <w:rsid w:val="2B872F6E"/>
    <w:rsid w:val="2B98162B"/>
    <w:rsid w:val="2BB67139"/>
    <w:rsid w:val="2C175CA8"/>
    <w:rsid w:val="2C2045B2"/>
    <w:rsid w:val="2C233DA5"/>
    <w:rsid w:val="2C386DD1"/>
    <w:rsid w:val="2C3C4C0F"/>
    <w:rsid w:val="2C4209CD"/>
    <w:rsid w:val="2C526E62"/>
    <w:rsid w:val="2C550700"/>
    <w:rsid w:val="2C9F3729"/>
    <w:rsid w:val="2CAA298E"/>
    <w:rsid w:val="2CBD6A74"/>
    <w:rsid w:val="2CBE0D07"/>
    <w:rsid w:val="2D0A14EA"/>
    <w:rsid w:val="2D3063F4"/>
    <w:rsid w:val="2D4E0EDD"/>
    <w:rsid w:val="2D5664DE"/>
    <w:rsid w:val="2D63280A"/>
    <w:rsid w:val="2D6733FA"/>
    <w:rsid w:val="2D7425EC"/>
    <w:rsid w:val="2D93478A"/>
    <w:rsid w:val="2D940DB4"/>
    <w:rsid w:val="2D983C69"/>
    <w:rsid w:val="2DB52931"/>
    <w:rsid w:val="2DC91962"/>
    <w:rsid w:val="2E4E74DD"/>
    <w:rsid w:val="2E7B3D22"/>
    <w:rsid w:val="2E7F7CB6"/>
    <w:rsid w:val="2E94409C"/>
    <w:rsid w:val="2EA15E7F"/>
    <w:rsid w:val="2EB00083"/>
    <w:rsid w:val="2EC64825"/>
    <w:rsid w:val="2ECE6548"/>
    <w:rsid w:val="2EE736D7"/>
    <w:rsid w:val="2EFC4E63"/>
    <w:rsid w:val="2EFF2D8E"/>
    <w:rsid w:val="2F3440E9"/>
    <w:rsid w:val="2F3E7229"/>
    <w:rsid w:val="2F4B7515"/>
    <w:rsid w:val="2F4F544D"/>
    <w:rsid w:val="2F736386"/>
    <w:rsid w:val="2F9B0B20"/>
    <w:rsid w:val="2FAF3BCA"/>
    <w:rsid w:val="2FB7522E"/>
    <w:rsid w:val="2FC33BD3"/>
    <w:rsid w:val="2FE778C1"/>
    <w:rsid w:val="30423744"/>
    <w:rsid w:val="30474804"/>
    <w:rsid w:val="3059019D"/>
    <w:rsid w:val="306C17DF"/>
    <w:rsid w:val="30A57E15"/>
    <w:rsid w:val="30BF1E26"/>
    <w:rsid w:val="30CC6AB7"/>
    <w:rsid w:val="31497106"/>
    <w:rsid w:val="31945827"/>
    <w:rsid w:val="31B148E3"/>
    <w:rsid w:val="31B22151"/>
    <w:rsid w:val="31C752DC"/>
    <w:rsid w:val="31CF0743"/>
    <w:rsid w:val="31D82DA0"/>
    <w:rsid w:val="31E91180"/>
    <w:rsid w:val="32256487"/>
    <w:rsid w:val="324D495F"/>
    <w:rsid w:val="325A6A70"/>
    <w:rsid w:val="32601546"/>
    <w:rsid w:val="327A5831"/>
    <w:rsid w:val="32A60E89"/>
    <w:rsid w:val="32A7158A"/>
    <w:rsid w:val="32AA29E2"/>
    <w:rsid w:val="32AC4197"/>
    <w:rsid w:val="32B6478F"/>
    <w:rsid w:val="32C17BAB"/>
    <w:rsid w:val="32C24CC4"/>
    <w:rsid w:val="32D70680"/>
    <w:rsid w:val="32DB1C5F"/>
    <w:rsid w:val="330422B9"/>
    <w:rsid w:val="332350B4"/>
    <w:rsid w:val="33541586"/>
    <w:rsid w:val="33704071"/>
    <w:rsid w:val="3376291B"/>
    <w:rsid w:val="33835B53"/>
    <w:rsid w:val="33A616A5"/>
    <w:rsid w:val="33B2468A"/>
    <w:rsid w:val="33CA19D4"/>
    <w:rsid w:val="34082862"/>
    <w:rsid w:val="345C5D7E"/>
    <w:rsid w:val="346E05B1"/>
    <w:rsid w:val="34A80DB2"/>
    <w:rsid w:val="34C07A59"/>
    <w:rsid w:val="34C434B7"/>
    <w:rsid w:val="34CE05D4"/>
    <w:rsid w:val="34F15E8D"/>
    <w:rsid w:val="34FB5BBD"/>
    <w:rsid w:val="35144BE1"/>
    <w:rsid w:val="35181A32"/>
    <w:rsid w:val="351C000D"/>
    <w:rsid w:val="351E4089"/>
    <w:rsid w:val="3551778A"/>
    <w:rsid w:val="35527ED4"/>
    <w:rsid w:val="35707279"/>
    <w:rsid w:val="35727C2D"/>
    <w:rsid w:val="359D6AF6"/>
    <w:rsid w:val="35BC17F0"/>
    <w:rsid w:val="35BD1A31"/>
    <w:rsid w:val="35D239D4"/>
    <w:rsid w:val="35E87EEF"/>
    <w:rsid w:val="35FE3BB6"/>
    <w:rsid w:val="3639699D"/>
    <w:rsid w:val="3659508F"/>
    <w:rsid w:val="36885C9D"/>
    <w:rsid w:val="36927315"/>
    <w:rsid w:val="36962041"/>
    <w:rsid w:val="36B54046"/>
    <w:rsid w:val="36B83D65"/>
    <w:rsid w:val="36E7464B"/>
    <w:rsid w:val="36EB346A"/>
    <w:rsid w:val="36FD79CA"/>
    <w:rsid w:val="37066886"/>
    <w:rsid w:val="37076A9B"/>
    <w:rsid w:val="372E2279"/>
    <w:rsid w:val="37320E35"/>
    <w:rsid w:val="379F64F2"/>
    <w:rsid w:val="37AB4236"/>
    <w:rsid w:val="37B704C1"/>
    <w:rsid w:val="37CE75B8"/>
    <w:rsid w:val="37D848AC"/>
    <w:rsid w:val="38084878"/>
    <w:rsid w:val="380B25BB"/>
    <w:rsid w:val="381B0A50"/>
    <w:rsid w:val="381F3017"/>
    <w:rsid w:val="3898577E"/>
    <w:rsid w:val="389E2B91"/>
    <w:rsid w:val="38CE04EE"/>
    <w:rsid w:val="393A7865"/>
    <w:rsid w:val="3940664A"/>
    <w:rsid w:val="3949339B"/>
    <w:rsid w:val="395F0DB7"/>
    <w:rsid w:val="396458BD"/>
    <w:rsid w:val="39656AE3"/>
    <w:rsid w:val="39755F3E"/>
    <w:rsid w:val="39955BD5"/>
    <w:rsid w:val="39BC1DBE"/>
    <w:rsid w:val="39CB0253"/>
    <w:rsid w:val="39DD1C17"/>
    <w:rsid w:val="3A2B0DC4"/>
    <w:rsid w:val="3A6B7341"/>
    <w:rsid w:val="3A974416"/>
    <w:rsid w:val="3AB956F7"/>
    <w:rsid w:val="3B00427C"/>
    <w:rsid w:val="3B1817A9"/>
    <w:rsid w:val="3B1E4787"/>
    <w:rsid w:val="3B295232"/>
    <w:rsid w:val="3B3941C7"/>
    <w:rsid w:val="3B513B68"/>
    <w:rsid w:val="3B5443C4"/>
    <w:rsid w:val="3B551553"/>
    <w:rsid w:val="3B7E48EF"/>
    <w:rsid w:val="3BA448B8"/>
    <w:rsid w:val="3BAB32B2"/>
    <w:rsid w:val="3BB0325D"/>
    <w:rsid w:val="3BD656AE"/>
    <w:rsid w:val="3BE455FD"/>
    <w:rsid w:val="3BE850ED"/>
    <w:rsid w:val="3C101C36"/>
    <w:rsid w:val="3C2B34D3"/>
    <w:rsid w:val="3C3B5091"/>
    <w:rsid w:val="3C3D319E"/>
    <w:rsid w:val="3C722C08"/>
    <w:rsid w:val="3C793F97"/>
    <w:rsid w:val="3C940DD1"/>
    <w:rsid w:val="3CAB7EC8"/>
    <w:rsid w:val="3CB925E5"/>
    <w:rsid w:val="3CBB20A9"/>
    <w:rsid w:val="3CC57117"/>
    <w:rsid w:val="3CDD2778"/>
    <w:rsid w:val="3CF74EBC"/>
    <w:rsid w:val="3D1556FF"/>
    <w:rsid w:val="3D1A63F7"/>
    <w:rsid w:val="3D1D0DC6"/>
    <w:rsid w:val="3D1F3C94"/>
    <w:rsid w:val="3D422CED"/>
    <w:rsid w:val="3D587CF9"/>
    <w:rsid w:val="3D624A2B"/>
    <w:rsid w:val="3D6267D9"/>
    <w:rsid w:val="3D6C1E29"/>
    <w:rsid w:val="3D7A18AF"/>
    <w:rsid w:val="3D7B3083"/>
    <w:rsid w:val="3D7B3D3F"/>
    <w:rsid w:val="3D934BC4"/>
    <w:rsid w:val="3DC91CCE"/>
    <w:rsid w:val="3DEE0E3C"/>
    <w:rsid w:val="3DF02A0B"/>
    <w:rsid w:val="3DF77869"/>
    <w:rsid w:val="3E1B0554"/>
    <w:rsid w:val="3E350391"/>
    <w:rsid w:val="3E416B2E"/>
    <w:rsid w:val="3E431750"/>
    <w:rsid w:val="3E5227DD"/>
    <w:rsid w:val="3E6F58B8"/>
    <w:rsid w:val="3E7F7AB4"/>
    <w:rsid w:val="3EB219E2"/>
    <w:rsid w:val="3ECD4BB6"/>
    <w:rsid w:val="3EE17DD0"/>
    <w:rsid w:val="3EE710C8"/>
    <w:rsid w:val="3EEF4136"/>
    <w:rsid w:val="3F26094E"/>
    <w:rsid w:val="3FC740EB"/>
    <w:rsid w:val="3FD94147"/>
    <w:rsid w:val="3FEA705D"/>
    <w:rsid w:val="3FEE25A6"/>
    <w:rsid w:val="3FFA0F4B"/>
    <w:rsid w:val="3FFF0D88"/>
    <w:rsid w:val="40247BED"/>
    <w:rsid w:val="40660393"/>
    <w:rsid w:val="40A20693"/>
    <w:rsid w:val="40B1336E"/>
    <w:rsid w:val="40D37F31"/>
    <w:rsid w:val="40E439A9"/>
    <w:rsid w:val="40EE3293"/>
    <w:rsid w:val="40F55BB6"/>
    <w:rsid w:val="41004C87"/>
    <w:rsid w:val="41067DC3"/>
    <w:rsid w:val="411918A4"/>
    <w:rsid w:val="412C5A7C"/>
    <w:rsid w:val="413B7A6D"/>
    <w:rsid w:val="4156219A"/>
    <w:rsid w:val="4171348E"/>
    <w:rsid w:val="41AC3AFE"/>
    <w:rsid w:val="41CE2FC4"/>
    <w:rsid w:val="42211FBF"/>
    <w:rsid w:val="423E7569"/>
    <w:rsid w:val="42562684"/>
    <w:rsid w:val="427613C9"/>
    <w:rsid w:val="42E44134"/>
    <w:rsid w:val="42F170C7"/>
    <w:rsid w:val="42FF4ACA"/>
    <w:rsid w:val="433F136A"/>
    <w:rsid w:val="434844DE"/>
    <w:rsid w:val="434E6096"/>
    <w:rsid w:val="43540441"/>
    <w:rsid w:val="437D25BE"/>
    <w:rsid w:val="43901940"/>
    <w:rsid w:val="43AC0571"/>
    <w:rsid w:val="43BA0E35"/>
    <w:rsid w:val="43BF59F3"/>
    <w:rsid w:val="43C55D14"/>
    <w:rsid w:val="43C57AC2"/>
    <w:rsid w:val="43E22422"/>
    <w:rsid w:val="43EF2D90"/>
    <w:rsid w:val="44103433"/>
    <w:rsid w:val="44185E43"/>
    <w:rsid w:val="442E0C05"/>
    <w:rsid w:val="445636D6"/>
    <w:rsid w:val="445B2D64"/>
    <w:rsid w:val="44890AEF"/>
    <w:rsid w:val="44896D41"/>
    <w:rsid w:val="449C7223"/>
    <w:rsid w:val="44B1076D"/>
    <w:rsid w:val="44CC41B8"/>
    <w:rsid w:val="453758A0"/>
    <w:rsid w:val="453B487D"/>
    <w:rsid w:val="45867E0E"/>
    <w:rsid w:val="458B6AE9"/>
    <w:rsid w:val="45A02594"/>
    <w:rsid w:val="45A04342"/>
    <w:rsid w:val="45A6389A"/>
    <w:rsid w:val="45B826FF"/>
    <w:rsid w:val="45CC3D42"/>
    <w:rsid w:val="45E53334"/>
    <w:rsid w:val="461E5281"/>
    <w:rsid w:val="46401681"/>
    <w:rsid w:val="46445615"/>
    <w:rsid w:val="46656052"/>
    <w:rsid w:val="46667EF0"/>
    <w:rsid w:val="46733805"/>
    <w:rsid w:val="46A13A9E"/>
    <w:rsid w:val="46AA2F9F"/>
    <w:rsid w:val="46AF18DF"/>
    <w:rsid w:val="46D85C52"/>
    <w:rsid w:val="46E85C25"/>
    <w:rsid w:val="47520928"/>
    <w:rsid w:val="47531CAE"/>
    <w:rsid w:val="47547C8B"/>
    <w:rsid w:val="477A6E15"/>
    <w:rsid w:val="4783525A"/>
    <w:rsid w:val="479C322F"/>
    <w:rsid w:val="47A520E4"/>
    <w:rsid w:val="47BE4F54"/>
    <w:rsid w:val="47D7007C"/>
    <w:rsid w:val="48253225"/>
    <w:rsid w:val="48421BF4"/>
    <w:rsid w:val="48631C90"/>
    <w:rsid w:val="48967C7F"/>
    <w:rsid w:val="48C641F8"/>
    <w:rsid w:val="48D34A2F"/>
    <w:rsid w:val="48D51EFC"/>
    <w:rsid w:val="48F57CDD"/>
    <w:rsid w:val="48FB0953"/>
    <w:rsid w:val="48FF4DC2"/>
    <w:rsid w:val="490F508A"/>
    <w:rsid w:val="490F7AD2"/>
    <w:rsid w:val="496B6BBA"/>
    <w:rsid w:val="499A379E"/>
    <w:rsid w:val="49A35E02"/>
    <w:rsid w:val="49A728B7"/>
    <w:rsid w:val="49B06023"/>
    <w:rsid w:val="4A354D9B"/>
    <w:rsid w:val="4A6D1AEE"/>
    <w:rsid w:val="4A996C28"/>
    <w:rsid w:val="4AB443EC"/>
    <w:rsid w:val="4AC50F12"/>
    <w:rsid w:val="4ADC7FD1"/>
    <w:rsid w:val="4AF238CF"/>
    <w:rsid w:val="4B047121"/>
    <w:rsid w:val="4B1A06F3"/>
    <w:rsid w:val="4B370D78"/>
    <w:rsid w:val="4B917821"/>
    <w:rsid w:val="4BED1491"/>
    <w:rsid w:val="4BF369AE"/>
    <w:rsid w:val="4C066EC9"/>
    <w:rsid w:val="4C0E648E"/>
    <w:rsid w:val="4C194E4E"/>
    <w:rsid w:val="4C2C4B82"/>
    <w:rsid w:val="4C3071BA"/>
    <w:rsid w:val="4C401D58"/>
    <w:rsid w:val="4C4A325A"/>
    <w:rsid w:val="4C5145E8"/>
    <w:rsid w:val="4C681932"/>
    <w:rsid w:val="4C7E1155"/>
    <w:rsid w:val="4C822D08"/>
    <w:rsid w:val="4CA94424"/>
    <w:rsid w:val="4CAA27E2"/>
    <w:rsid w:val="4CBD7ED0"/>
    <w:rsid w:val="4CE627DD"/>
    <w:rsid w:val="4D102665"/>
    <w:rsid w:val="4D151ABA"/>
    <w:rsid w:val="4D1D6F22"/>
    <w:rsid w:val="4D277206"/>
    <w:rsid w:val="4D295D13"/>
    <w:rsid w:val="4D2D76DE"/>
    <w:rsid w:val="4D352FB6"/>
    <w:rsid w:val="4D3E2F36"/>
    <w:rsid w:val="4DD03C33"/>
    <w:rsid w:val="4DE4764D"/>
    <w:rsid w:val="4DE82D2A"/>
    <w:rsid w:val="4E035DB6"/>
    <w:rsid w:val="4E0A0EF3"/>
    <w:rsid w:val="4E197388"/>
    <w:rsid w:val="4E314D77"/>
    <w:rsid w:val="4E320449"/>
    <w:rsid w:val="4E4F4B24"/>
    <w:rsid w:val="4E8862BB"/>
    <w:rsid w:val="4E906BD9"/>
    <w:rsid w:val="4ECF3EEA"/>
    <w:rsid w:val="4ED67027"/>
    <w:rsid w:val="4F1275C7"/>
    <w:rsid w:val="4F1B712F"/>
    <w:rsid w:val="4F530677"/>
    <w:rsid w:val="4F575F9B"/>
    <w:rsid w:val="4F6C7B01"/>
    <w:rsid w:val="4F786EFC"/>
    <w:rsid w:val="4FB8497E"/>
    <w:rsid w:val="50127EF3"/>
    <w:rsid w:val="5019541D"/>
    <w:rsid w:val="5021604D"/>
    <w:rsid w:val="502D7E84"/>
    <w:rsid w:val="503F29AA"/>
    <w:rsid w:val="50891E2D"/>
    <w:rsid w:val="50A13664"/>
    <w:rsid w:val="50C8026F"/>
    <w:rsid w:val="50E00577"/>
    <w:rsid w:val="50F12C0E"/>
    <w:rsid w:val="510C51A5"/>
    <w:rsid w:val="510D2AA8"/>
    <w:rsid w:val="51146F01"/>
    <w:rsid w:val="51165CF5"/>
    <w:rsid w:val="511875A6"/>
    <w:rsid w:val="518D123B"/>
    <w:rsid w:val="519F0FA7"/>
    <w:rsid w:val="51A05024"/>
    <w:rsid w:val="51AE428B"/>
    <w:rsid w:val="51E1554A"/>
    <w:rsid w:val="51E31A65"/>
    <w:rsid w:val="520B348B"/>
    <w:rsid w:val="52250447"/>
    <w:rsid w:val="52306FC5"/>
    <w:rsid w:val="523522B6"/>
    <w:rsid w:val="52382E6E"/>
    <w:rsid w:val="523D376F"/>
    <w:rsid w:val="523F60F4"/>
    <w:rsid w:val="5244074B"/>
    <w:rsid w:val="525F5F0B"/>
    <w:rsid w:val="52600C5A"/>
    <w:rsid w:val="52636E23"/>
    <w:rsid w:val="5265077A"/>
    <w:rsid w:val="5296268A"/>
    <w:rsid w:val="52A3475A"/>
    <w:rsid w:val="52B837C4"/>
    <w:rsid w:val="52BA0DE1"/>
    <w:rsid w:val="52CB49C9"/>
    <w:rsid w:val="52CD6993"/>
    <w:rsid w:val="5337070E"/>
    <w:rsid w:val="534F62F5"/>
    <w:rsid w:val="53682831"/>
    <w:rsid w:val="536A41E2"/>
    <w:rsid w:val="539435ED"/>
    <w:rsid w:val="53AF2F0C"/>
    <w:rsid w:val="53B13BBE"/>
    <w:rsid w:val="53B7679C"/>
    <w:rsid w:val="53BD07B5"/>
    <w:rsid w:val="53CB729C"/>
    <w:rsid w:val="53CE781B"/>
    <w:rsid w:val="541128AF"/>
    <w:rsid w:val="54280325"/>
    <w:rsid w:val="543A0058"/>
    <w:rsid w:val="54502734"/>
    <w:rsid w:val="546F02F6"/>
    <w:rsid w:val="54783C5F"/>
    <w:rsid w:val="5486329D"/>
    <w:rsid w:val="54A52C3B"/>
    <w:rsid w:val="54BC6CBF"/>
    <w:rsid w:val="54E51D72"/>
    <w:rsid w:val="54F226E1"/>
    <w:rsid w:val="551C63B2"/>
    <w:rsid w:val="555B6C9F"/>
    <w:rsid w:val="556A2C63"/>
    <w:rsid w:val="55713EA5"/>
    <w:rsid w:val="557B2D6A"/>
    <w:rsid w:val="557E05CF"/>
    <w:rsid w:val="55D1384C"/>
    <w:rsid w:val="55F52488"/>
    <w:rsid w:val="55F549AD"/>
    <w:rsid w:val="560E52F8"/>
    <w:rsid w:val="56384123"/>
    <w:rsid w:val="568455BA"/>
    <w:rsid w:val="56981066"/>
    <w:rsid w:val="569F1293"/>
    <w:rsid w:val="56BE653E"/>
    <w:rsid w:val="56D75FD7"/>
    <w:rsid w:val="56E62552"/>
    <w:rsid w:val="570773BC"/>
    <w:rsid w:val="570A5831"/>
    <w:rsid w:val="570D2E66"/>
    <w:rsid w:val="57276F28"/>
    <w:rsid w:val="575A5C98"/>
    <w:rsid w:val="57603931"/>
    <w:rsid w:val="57680A38"/>
    <w:rsid w:val="578C2FC3"/>
    <w:rsid w:val="57A44166"/>
    <w:rsid w:val="57B679F5"/>
    <w:rsid w:val="58030804"/>
    <w:rsid w:val="583077A8"/>
    <w:rsid w:val="585E061A"/>
    <w:rsid w:val="5890050B"/>
    <w:rsid w:val="58936372"/>
    <w:rsid w:val="58970BBD"/>
    <w:rsid w:val="58B061F7"/>
    <w:rsid w:val="58CC3C08"/>
    <w:rsid w:val="5903310E"/>
    <w:rsid w:val="591217E2"/>
    <w:rsid w:val="592D0F8B"/>
    <w:rsid w:val="5942627A"/>
    <w:rsid w:val="5955096C"/>
    <w:rsid w:val="595C637A"/>
    <w:rsid w:val="59750963"/>
    <w:rsid w:val="598A06ED"/>
    <w:rsid w:val="59B61F2F"/>
    <w:rsid w:val="59C363FA"/>
    <w:rsid w:val="59DC4EB6"/>
    <w:rsid w:val="59E612F7"/>
    <w:rsid w:val="59E71A22"/>
    <w:rsid w:val="59EC5950"/>
    <w:rsid w:val="5A0B4F10"/>
    <w:rsid w:val="5A1A070F"/>
    <w:rsid w:val="5A1E1882"/>
    <w:rsid w:val="5A1E4733"/>
    <w:rsid w:val="5A33357F"/>
    <w:rsid w:val="5A3A2B60"/>
    <w:rsid w:val="5A570963"/>
    <w:rsid w:val="5A65343B"/>
    <w:rsid w:val="5A7140A7"/>
    <w:rsid w:val="5AE66844"/>
    <w:rsid w:val="5AE825BC"/>
    <w:rsid w:val="5B155DF6"/>
    <w:rsid w:val="5B2B6A2C"/>
    <w:rsid w:val="5B5E126B"/>
    <w:rsid w:val="5B724C57"/>
    <w:rsid w:val="5BB406F0"/>
    <w:rsid w:val="5BF807E5"/>
    <w:rsid w:val="5C292E8C"/>
    <w:rsid w:val="5CED502C"/>
    <w:rsid w:val="5CEF4F81"/>
    <w:rsid w:val="5CFC5582"/>
    <w:rsid w:val="5D0C25BE"/>
    <w:rsid w:val="5D5E6B65"/>
    <w:rsid w:val="5D83037A"/>
    <w:rsid w:val="5DA3681C"/>
    <w:rsid w:val="5DB20C5F"/>
    <w:rsid w:val="5DE11544"/>
    <w:rsid w:val="5DE54B90"/>
    <w:rsid w:val="5DEF5A0F"/>
    <w:rsid w:val="5DF24AA1"/>
    <w:rsid w:val="5E5E1703"/>
    <w:rsid w:val="5E841B1E"/>
    <w:rsid w:val="5E9076E4"/>
    <w:rsid w:val="5EB033F0"/>
    <w:rsid w:val="5EEE0F28"/>
    <w:rsid w:val="5EF67613"/>
    <w:rsid w:val="5F2B6F1B"/>
    <w:rsid w:val="5F4E2554"/>
    <w:rsid w:val="5F732809"/>
    <w:rsid w:val="5FCA1916"/>
    <w:rsid w:val="5FCC02CF"/>
    <w:rsid w:val="5FCD5E09"/>
    <w:rsid w:val="60361564"/>
    <w:rsid w:val="60365B77"/>
    <w:rsid w:val="603E2C7E"/>
    <w:rsid w:val="606306D7"/>
    <w:rsid w:val="60636240"/>
    <w:rsid w:val="606721D5"/>
    <w:rsid w:val="60793345"/>
    <w:rsid w:val="60917251"/>
    <w:rsid w:val="60AE1BB1"/>
    <w:rsid w:val="60C41FB8"/>
    <w:rsid w:val="60CE5DB0"/>
    <w:rsid w:val="60CF1A72"/>
    <w:rsid w:val="60D158A0"/>
    <w:rsid w:val="61216AC0"/>
    <w:rsid w:val="613C2D53"/>
    <w:rsid w:val="61477910"/>
    <w:rsid w:val="61493688"/>
    <w:rsid w:val="61572249"/>
    <w:rsid w:val="618F19E3"/>
    <w:rsid w:val="61AF5DDB"/>
    <w:rsid w:val="61B43C25"/>
    <w:rsid w:val="61D564F8"/>
    <w:rsid w:val="62090D56"/>
    <w:rsid w:val="6247406C"/>
    <w:rsid w:val="628506F0"/>
    <w:rsid w:val="628A3F58"/>
    <w:rsid w:val="62A943E9"/>
    <w:rsid w:val="62AA2731"/>
    <w:rsid w:val="62B24A68"/>
    <w:rsid w:val="62BD38EC"/>
    <w:rsid w:val="62C236F2"/>
    <w:rsid w:val="62D578C9"/>
    <w:rsid w:val="62D60F4C"/>
    <w:rsid w:val="62FB0C6A"/>
    <w:rsid w:val="632F1D8D"/>
    <w:rsid w:val="633E154B"/>
    <w:rsid w:val="634E311E"/>
    <w:rsid w:val="63516BDD"/>
    <w:rsid w:val="63546B8F"/>
    <w:rsid w:val="637D3ABD"/>
    <w:rsid w:val="63967D7A"/>
    <w:rsid w:val="63A95F07"/>
    <w:rsid w:val="63C24633"/>
    <w:rsid w:val="63C70247"/>
    <w:rsid w:val="63DD7470"/>
    <w:rsid w:val="63E5025C"/>
    <w:rsid w:val="63E92F01"/>
    <w:rsid w:val="64053393"/>
    <w:rsid w:val="642503DD"/>
    <w:rsid w:val="64323225"/>
    <w:rsid w:val="644C3BBB"/>
    <w:rsid w:val="64A83D4F"/>
    <w:rsid w:val="64AC28AC"/>
    <w:rsid w:val="64B81251"/>
    <w:rsid w:val="64C52184"/>
    <w:rsid w:val="64C75CDC"/>
    <w:rsid w:val="64E42046"/>
    <w:rsid w:val="650A75D2"/>
    <w:rsid w:val="65167D25"/>
    <w:rsid w:val="65177D95"/>
    <w:rsid w:val="6530240E"/>
    <w:rsid w:val="654666FA"/>
    <w:rsid w:val="6568012E"/>
    <w:rsid w:val="659245F2"/>
    <w:rsid w:val="65C01710"/>
    <w:rsid w:val="65C06EEE"/>
    <w:rsid w:val="65C12486"/>
    <w:rsid w:val="66187ACD"/>
    <w:rsid w:val="66195D1F"/>
    <w:rsid w:val="662F72F1"/>
    <w:rsid w:val="66393AA7"/>
    <w:rsid w:val="665E3732"/>
    <w:rsid w:val="666A451D"/>
    <w:rsid w:val="66C428BE"/>
    <w:rsid w:val="66CC2925"/>
    <w:rsid w:val="66DD261A"/>
    <w:rsid w:val="66F9300F"/>
    <w:rsid w:val="670565A4"/>
    <w:rsid w:val="67075FC6"/>
    <w:rsid w:val="67090F3F"/>
    <w:rsid w:val="6723756E"/>
    <w:rsid w:val="67425591"/>
    <w:rsid w:val="67475CCF"/>
    <w:rsid w:val="674930DD"/>
    <w:rsid w:val="67582877"/>
    <w:rsid w:val="67825B46"/>
    <w:rsid w:val="6796514D"/>
    <w:rsid w:val="679E601D"/>
    <w:rsid w:val="67A91BA6"/>
    <w:rsid w:val="67E22141"/>
    <w:rsid w:val="67EC2600"/>
    <w:rsid w:val="67EC2FBF"/>
    <w:rsid w:val="67F87208"/>
    <w:rsid w:val="68071BA7"/>
    <w:rsid w:val="68112A26"/>
    <w:rsid w:val="686F4CA6"/>
    <w:rsid w:val="689F340D"/>
    <w:rsid w:val="68B166E3"/>
    <w:rsid w:val="68C13792"/>
    <w:rsid w:val="68C87988"/>
    <w:rsid w:val="68FE72B3"/>
    <w:rsid w:val="692C5D69"/>
    <w:rsid w:val="693A6D65"/>
    <w:rsid w:val="69603EBD"/>
    <w:rsid w:val="69623539"/>
    <w:rsid w:val="696B1A8E"/>
    <w:rsid w:val="69774F7D"/>
    <w:rsid w:val="697E1F80"/>
    <w:rsid w:val="69904407"/>
    <w:rsid w:val="69B95123"/>
    <w:rsid w:val="69C73CE4"/>
    <w:rsid w:val="69D57D56"/>
    <w:rsid w:val="69DA57C5"/>
    <w:rsid w:val="6A3E116B"/>
    <w:rsid w:val="6A624C54"/>
    <w:rsid w:val="6A891B18"/>
    <w:rsid w:val="6A8B4D12"/>
    <w:rsid w:val="6AD95A7D"/>
    <w:rsid w:val="6AF24D91"/>
    <w:rsid w:val="6B0A3E88"/>
    <w:rsid w:val="6B4339B8"/>
    <w:rsid w:val="6B5C045C"/>
    <w:rsid w:val="6B713F07"/>
    <w:rsid w:val="6B824366"/>
    <w:rsid w:val="6BBE1707"/>
    <w:rsid w:val="6C117498"/>
    <w:rsid w:val="6C2E10E1"/>
    <w:rsid w:val="6C6121CE"/>
    <w:rsid w:val="6CC87B57"/>
    <w:rsid w:val="6CE4549A"/>
    <w:rsid w:val="6D0B3BBA"/>
    <w:rsid w:val="6D6C0E2A"/>
    <w:rsid w:val="6D716441"/>
    <w:rsid w:val="6D7A239C"/>
    <w:rsid w:val="6DB4632D"/>
    <w:rsid w:val="6DB66549"/>
    <w:rsid w:val="6DC70686"/>
    <w:rsid w:val="6DD54C21"/>
    <w:rsid w:val="6DE44E65"/>
    <w:rsid w:val="6DE65EC7"/>
    <w:rsid w:val="6E104701"/>
    <w:rsid w:val="6E2D03DD"/>
    <w:rsid w:val="6E3851B0"/>
    <w:rsid w:val="6E4E0530"/>
    <w:rsid w:val="6E533D98"/>
    <w:rsid w:val="6E654D5A"/>
    <w:rsid w:val="6E7770F2"/>
    <w:rsid w:val="6EAB1E23"/>
    <w:rsid w:val="6EBC5FF8"/>
    <w:rsid w:val="6EF90FD5"/>
    <w:rsid w:val="6F0E7CBF"/>
    <w:rsid w:val="6F146324"/>
    <w:rsid w:val="6F8306AD"/>
    <w:rsid w:val="6F8B3D88"/>
    <w:rsid w:val="6FAC3760"/>
    <w:rsid w:val="6FB17075"/>
    <w:rsid w:val="701766BA"/>
    <w:rsid w:val="703B4AE4"/>
    <w:rsid w:val="704E6CD1"/>
    <w:rsid w:val="70A33835"/>
    <w:rsid w:val="70D021EC"/>
    <w:rsid w:val="70DD4AF8"/>
    <w:rsid w:val="70FA674D"/>
    <w:rsid w:val="71257C6E"/>
    <w:rsid w:val="713A2FED"/>
    <w:rsid w:val="715E3AA4"/>
    <w:rsid w:val="71627D79"/>
    <w:rsid w:val="71686A07"/>
    <w:rsid w:val="718F50E7"/>
    <w:rsid w:val="71A861A9"/>
    <w:rsid w:val="71BB6DAD"/>
    <w:rsid w:val="71CF4CF2"/>
    <w:rsid w:val="71FA5FC9"/>
    <w:rsid w:val="72195677"/>
    <w:rsid w:val="721E46BD"/>
    <w:rsid w:val="722C0505"/>
    <w:rsid w:val="726522EC"/>
    <w:rsid w:val="72A917D7"/>
    <w:rsid w:val="72E15E16"/>
    <w:rsid w:val="7307540F"/>
    <w:rsid w:val="73214465"/>
    <w:rsid w:val="7328197D"/>
    <w:rsid w:val="73305690"/>
    <w:rsid w:val="73470D03"/>
    <w:rsid w:val="736762CA"/>
    <w:rsid w:val="737E039A"/>
    <w:rsid w:val="738F5C2F"/>
    <w:rsid w:val="73911D19"/>
    <w:rsid w:val="73B21144"/>
    <w:rsid w:val="73B23EE7"/>
    <w:rsid w:val="73CA30AF"/>
    <w:rsid w:val="73CF165B"/>
    <w:rsid w:val="73DB21E0"/>
    <w:rsid w:val="73FB2F08"/>
    <w:rsid w:val="74207AF5"/>
    <w:rsid w:val="7431692A"/>
    <w:rsid w:val="744A79EB"/>
    <w:rsid w:val="745368A0"/>
    <w:rsid w:val="74786307"/>
    <w:rsid w:val="748C3B60"/>
    <w:rsid w:val="7498403D"/>
    <w:rsid w:val="74C23613"/>
    <w:rsid w:val="74F71921"/>
    <w:rsid w:val="750076C7"/>
    <w:rsid w:val="7508162A"/>
    <w:rsid w:val="7568637B"/>
    <w:rsid w:val="7590607E"/>
    <w:rsid w:val="759E3B4B"/>
    <w:rsid w:val="75A54E9F"/>
    <w:rsid w:val="75C40CCF"/>
    <w:rsid w:val="762075D5"/>
    <w:rsid w:val="764F3FF2"/>
    <w:rsid w:val="7694464C"/>
    <w:rsid w:val="76951CF0"/>
    <w:rsid w:val="76C90CE8"/>
    <w:rsid w:val="76EF7786"/>
    <w:rsid w:val="77133466"/>
    <w:rsid w:val="772207AC"/>
    <w:rsid w:val="774C75D7"/>
    <w:rsid w:val="775A1CF3"/>
    <w:rsid w:val="778B00FF"/>
    <w:rsid w:val="779571D0"/>
    <w:rsid w:val="77BC38A7"/>
    <w:rsid w:val="77D221D2"/>
    <w:rsid w:val="77E61852"/>
    <w:rsid w:val="78444D64"/>
    <w:rsid w:val="788B40AF"/>
    <w:rsid w:val="78A75C8C"/>
    <w:rsid w:val="78C008B2"/>
    <w:rsid w:val="78C25DA2"/>
    <w:rsid w:val="78C80CA1"/>
    <w:rsid w:val="78E77E6E"/>
    <w:rsid w:val="78F63C9E"/>
    <w:rsid w:val="78F745D1"/>
    <w:rsid w:val="79115D44"/>
    <w:rsid w:val="7912762B"/>
    <w:rsid w:val="79190DDB"/>
    <w:rsid w:val="794A5D98"/>
    <w:rsid w:val="79627585"/>
    <w:rsid w:val="798F623A"/>
    <w:rsid w:val="79A951B4"/>
    <w:rsid w:val="7A0A2078"/>
    <w:rsid w:val="7A48677B"/>
    <w:rsid w:val="7A6F3D08"/>
    <w:rsid w:val="7AB975A7"/>
    <w:rsid w:val="7AC5601E"/>
    <w:rsid w:val="7AD87AFF"/>
    <w:rsid w:val="7B1228E5"/>
    <w:rsid w:val="7B3B008E"/>
    <w:rsid w:val="7B467F1D"/>
    <w:rsid w:val="7B4C4774"/>
    <w:rsid w:val="7B5829EE"/>
    <w:rsid w:val="7B58409F"/>
    <w:rsid w:val="7B6041F7"/>
    <w:rsid w:val="7B833871"/>
    <w:rsid w:val="7B8C6B3B"/>
    <w:rsid w:val="7B8D1810"/>
    <w:rsid w:val="7BA4716E"/>
    <w:rsid w:val="7BFE17E7"/>
    <w:rsid w:val="7C1C3A1B"/>
    <w:rsid w:val="7C6B04FF"/>
    <w:rsid w:val="7C72745C"/>
    <w:rsid w:val="7C7C2088"/>
    <w:rsid w:val="7C961A20"/>
    <w:rsid w:val="7CE54755"/>
    <w:rsid w:val="7CF577D7"/>
    <w:rsid w:val="7D2C4132"/>
    <w:rsid w:val="7D3D595C"/>
    <w:rsid w:val="7D4E22FA"/>
    <w:rsid w:val="7D741635"/>
    <w:rsid w:val="7D747887"/>
    <w:rsid w:val="7D7E6B5E"/>
    <w:rsid w:val="7DBC3708"/>
    <w:rsid w:val="7DD33BBB"/>
    <w:rsid w:val="7E4159BB"/>
    <w:rsid w:val="7E4E00D8"/>
    <w:rsid w:val="7E556DF8"/>
    <w:rsid w:val="7E944A7F"/>
    <w:rsid w:val="7EFB7BB3"/>
    <w:rsid w:val="7F0C5FC9"/>
    <w:rsid w:val="7F44261A"/>
    <w:rsid w:val="7F4B4848"/>
    <w:rsid w:val="7F686F78"/>
    <w:rsid w:val="7F6E20C0"/>
    <w:rsid w:val="7FAC3308"/>
    <w:rsid w:val="7FE57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500" w:lineRule="exact"/>
      <w:ind w:firstLine="560" w:firstLineChars="200"/>
      <w:jc w:val="both"/>
    </w:pPr>
    <w:rPr>
      <w:rFonts w:ascii="宋体" w:hAnsi="宋体" w:eastAsia="宋体" w:cs="宋体"/>
      <w:kern w:val="2"/>
      <w:sz w:val="28"/>
      <w:lang w:val="en-US" w:eastAsia="zh-CN" w:bidi="ar-SA"/>
    </w:rPr>
  </w:style>
  <w:style w:type="paragraph" w:styleId="2">
    <w:name w:val="heading 1"/>
    <w:basedOn w:val="1"/>
    <w:next w:val="1"/>
    <w:link w:val="99"/>
    <w:autoRedefine/>
    <w:qFormat/>
    <w:uiPriority w:val="0"/>
    <w:pPr>
      <w:keepNext/>
      <w:keepLines/>
      <w:numPr>
        <w:ilvl w:val="0"/>
        <w:numId w:val="1"/>
      </w:numPr>
      <w:spacing w:before="50" w:beforeLines="50" w:after="50" w:afterLines="50"/>
      <w:ind w:firstLineChars="0"/>
      <w:jc w:val="center"/>
      <w:outlineLvl w:val="0"/>
    </w:pPr>
    <w:rPr>
      <w:rFonts w:eastAsia="黑体"/>
      <w:b/>
      <w:bCs/>
      <w:kern w:val="44"/>
      <w:sz w:val="32"/>
      <w:szCs w:val="44"/>
    </w:rPr>
  </w:style>
  <w:style w:type="paragraph" w:styleId="3">
    <w:name w:val="heading 2"/>
    <w:basedOn w:val="1"/>
    <w:next w:val="1"/>
    <w:link w:val="100"/>
    <w:autoRedefine/>
    <w:qFormat/>
    <w:uiPriority w:val="0"/>
    <w:pPr>
      <w:keepNext/>
      <w:keepLines/>
      <w:numPr>
        <w:ilvl w:val="1"/>
        <w:numId w:val="1"/>
      </w:numPr>
      <w:ind w:firstLineChars="0"/>
      <w:jc w:val="center"/>
      <w:outlineLvl w:val="1"/>
    </w:pPr>
    <w:rPr>
      <w:rFonts w:eastAsia="楷体" w:cs="Times New Roman"/>
      <w:b/>
      <w:bCs/>
      <w:sz w:val="32"/>
      <w:szCs w:val="32"/>
    </w:rPr>
  </w:style>
  <w:style w:type="paragraph" w:styleId="4">
    <w:name w:val="heading 3"/>
    <w:basedOn w:val="1"/>
    <w:next w:val="1"/>
    <w:autoRedefine/>
    <w:qFormat/>
    <w:uiPriority w:val="0"/>
    <w:pPr>
      <w:keepNext/>
      <w:keepLines/>
      <w:numPr>
        <w:ilvl w:val="2"/>
        <w:numId w:val="1"/>
      </w:numPr>
      <w:tabs>
        <w:tab w:val="left" w:pos="992"/>
      </w:tabs>
      <w:ind w:firstLineChars="0"/>
      <w:jc w:val="left"/>
      <w:outlineLvl w:val="2"/>
    </w:pPr>
    <w:rPr>
      <w:rFonts w:eastAsia="黑体" w:cs="Times New Roman"/>
      <w:b/>
      <w:bCs/>
    </w:rPr>
  </w:style>
  <w:style w:type="paragraph" w:styleId="5">
    <w:name w:val="heading 4"/>
    <w:basedOn w:val="1"/>
    <w:next w:val="1"/>
    <w:autoRedefine/>
    <w:qFormat/>
    <w:uiPriority w:val="0"/>
    <w:pPr>
      <w:keepNext/>
      <w:numPr>
        <w:ilvl w:val="3"/>
        <w:numId w:val="1"/>
      </w:numPr>
      <w:outlineLvl w:val="3"/>
    </w:pPr>
    <w:rPr>
      <w:bCs/>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7">
    <w:name w:val="E-mail Signature"/>
    <w:basedOn w:val="1"/>
    <w:next w:val="8"/>
    <w:autoRedefine/>
    <w:qFormat/>
    <w:uiPriority w:val="0"/>
    <w:pPr>
      <w:spacing w:line="460" w:lineRule="exact"/>
      <w:ind w:firstLine="200"/>
    </w:pPr>
    <w:rPr>
      <w:rFonts w:ascii="Times New Roman"/>
      <w:sz w:val="24"/>
    </w:rPr>
  </w:style>
  <w:style w:type="paragraph" w:customStyle="1" w:styleId="8">
    <w:name w:val="文章"/>
    <w:basedOn w:val="9"/>
    <w:next w:val="11"/>
    <w:autoRedefine/>
    <w:qFormat/>
    <w:uiPriority w:val="0"/>
    <w:pPr>
      <w:widowControl/>
      <w:spacing w:line="240" w:lineRule="auto"/>
      <w:ind w:firstLine="480"/>
      <w:jc w:val="center"/>
    </w:pPr>
    <w:rPr>
      <w:rFonts w:ascii="Times New Roman"/>
      <w:sz w:val="26"/>
    </w:rPr>
  </w:style>
  <w:style w:type="paragraph" w:styleId="9">
    <w:name w:val="Body Text Indent"/>
    <w:basedOn w:val="1"/>
    <w:next w:val="10"/>
    <w:autoRedefine/>
    <w:qFormat/>
    <w:uiPriority w:val="0"/>
  </w:style>
  <w:style w:type="paragraph" w:styleId="10">
    <w:name w:val="toc 4"/>
    <w:basedOn w:val="1"/>
    <w:next w:val="1"/>
    <w:autoRedefine/>
    <w:qFormat/>
    <w:uiPriority w:val="39"/>
    <w:pPr>
      <w:ind w:left="840"/>
      <w:jc w:val="left"/>
    </w:pPr>
    <w:rPr>
      <w:rFonts w:asciiTheme="minorHAnsi" w:hAnsiTheme="minorHAnsi" w:cstheme="minorHAnsi"/>
      <w:sz w:val="18"/>
      <w:szCs w:val="18"/>
    </w:rPr>
  </w:style>
  <w:style w:type="paragraph" w:styleId="11">
    <w:name w:val="List"/>
    <w:basedOn w:val="1"/>
    <w:next w:val="12"/>
    <w:autoRedefine/>
    <w:qFormat/>
    <w:uiPriority w:val="0"/>
    <w:pPr>
      <w:ind w:left="200" w:hanging="200" w:hangingChars="200"/>
      <w:contextualSpacing/>
    </w:pPr>
  </w:style>
  <w:style w:type="paragraph" w:styleId="12">
    <w:name w:val="List Bullet 2"/>
    <w:basedOn w:val="1"/>
    <w:next w:val="13"/>
    <w:autoRedefine/>
    <w:qFormat/>
    <w:uiPriority w:val="0"/>
    <w:pPr>
      <w:numPr>
        <w:ilvl w:val="0"/>
        <w:numId w:val="2"/>
      </w:numPr>
    </w:pPr>
  </w:style>
  <w:style w:type="paragraph" w:customStyle="1" w:styleId="13">
    <w:name w:val="xl70"/>
    <w:basedOn w:val="1"/>
    <w:next w:val="14"/>
    <w:autoRedefine/>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center"/>
    </w:pPr>
    <w:rPr>
      <w:kern w:val="0"/>
      <w:sz w:val="24"/>
    </w:rPr>
  </w:style>
  <w:style w:type="paragraph" w:customStyle="1" w:styleId="14">
    <w:name w:val="正文缩进1"/>
    <w:basedOn w:val="1"/>
    <w:next w:val="15"/>
    <w:autoRedefine/>
    <w:qFormat/>
    <w:uiPriority w:val="0"/>
    <w:pPr>
      <w:spacing w:line="360" w:lineRule="auto"/>
      <w:ind w:firstLine="420"/>
    </w:pPr>
  </w:style>
  <w:style w:type="paragraph" w:customStyle="1" w:styleId="15">
    <w:name w:val="td1"/>
    <w:basedOn w:val="1"/>
    <w:next w:val="1"/>
    <w:autoRedefine/>
    <w:qFormat/>
    <w:uiPriority w:val="0"/>
    <w:pPr>
      <w:widowControl/>
      <w:spacing w:before="280" w:after="280" w:line="300" w:lineRule="atLeast"/>
      <w:ind w:firstLine="200"/>
    </w:pPr>
    <w:rPr>
      <w:rFonts w:ascii="Times New Roman"/>
      <w:color w:val="000000"/>
      <w:sz w:val="18"/>
    </w:rPr>
  </w:style>
  <w:style w:type="paragraph" w:styleId="16">
    <w:name w:val="Document Map"/>
    <w:basedOn w:val="1"/>
    <w:autoRedefine/>
    <w:qFormat/>
    <w:uiPriority w:val="0"/>
    <w:pPr>
      <w:shd w:val="clear" w:color="auto" w:fill="000080"/>
    </w:pPr>
  </w:style>
  <w:style w:type="paragraph" w:styleId="17">
    <w:name w:val="annotation text"/>
    <w:basedOn w:val="1"/>
    <w:link w:val="96"/>
    <w:autoRedefine/>
    <w:qFormat/>
    <w:uiPriority w:val="0"/>
    <w:pPr>
      <w:jc w:val="left"/>
    </w:pPr>
    <w:rPr>
      <w:rFonts w:cs="Times New Roman"/>
      <w:szCs w:val="24"/>
    </w:rPr>
  </w:style>
  <w:style w:type="paragraph" w:styleId="18">
    <w:name w:val="Body Text"/>
    <w:basedOn w:val="1"/>
    <w:next w:val="1"/>
    <w:autoRedefine/>
    <w:qFormat/>
    <w:uiPriority w:val="0"/>
    <w:pPr>
      <w:spacing w:after="120"/>
    </w:pPr>
  </w:style>
  <w:style w:type="paragraph" w:styleId="19">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20">
    <w:name w:val="toc 3"/>
    <w:basedOn w:val="1"/>
    <w:next w:val="1"/>
    <w:autoRedefine/>
    <w:qFormat/>
    <w:uiPriority w:val="39"/>
    <w:pPr>
      <w:spacing w:line="400" w:lineRule="exact"/>
      <w:jc w:val="left"/>
    </w:pPr>
    <w:rPr>
      <w:rFonts w:asciiTheme="minorHAnsi" w:hAnsiTheme="minorHAnsi" w:cstheme="minorHAnsi"/>
      <w:iCs/>
      <w:sz w:val="24"/>
    </w:rPr>
  </w:style>
  <w:style w:type="paragraph" w:styleId="21">
    <w:name w:val="Plain Text"/>
    <w:basedOn w:val="1"/>
    <w:link w:val="79"/>
    <w:autoRedefine/>
    <w:qFormat/>
    <w:uiPriority w:val="0"/>
    <w:pPr>
      <w:snapToGrid/>
      <w:spacing w:line="240" w:lineRule="auto"/>
    </w:pPr>
    <w:rPr>
      <w:rFonts w:hAnsi="Courier New" w:cs="Times New Roman"/>
    </w:rPr>
  </w:style>
  <w:style w:type="paragraph" w:styleId="22">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3">
    <w:name w:val="footer"/>
    <w:basedOn w:val="1"/>
    <w:link w:val="85"/>
    <w:autoRedefine/>
    <w:qFormat/>
    <w:uiPriority w:val="99"/>
    <w:pPr>
      <w:pBdr>
        <w:top w:val="single" w:color="auto" w:sz="4" w:space="1"/>
      </w:pBdr>
      <w:tabs>
        <w:tab w:val="center" w:leader="underscore" w:pos="4153"/>
        <w:tab w:val="right" w:leader="middleDot" w:pos="8306"/>
      </w:tabs>
      <w:spacing w:line="260" w:lineRule="exact"/>
      <w:jc w:val="left"/>
    </w:pPr>
    <w:rPr>
      <w:sz w:val="21"/>
      <w:szCs w:val="18"/>
    </w:rPr>
  </w:style>
  <w:style w:type="paragraph" w:styleId="24">
    <w:name w:val="header"/>
    <w:basedOn w:val="1"/>
    <w:autoRedefine/>
    <w:qFormat/>
    <w:uiPriority w:val="99"/>
    <w:pPr>
      <w:pBdr>
        <w:bottom w:val="single" w:color="auto" w:sz="6" w:space="1"/>
      </w:pBdr>
      <w:tabs>
        <w:tab w:val="center" w:pos="4153"/>
        <w:tab w:val="right" w:pos="8306"/>
      </w:tabs>
      <w:spacing w:line="520" w:lineRule="exact"/>
      <w:jc w:val="center"/>
    </w:pPr>
    <w:rPr>
      <w:sz w:val="21"/>
      <w:szCs w:val="18"/>
    </w:rPr>
  </w:style>
  <w:style w:type="paragraph" w:styleId="25">
    <w:name w:val="toc 1"/>
    <w:basedOn w:val="1"/>
    <w:next w:val="1"/>
    <w:autoRedefine/>
    <w:qFormat/>
    <w:uiPriority w:val="39"/>
    <w:pPr>
      <w:spacing w:line="400" w:lineRule="exact"/>
      <w:ind w:firstLine="0" w:firstLineChars="0"/>
      <w:jc w:val="left"/>
    </w:pPr>
    <w:rPr>
      <w:rFonts w:asciiTheme="minorHAnsi" w:hAnsiTheme="minorHAnsi" w:cstheme="minorHAnsi"/>
      <w:bCs/>
      <w:caps/>
      <w:sz w:val="24"/>
    </w:rPr>
  </w:style>
  <w:style w:type="paragraph" w:styleId="26">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27">
    <w:name w:val="toc 2"/>
    <w:basedOn w:val="1"/>
    <w:next w:val="7"/>
    <w:autoRedefine/>
    <w:qFormat/>
    <w:uiPriority w:val="39"/>
    <w:pPr>
      <w:spacing w:line="400" w:lineRule="exact"/>
      <w:ind w:firstLine="280" w:firstLineChars="100"/>
      <w:jc w:val="left"/>
    </w:pPr>
    <w:rPr>
      <w:rFonts w:asciiTheme="minorHAnsi" w:hAnsiTheme="minorHAnsi" w:cstheme="minorHAnsi"/>
      <w:smallCaps/>
      <w:sz w:val="24"/>
    </w:rPr>
  </w:style>
  <w:style w:type="paragraph" w:styleId="28">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29">
    <w:name w:val="Normal (Web)"/>
    <w:basedOn w:val="1"/>
    <w:autoRedefine/>
    <w:qFormat/>
    <w:uiPriority w:val="99"/>
    <w:pPr>
      <w:widowControl/>
      <w:snapToGrid/>
      <w:spacing w:before="100" w:beforeAutospacing="1" w:after="100" w:afterAutospacing="1" w:line="240" w:lineRule="auto"/>
      <w:jc w:val="left"/>
    </w:pPr>
    <w:rPr>
      <w:kern w:val="0"/>
      <w:sz w:val="24"/>
      <w:szCs w:val="24"/>
    </w:rPr>
  </w:style>
  <w:style w:type="paragraph" w:styleId="30">
    <w:name w:val="Title"/>
    <w:basedOn w:val="1"/>
    <w:next w:val="1"/>
    <w:link w:val="86"/>
    <w:autoRedefine/>
    <w:qFormat/>
    <w:uiPriority w:val="0"/>
    <w:pPr>
      <w:spacing w:before="240" w:after="60"/>
      <w:jc w:val="center"/>
      <w:outlineLvl w:val="0"/>
    </w:pPr>
    <w:rPr>
      <w:rFonts w:ascii="Cambria" w:hAnsi="Cambria" w:cs="Times New Roman"/>
      <w:b/>
      <w:bCs/>
      <w:sz w:val="32"/>
      <w:szCs w:val="32"/>
    </w:rPr>
  </w:style>
  <w:style w:type="paragraph" w:styleId="31">
    <w:name w:val="annotation subject"/>
    <w:basedOn w:val="17"/>
    <w:next w:val="17"/>
    <w:link w:val="97"/>
    <w:autoRedefine/>
    <w:qFormat/>
    <w:uiPriority w:val="0"/>
    <w:rPr>
      <w:rFonts w:cs="宋体"/>
      <w:b/>
      <w:bCs/>
      <w:szCs w:val="20"/>
    </w:rPr>
  </w:style>
  <w:style w:type="paragraph" w:styleId="32">
    <w:name w:val="Body Text First Indent"/>
    <w:basedOn w:val="1"/>
    <w:autoRedefine/>
    <w:qFormat/>
    <w:uiPriority w:val="0"/>
    <w:pPr>
      <w:spacing w:line="240" w:lineRule="auto"/>
      <w:ind w:firstLine="0" w:firstLineChars="0"/>
      <w:jc w:val="center"/>
    </w:pPr>
    <w:rPr>
      <w:snapToGrid w:val="0"/>
      <w:kern w:val="0"/>
      <w:sz w:val="24"/>
    </w:rPr>
  </w:style>
  <w:style w:type="table" w:styleId="34">
    <w:name w:val="Table Grid"/>
    <w:basedOn w:val="3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autoRedefine/>
    <w:qFormat/>
    <w:uiPriority w:val="0"/>
    <w:rPr>
      <w:b/>
      <w:bCs/>
    </w:rPr>
  </w:style>
  <w:style w:type="character" w:styleId="37">
    <w:name w:val="Hyperlink"/>
    <w:basedOn w:val="35"/>
    <w:autoRedefine/>
    <w:unhideWhenUsed/>
    <w:qFormat/>
    <w:uiPriority w:val="99"/>
    <w:rPr>
      <w:color w:val="0563C1" w:themeColor="hyperlink"/>
      <w:u w:val="single"/>
      <w14:textFill>
        <w14:solidFill>
          <w14:schemeClr w14:val="hlink"/>
        </w14:solidFill>
      </w14:textFill>
    </w:rPr>
  </w:style>
  <w:style w:type="character" w:styleId="38">
    <w:name w:val="annotation reference"/>
    <w:autoRedefine/>
    <w:qFormat/>
    <w:uiPriority w:val="0"/>
    <w:rPr>
      <w:sz w:val="21"/>
      <w:szCs w:val="21"/>
    </w:rPr>
  </w:style>
  <w:style w:type="paragraph" w:customStyle="1" w:styleId="39">
    <w:name w:val="Default"/>
    <w:basedOn w:val="40"/>
    <w:next w:val="41"/>
    <w:autoRedefine/>
    <w:qFormat/>
    <w:uiPriority w:val="0"/>
    <w:pPr>
      <w:autoSpaceDE w:val="0"/>
      <w:autoSpaceDN w:val="0"/>
    </w:pPr>
    <w:rPr>
      <w:rFonts w:hAnsi="Times New Roman"/>
      <w:color w:val="000000"/>
      <w:sz w:val="24"/>
      <w:szCs w:val="24"/>
    </w:rPr>
  </w:style>
  <w:style w:type="paragraph" w:customStyle="1" w:styleId="40">
    <w:name w:val="纯文本1"/>
    <w:basedOn w:val="1"/>
    <w:autoRedefine/>
    <w:qFormat/>
    <w:uiPriority w:val="0"/>
    <w:pPr>
      <w:adjustRightInd w:val="0"/>
    </w:pPr>
    <w:rPr>
      <w:rFonts w:hAnsi="Courier New"/>
    </w:rPr>
  </w:style>
  <w:style w:type="paragraph" w:customStyle="1" w:styleId="41">
    <w:name w:val="标题4"/>
    <w:basedOn w:val="1"/>
    <w:next w:val="42"/>
    <w:autoRedefine/>
    <w:qFormat/>
    <w:uiPriority w:val="0"/>
    <w:pPr>
      <w:outlineLvl w:val="3"/>
    </w:pPr>
    <w:rPr>
      <w:b/>
      <w:bCs/>
    </w:rPr>
  </w:style>
  <w:style w:type="paragraph" w:customStyle="1" w:styleId="42">
    <w:name w:val="Char1"/>
    <w:basedOn w:val="1"/>
    <w:next w:val="43"/>
    <w:autoRedefine/>
    <w:qFormat/>
    <w:uiPriority w:val="0"/>
    <w:pPr>
      <w:adjustRightInd w:val="0"/>
      <w:spacing w:line="360" w:lineRule="auto"/>
      <w:ind w:firstLine="200"/>
    </w:pPr>
    <w:rPr>
      <w:rFonts w:eastAsia="华文中宋" w:cs="Courier New"/>
      <w:sz w:val="32"/>
      <w:szCs w:val="32"/>
    </w:rPr>
  </w:style>
  <w:style w:type="paragraph" w:customStyle="1" w:styleId="43">
    <w:name w:val="Char"/>
    <w:basedOn w:val="16"/>
    <w:next w:val="44"/>
    <w:autoRedefine/>
    <w:qFormat/>
    <w:uiPriority w:val="0"/>
    <w:pPr>
      <w:widowControl/>
      <w:spacing w:after="160" w:line="240" w:lineRule="exact"/>
      <w:ind w:firstLine="3584"/>
    </w:pPr>
  </w:style>
  <w:style w:type="paragraph" w:customStyle="1" w:styleId="44">
    <w:name w:val="首行缩进加粗"/>
    <w:basedOn w:val="45"/>
    <w:next w:val="46"/>
    <w:link w:val="67"/>
    <w:autoRedefine/>
    <w:qFormat/>
    <w:uiPriority w:val="0"/>
    <w:rPr>
      <w:rFonts w:eastAsia="黑体"/>
      <w:b/>
      <w:bCs/>
    </w:rPr>
  </w:style>
  <w:style w:type="paragraph" w:customStyle="1" w:styleId="45">
    <w:name w:val="首行缩进"/>
    <w:basedOn w:val="1"/>
    <w:link w:val="81"/>
    <w:autoRedefine/>
    <w:qFormat/>
    <w:uiPriority w:val="0"/>
    <w:pPr>
      <w:ind w:firstLine="561"/>
    </w:pPr>
    <w:rPr>
      <w:kern w:val="0"/>
    </w:rPr>
  </w:style>
  <w:style w:type="paragraph" w:customStyle="1" w:styleId="46">
    <w:name w:val="四级条标题"/>
    <w:basedOn w:val="47"/>
    <w:next w:val="4"/>
    <w:autoRedefine/>
    <w:qFormat/>
    <w:uiPriority w:val="0"/>
    <w:pPr>
      <w:spacing w:before="50" w:after="50"/>
      <w:ind w:left="1080" w:firstLine="14"/>
      <w:outlineLvl w:val="5"/>
    </w:pPr>
  </w:style>
  <w:style w:type="paragraph" w:customStyle="1" w:styleId="47">
    <w:name w:val="三级条标题"/>
    <w:basedOn w:val="48"/>
    <w:next w:val="1"/>
    <w:autoRedefine/>
    <w:qFormat/>
    <w:uiPriority w:val="0"/>
    <w:pPr>
      <w:numPr>
        <w:ilvl w:val="4"/>
        <w:numId w:val="3"/>
      </w:numPr>
      <w:ind w:left="945"/>
      <w:outlineLvl w:val="4"/>
    </w:pPr>
  </w:style>
  <w:style w:type="paragraph" w:customStyle="1" w:styleId="48">
    <w:name w:val="二级条标题"/>
    <w:basedOn w:val="49"/>
    <w:next w:val="1"/>
    <w:autoRedefine/>
    <w:qFormat/>
    <w:uiPriority w:val="0"/>
    <w:pPr>
      <w:ind w:left="945"/>
      <w:outlineLvl w:val="3"/>
    </w:pPr>
  </w:style>
  <w:style w:type="paragraph" w:customStyle="1" w:styleId="49">
    <w:name w:val="一级条标题"/>
    <w:basedOn w:val="50"/>
    <w:next w:val="1"/>
    <w:autoRedefine/>
    <w:qFormat/>
    <w:uiPriority w:val="0"/>
    <w:pPr>
      <w:spacing w:before="0" w:beforeLines="0" w:after="0" w:afterLines="0"/>
      <w:outlineLvl w:val="2"/>
    </w:pPr>
  </w:style>
  <w:style w:type="paragraph" w:customStyle="1" w:styleId="50">
    <w:name w:val="章标题"/>
    <w:next w:val="1"/>
    <w:autoRedefine/>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51">
    <w:name w:val="样式35"/>
    <w:basedOn w:val="52"/>
    <w:next w:val="56"/>
    <w:autoRedefine/>
    <w:qFormat/>
    <w:uiPriority w:val="0"/>
    <w:pPr>
      <w:tabs>
        <w:tab w:val="left" w:pos="0"/>
        <w:tab w:val="left" w:pos="360"/>
        <w:tab w:val="left" w:pos="540"/>
        <w:tab w:val="left" w:pos="567"/>
      </w:tabs>
      <w:spacing w:before="0" w:after="0" w:line="312" w:lineRule="auto"/>
      <w:ind w:left="0" w:firstLine="567"/>
    </w:pPr>
    <w:rPr>
      <w:rFonts w:ascii="宋体" w:eastAsia="宋体"/>
    </w:rPr>
  </w:style>
  <w:style w:type="paragraph" w:customStyle="1" w:styleId="52">
    <w:name w:val="样式26"/>
    <w:basedOn w:val="53"/>
    <w:autoRedefine/>
    <w:qFormat/>
    <w:uiPriority w:val="0"/>
    <w:pPr>
      <w:tabs>
        <w:tab w:val="left" w:pos="0"/>
        <w:tab w:val="left" w:pos="360"/>
        <w:tab w:val="left" w:pos="540"/>
        <w:tab w:val="left" w:pos="567"/>
      </w:tabs>
    </w:pPr>
  </w:style>
  <w:style w:type="paragraph" w:customStyle="1" w:styleId="53">
    <w:name w:val="样式21"/>
    <w:basedOn w:val="54"/>
    <w:autoRedefine/>
    <w:qFormat/>
    <w:uiPriority w:val="0"/>
    <w:pPr>
      <w:tabs>
        <w:tab w:val="left" w:pos="360"/>
        <w:tab w:val="left" w:pos="567"/>
      </w:tabs>
      <w:spacing w:before="120" w:beforeLines="0" w:after="120" w:afterLines="0"/>
      <w:ind w:hanging="992"/>
    </w:pPr>
  </w:style>
  <w:style w:type="paragraph" w:customStyle="1" w:styleId="54">
    <w:name w:val="样式5"/>
    <w:basedOn w:val="55"/>
    <w:autoRedefine/>
    <w:qFormat/>
    <w:uiPriority w:val="0"/>
    <w:pPr>
      <w:tabs>
        <w:tab w:val="left" w:pos="360"/>
        <w:tab w:val="left" w:pos="567"/>
      </w:tabs>
    </w:pPr>
  </w:style>
  <w:style w:type="paragraph" w:customStyle="1" w:styleId="55">
    <w:name w:val="样式12"/>
    <w:basedOn w:val="1"/>
    <w:autoRedefine/>
    <w:qFormat/>
    <w:uiPriority w:val="0"/>
    <w:pPr>
      <w:keepNext/>
      <w:keepLines/>
      <w:tabs>
        <w:tab w:val="left" w:pos="360"/>
      </w:tabs>
      <w:spacing w:before="156" w:beforeLines="50" w:after="156" w:afterLines="50" w:line="360" w:lineRule="auto"/>
      <w:ind w:left="567" w:hanging="567"/>
      <w:outlineLvl w:val="1"/>
    </w:pPr>
    <w:rPr>
      <w:rFonts w:ascii="Times New Roman" w:hAnsi="Times New Roman" w:eastAsia="MS Mincho"/>
      <w:kern w:val="0"/>
      <w:szCs w:val="28"/>
    </w:rPr>
  </w:style>
  <w:style w:type="paragraph" w:customStyle="1" w:styleId="56">
    <w:name w:val="font6"/>
    <w:basedOn w:val="1"/>
    <w:next w:val="27"/>
    <w:autoRedefine/>
    <w:qFormat/>
    <w:uiPriority w:val="0"/>
    <w:pPr>
      <w:widowControl/>
      <w:spacing w:before="100" w:beforeAutospacing="1" w:after="100" w:afterAutospacing="1"/>
      <w:jc w:val="left"/>
    </w:pPr>
    <w:rPr>
      <w:rFonts w:hint="eastAsia"/>
      <w:b/>
      <w:bCs/>
      <w:color w:val="0000FF"/>
      <w:kern w:val="0"/>
      <w:sz w:val="48"/>
      <w:szCs w:val="48"/>
    </w:rPr>
  </w:style>
  <w:style w:type="paragraph" w:customStyle="1" w:styleId="57">
    <w:name w:val="封面3"/>
    <w:basedOn w:val="1"/>
    <w:autoRedefine/>
    <w:qFormat/>
    <w:uiPriority w:val="0"/>
    <w:pPr>
      <w:jc w:val="center"/>
    </w:pPr>
    <w:rPr>
      <w:b/>
      <w:sz w:val="32"/>
      <w:szCs w:val="32"/>
    </w:rPr>
  </w:style>
  <w:style w:type="paragraph" w:customStyle="1" w:styleId="58">
    <w:name w:val="封面1"/>
    <w:basedOn w:val="1"/>
    <w:autoRedefine/>
    <w:qFormat/>
    <w:uiPriority w:val="0"/>
    <w:pPr>
      <w:jc w:val="center"/>
    </w:pPr>
    <w:rPr>
      <w:b/>
      <w:bCs/>
      <w:kern w:val="3"/>
      <w:sz w:val="44"/>
      <w:szCs w:val="48"/>
    </w:rPr>
  </w:style>
  <w:style w:type="paragraph" w:customStyle="1" w:styleId="59">
    <w:name w:val="表头红2"/>
    <w:basedOn w:val="1"/>
    <w:autoRedefine/>
    <w:qFormat/>
    <w:uiPriority w:val="0"/>
    <w:pPr>
      <w:widowControl/>
      <w:spacing w:after="100" w:afterAutospacing="1"/>
      <w:jc w:val="center"/>
      <w:textAlignment w:val="center"/>
    </w:pPr>
    <w:rPr>
      <w:rFonts w:eastAsia="黑体"/>
      <w:b/>
      <w:kern w:val="0"/>
      <w:sz w:val="32"/>
    </w:rPr>
  </w:style>
  <w:style w:type="paragraph" w:customStyle="1" w:styleId="60">
    <w:name w:val="填表4小中"/>
    <w:basedOn w:val="1"/>
    <w:next w:val="1"/>
    <w:autoRedefine/>
    <w:qFormat/>
    <w:uiPriority w:val="0"/>
    <w:pPr>
      <w:snapToGrid/>
      <w:spacing w:line="240" w:lineRule="auto"/>
      <w:jc w:val="center"/>
    </w:pPr>
    <w:rPr>
      <w:rFonts w:cs="Times New Roman"/>
      <w:sz w:val="24"/>
      <w:szCs w:val="24"/>
    </w:rPr>
  </w:style>
  <w:style w:type="paragraph" w:customStyle="1" w:styleId="61">
    <w:name w:val="样式 (西文) 仿宋_GB2312 (中文) 仿宋_GB2312 二号 加粗 居中 行距: 1.5 倍行距"/>
    <w:basedOn w:val="1"/>
    <w:autoRedefine/>
    <w:qFormat/>
    <w:uiPriority w:val="0"/>
    <w:pPr>
      <w:widowControl/>
      <w:snapToGrid/>
      <w:jc w:val="center"/>
    </w:pPr>
    <w:rPr>
      <w:rFonts w:ascii="仿宋_GB2312"/>
      <w:bCs/>
      <w:sz w:val="44"/>
    </w:rPr>
  </w:style>
  <w:style w:type="paragraph" w:customStyle="1" w:styleId="62">
    <w:name w:val="填表4小中2倍行距"/>
    <w:basedOn w:val="63"/>
    <w:autoRedefine/>
    <w:qFormat/>
    <w:uiPriority w:val="0"/>
    <w:pPr>
      <w:snapToGrid/>
      <w:spacing w:line="480" w:lineRule="auto"/>
    </w:pPr>
    <w:rPr>
      <w:rFonts w:cs="Times New Roman"/>
      <w:sz w:val="24"/>
      <w:szCs w:val="24"/>
    </w:rPr>
  </w:style>
  <w:style w:type="paragraph" w:customStyle="1" w:styleId="63">
    <w:name w:val="填表4中"/>
    <w:basedOn w:val="1"/>
    <w:next w:val="1"/>
    <w:autoRedefine/>
    <w:qFormat/>
    <w:uiPriority w:val="0"/>
    <w:pPr>
      <w:jc w:val="center"/>
    </w:pPr>
    <w:rPr>
      <w:szCs w:val="28"/>
    </w:rPr>
  </w:style>
  <w:style w:type="paragraph" w:customStyle="1" w:styleId="64">
    <w:name w:val="正文居中"/>
    <w:basedOn w:val="1"/>
    <w:autoRedefine/>
    <w:qFormat/>
    <w:uiPriority w:val="0"/>
    <w:pPr>
      <w:jc w:val="center"/>
    </w:pPr>
  </w:style>
  <w:style w:type="paragraph" w:customStyle="1" w:styleId="65">
    <w:name w:val="表头"/>
    <w:basedOn w:val="1"/>
    <w:next w:val="1"/>
    <w:link w:val="80"/>
    <w:autoRedefine/>
    <w:qFormat/>
    <w:uiPriority w:val="0"/>
    <w:pPr>
      <w:jc w:val="center"/>
    </w:pPr>
    <w:rPr>
      <w:rFonts w:cs="Times New Roman"/>
      <w:b/>
      <w:kern w:val="0"/>
    </w:rPr>
  </w:style>
  <w:style w:type="paragraph" w:customStyle="1" w:styleId="66">
    <w:name w:val="填表4小中单倍行距"/>
    <w:basedOn w:val="62"/>
    <w:link w:val="95"/>
    <w:autoRedefine/>
    <w:qFormat/>
    <w:uiPriority w:val="0"/>
    <w:pPr>
      <w:spacing w:line="240" w:lineRule="auto"/>
    </w:pPr>
    <w:rPr>
      <w:szCs w:val="20"/>
    </w:rPr>
  </w:style>
  <w:style w:type="character" w:customStyle="1" w:styleId="67">
    <w:name w:val="首行缩进加粗 Char"/>
    <w:link w:val="44"/>
    <w:autoRedefine/>
    <w:qFormat/>
    <w:uiPriority w:val="0"/>
    <w:rPr>
      <w:rFonts w:eastAsia="黑体"/>
      <w:b/>
      <w:bCs/>
    </w:rPr>
  </w:style>
  <w:style w:type="paragraph" w:customStyle="1" w:styleId="68">
    <w:name w:val="填表4小单倍行距"/>
    <w:basedOn w:val="69"/>
    <w:autoRedefine/>
    <w:qFormat/>
    <w:uiPriority w:val="0"/>
    <w:pPr>
      <w:snapToGrid/>
      <w:spacing w:line="240" w:lineRule="auto"/>
    </w:pPr>
    <w:rPr>
      <w:rFonts w:cs="Times New Roman"/>
      <w:szCs w:val="24"/>
    </w:rPr>
  </w:style>
  <w:style w:type="paragraph" w:customStyle="1" w:styleId="69">
    <w:name w:val="填表4小"/>
    <w:basedOn w:val="1"/>
    <w:next w:val="1"/>
    <w:autoRedefine/>
    <w:qFormat/>
    <w:uiPriority w:val="0"/>
    <w:rPr>
      <w:sz w:val="24"/>
    </w:rPr>
  </w:style>
  <w:style w:type="paragraph" w:customStyle="1" w:styleId="70">
    <w:name w:val="DefaultParagraphStyle"/>
    <w:basedOn w:val="1"/>
    <w:autoRedefine/>
    <w:qFormat/>
    <w:uiPriority w:val="0"/>
    <w:pPr>
      <w:widowControl/>
      <w:snapToGrid/>
      <w:ind w:firstLine="420"/>
      <w:jc w:val="left"/>
    </w:pPr>
    <w:rPr>
      <w:rFonts w:ascii="Arial" w:hAnsi="Arial" w:cs="Arial"/>
      <w:kern w:val="0"/>
      <w:sz w:val="20"/>
    </w:rPr>
  </w:style>
  <w:style w:type="paragraph" w:customStyle="1" w:styleId="71">
    <w:name w:val="填表4小14磅"/>
    <w:basedOn w:val="68"/>
    <w:autoRedefine/>
    <w:qFormat/>
    <w:uiPriority w:val="0"/>
    <w:pPr>
      <w:spacing w:line="280" w:lineRule="exact"/>
    </w:pPr>
  </w:style>
  <w:style w:type="paragraph" w:customStyle="1" w:styleId="72">
    <w:name w:val="正文加粗"/>
    <w:basedOn w:val="1"/>
    <w:autoRedefine/>
    <w:qFormat/>
    <w:uiPriority w:val="0"/>
    <w:rPr>
      <w:rFonts w:eastAsia="黑体"/>
      <w:b/>
    </w:rPr>
  </w:style>
  <w:style w:type="paragraph" w:customStyle="1" w:styleId="73">
    <w:name w:val="填表5"/>
    <w:basedOn w:val="1"/>
    <w:autoRedefine/>
    <w:qFormat/>
    <w:uiPriority w:val="0"/>
    <w:pPr>
      <w:snapToGrid/>
      <w:jc w:val="left"/>
    </w:pPr>
    <w:rPr>
      <w:rFonts w:cs="Times New Roman"/>
      <w:sz w:val="21"/>
    </w:rPr>
  </w:style>
  <w:style w:type="paragraph" w:customStyle="1" w:styleId="74">
    <w:name w:val="填表5中"/>
    <w:basedOn w:val="1"/>
    <w:next w:val="1"/>
    <w:link w:val="82"/>
    <w:autoRedefine/>
    <w:qFormat/>
    <w:uiPriority w:val="0"/>
    <w:pPr>
      <w:snapToGrid/>
      <w:jc w:val="center"/>
    </w:pPr>
    <w:rPr>
      <w:rFonts w:cs="Times New Roman"/>
      <w:sz w:val="21"/>
    </w:rPr>
  </w:style>
  <w:style w:type="paragraph" w:customStyle="1" w:styleId="75">
    <w:name w:val="表内容2"/>
    <w:basedOn w:val="1"/>
    <w:autoRedefine/>
    <w:qFormat/>
    <w:uiPriority w:val="0"/>
    <w:pPr>
      <w:adjustRightInd w:val="0"/>
      <w:spacing w:line="240" w:lineRule="auto"/>
      <w:jc w:val="center"/>
    </w:pPr>
    <w:rPr>
      <w:rFonts w:ascii="Times New Roman" w:eastAsia="仿宋_GB2312" w:cs="Times New Roman"/>
      <w:b/>
      <w:kern w:val="0"/>
      <w:sz w:val="21"/>
      <w:szCs w:val="18"/>
      <w:lang w:val="zh-CN"/>
    </w:rPr>
  </w:style>
  <w:style w:type="paragraph" w:customStyle="1" w:styleId="76">
    <w:name w:val="Table Paragraph"/>
    <w:basedOn w:val="1"/>
    <w:autoRedefine/>
    <w:qFormat/>
    <w:uiPriority w:val="1"/>
    <w:rPr>
      <w:lang w:val="zh-CN" w:bidi="zh-CN"/>
    </w:rPr>
  </w:style>
  <w:style w:type="paragraph" w:customStyle="1" w:styleId="77">
    <w:name w:val="小表格"/>
    <w:basedOn w:val="1"/>
    <w:autoRedefine/>
    <w:qFormat/>
    <w:uiPriority w:val="0"/>
    <w:pPr>
      <w:spacing w:line="240" w:lineRule="auto"/>
      <w:ind w:firstLine="0" w:firstLineChars="0"/>
      <w:jc w:val="center"/>
    </w:pPr>
    <w:rPr>
      <w:sz w:val="21"/>
      <w:szCs w:val="21"/>
    </w:rPr>
  </w:style>
  <w:style w:type="paragraph" w:customStyle="1" w:styleId="78">
    <w:name w:val="图表名"/>
    <w:basedOn w:val="1"/>
    <w:next w:val="1"/>
    <w:autoRedefine/>
    <w:qFormat/>
    <w:uiPriority w:val="0"/>
    <w:pPr>
      <w:spacing w:line="240" w:lineRule="auto"/>
      <w:ind w:firstLine="0" w:firstLineChars="0"/>
      <w:jc w:val="center"/>
    </w:pPr>
    <w:rPr>
      <w:b/>
      <w:kern w:val="0"/>
      <w:sz w:val="24"/>
    </w:rPr>
  </w:style>
  <w:style w:type="character" w:customStyle="1" w:styleId="79">
    <w:name w:val="纯文本 字符"/>
    <w:link w:val="21"/>
    <w:autoRedefine/>
    <w:qFormat/>
    <w:uiPriority w:val="0"/>
    <w:rPr>
      <w:rFonts w:ascii="宋体" w:hAnsi="Courier New"/>
      <w:kern w:val="2"/>
      <w:sz w:val="28"/>
    </w:rPr>
  </w:style>
  <w:style w:type="character" w:customStyle="1" w:styleId="80">
    <w:name w:val="表头 Char"/>
    <w:link w:val="65"/>
    <w:autoRedefine/>
    <w:qFormat/>
    <w:uiPriority w:val="0"/>
    <w:rPr>
      <w:rFonts w:ascii="宋体"/>
      <w:b/>
      <w:sz w:val="28"/>
    </w:rPr>
  </w:style>
  <w:style w:type="character" w:customStyle="1" w:styleId="81">
    <w:name w:val="首行缩进 Char"/>
    <w:link w:val="45"/>
    <w:autoRedefine/>
    <w:qFormat/>
    <w:uiPriority w:val="0"/>
    <w:rPr>
      <w:rFonts w:ascii="宋体" w:hAnsi="宋体" w:eastAsia="宋体" w:cs="宋体"/>
      <w:sz w:val="28"/>
    </w:rPr>
  </w:style>
  <w:style w:type="character" w:customStyle="1" w:styleId="82">
    <w:name w:val="填表5中 Char"/>
    <w:link w:val="74"/>
    <w:autoRedefine/>
    <w:qFormat/>
    <w:uiPriority w:val="0"/>
    <w:rPr>
      <w:rFonts w:ascii="宋体"/>
      <w:kern w:val="2"/>
      <w:sz w:val="21"/>
    </w:rPr>
  </w:style>
  <w:style w:type="paragraph" w:customStyle="1" w:styleId="83">
    <w:name w:val="附件封面2"/>
    <w:basedOn w:val="1"/>
    <w:autoRedefine/>
    <w:qFormat/>
    <w:uiPriority w:val="0"/>
    <w:pPr>
      <w:ind w:firstLine="562"/>
      <w:jc w:val="left"/>
      <w:outlineLvl w:val="2"/>
    </w:pPr>
    <w:rPr>
      <w:rFonts w:eastAsia="黑体"/>
      <w:b/>
      <w:bCs/>
    </w:rPr>
  </w:style>
  <w:style w:type="character" w:customStyle="1" w:styleId="84">
    <w:name w:val="未处理的提及1"/>
    <w:basedOn w:val="35"/>
    <w:autoRedefine/>
    <w:semiHidden/>
    <w:unhideWhenUsed/>
    <w:qFormat/>
    <w:uiPriority w:val="99"/>
    <w:rPr>
      <w:color w:val="605E5C"/>
      <w:shd w:val="clear" w:color="auto" w:fill="E1DFDD"/>
    </w:rPr>
  </w:style>
  <w:style w:type="character" w:customStyle="1" w:styleId="85">
    <w:name w:val="页脚 字符"/>
    <w:basedOn w:val="35"/>
    <w:link w:val="23"/>
    <w:autoRedefine/>
    <w:qFormat/>
    <w:uiPriority w:val="99"/>
    <w:rPr>
      <w:rFonts w:ascii="宋体" w:hAnsi="宋体" w:eastAsia="宋体" w:cs="宋体"/>
      <w:kern w:val="2"/>
      <w:sz w:val="21"/>
      <w:szCs w:val="18"/>
    </w:rPr>
  </w:style>
  <w:style w:type="character" w:customStyle="1" w:styleId="86">
    <w:name w:val="标题 字符"/>
    <w:basedOn w:val="35"/>
    <w:link w:val="30"/>
    <w:autoRedefine/>
    <w:qFormat/>
    <w:uiPriority w:val="0"/>
    <w:rPr>
      <w:rFonts w:ascii="Cambria" w:hAnsi="Cambria"/>
      <w:b/>
      <w:bCs/>
      <w:kern w:val="2"/>
      <w:sz w:val="32"/>
      <w:szCs w:val="32"/>
    </w:rPr>
  </w:style>
  <w:style w:type="paragraph" w:styleId="87">
    <w:name w:val="List Paragraph"/>
    <w:basedOn w:val="1"/>
    <w:autoRedefine/>
    <w:qFormat/>
    <w:uiPriority w:val="99"/>
    <w:pPr>
      <w:ind w:firstLine="420"/>
    </w:pPr>
  </w:style>
  <w:style w:type="character" w:customStyle="1" w:styleId="88">
    <w:name w:val="首行缩进 Char Char"/>
    <w:autoRedefine/>
    <w:qFormat/>
    <w:uiPriority w:val="0"/>
    <w:rPr>
      <w:rFonts w:ascii="宋体" w:eastAsia="宋体" w:cs="宋体"/>
      <w:kern w:val="2"/>
      <w:sz w:val="28"/>
      <w:lang w:val="en-US" w:eastAsia="zh-CN" w:bidi="ar-SA"/>
    </w:rPr>
  </w:style>
  <w:style w:type="paragraph" w:customStyle="1" w:styleId="89">
    <w:name w:val="填表4小中13磅"/>
    <w:basedOn w:val="62"/>
    <w:autoRedefine/>
    <w:qFormat/>
    <w:uiPriority w:val="0"/>
    <w:pPr>
      <w:spacing w:line="260" w:lineRule="exact"/>
    </w:pPr>
    <w:rPr>
      <w:rFonts w:cs="宋体"/>
      <w:szCs w:val="20"/>
    </w:rPr>
  </w:style>
  <w:style w:type="character" w:customStyle="1" w:styleId="90">
    <w:name w:val="正文6"/>
    <w:basedOn w:val="35"/>
    <w:autoRedefine/>
    <w:qFormat/>
    <w:uiPriority w:val="0"/>
    <w:rPr>
      <w:rFonts w:ascii="Times New Roman" w:hAnsi="Times New Roman" w:eastAsia="宋体"/>
      <w:sz w:val="28"/>
      <w:szCs w:val="28"/>
    </w:rPr>
  </w:style>
  <w:style w:type="paragraph" w:customStyle="1" w:styleId="91">
    <w:name w:val="默认段落字体 Para Char Char Char Char"/>
    <w:basedOn w:val="1"/>
    <w:autoRedefine/>
    <w:qFormat/>
    <w:uiPriority w:val="0"/>
  </w:style>
  <w:style w:type="paragraph" w:customStyle="1" w:styleId="92">
    <w:name w:val="表格"/>
    <w:basedOn w:val="1"/>
    <w:autoRedefine/>
    <w:qFormat/>
    <w:uiPriority w:val="0"/>
    <w:pPr>
      <w:spacing w:line="300" w:lineRule="exact"/>
      <w:ind w:firstLine="0" w:firstLineChars="0"/>
      <w:jc w:val="center"/>
    </w:pPr>
    <w:rPr>
      <w:rFonts w:ascii="Times New Roman" w:hAnsi="Times New Roman"/>
      <w:sz w:val="21"/>
    </w:rPr>
  </w:style>
  <w:style w:type="paragraph" w:customStyle="1" w:styleId="93">
    <w:name w:val="表格内容"/>
    <w:basedOn w:val="1"/>
    <w:autoRedefine/>
    <w:qFormat/>
    <w:uiPriority w:val="0"/>
    <w:pPr>
      <w:overflowPunct w:val="0"/>
      <w:adjustRightInd w:val="0"/>
      <w:spacing w:line="240" w:lineRule="auto"/>
      <w:ind w:firstLine="0" w:firstLineChars="0"/>
      <w:jc w:val="center"/>
      <w:textAlignment w:val="baseline"/>
    </w:pPr>
    <w:rPr>
      <w:rFonts w:ascii="Times New Roman" w:hAnsi="Times New Roman"/>
      <w:kern w:val="0"/>
      <w:sz w:val="21"/>
    </w:rPr>
  </w:style>
  <w:style w:type="character" w:customStyle="1" w:styleId="94">
    <w:name w:val="未处理的提及2"/>
    <w:basedOn w:val="35"/>
    <w:autoRedefine/>
    <w:semiHidden/>
    <w:unhideWhenUsed/>
    <w:qFormat/>
    <w:uiPriority w:val="99"/>
    <w:rPr>
      <w:color w:val="605E5C"/>
      <w:shd w:val="clear" w:color="auto" w:fill="E1DFDD"/>
    </w:rPr>
  </w:style>
  <w:style w:type="character" w:customStyle="1" w:styleId="95">
    <w:name w:val="填表4小中单倍行距 Char Char"/>
    <w:link w:val="66"/>
    <w:autoRedefine/>
    <w:qFormat/>
    <w:uiPriority w:val="0"/>
    <w:rPr>
      <w:rFonts w:ascii="宋体" w:hAnsi="宋体"/>
      <w:kern w:val="2"/>
      <w:sz w:val="24"/>
    </w:rPr>
  </w:style>
  <w:style w:type="character" w:customStyle="1" w:styleId="96">
    <w:name w:val="批注文字 字符"/>
    <w:basedOn w:val="35"/>
    <w:link w:val="17"/>
    <w:autoRedefine/>
    <w:qFormat/>
    <w:uiPriority w:val="0"/>
    <w:rPr>
      <w:rFonts w:ascii="宋体" w:hAnsi="宋体"/>
      <w:kern w:val="2"/>
      <w:sz w:val="28"/>
      <w:szCs w:val="24"/>
    </w:rPr>
  </w:style>
  <w:style w:type="character" w:customStyle="1" w:styleId="97">
    <w:name w:val="批注主题 字符"/>
    <w:basedOn w:val="96"/>
    <w:link w:val="31"/>
    <w:autoRedefine/>
    <w:qFormat/>
    <w:uiPriority w:val="0"/>
    <w:rPr>
      <w:rFonts w:ascii="宋体" w:hAnsi="宋体" w:cs="宋体"/>
      <w:b/>
      <w:bCs/>
      <w:kern w:val="2"/>
      <w:sz w:val="28"/>
      <w:szCs w:val="24"/>
    </w:rPr>
  </w:style>
  <w:style w:type="character" w:customStyle="1" w:styleId="98">
    <w:name w:val="Unresolved Mention"/>
    <w:basedOn w:val="35"/>
    <w:autoRedefine/>
    <w:semiHidden/>
    <w:unhideWhenUsed/>
    <w:qFormat/>
    <w:uiPriority w:val="99"/>
    <w:rPr>
      <w:color w:val="605E5C"/>
      <w:shd w:val="clear" w:color="auto" w:fill="E1DFDD"/>
    </w:rPr>
  </w:style>
  <w:style w:type="character" w:customStyle="1" w:styleId="99">
    <w:name w:val="标题 1 字符"/>
    <w:basedOn w:val="35"/>
    <w:link w:val="2"/>
    <w:autoRedefine/>
    <w:qFormat/>
    <w:uiPriority w:val="0"/>
    <w:rPr>
      <w:rFonts w:ascii="宋体" w:hAnsi="宋体" w:eastAsia="黑体" w:cs="宋体"/>
      <w:b/>
      <w:bCs/>
      <w:kern w:val="44"/>
      <w:sz w:val="32"/>
      <w:szCs w:val="44"/>
    </w:rPr>
  </w:style>
  <w:style w:type="character" w:customStyle="1" w:styleId="100">
    <w:name w:val="标题 2 字符"/>
    <w:basedOn w:val="35"/>
    <w:link w:val="3"/>
    <w:autoRedefine/>
    <w:qFormat/>
    <w:uiPriority w:val="0"/>
    <w:rPr>
      <w:rFonts w:ascii="宋体" w:hAnsi="宋体" w:eastAsia="楷体"/>
      <w:b/>
      <w:bCs/>
      <w:kern w:val="2"/>
      <w:sz w:val="32"/>
      <w:szCs w:val="32"/>
    </w:rPr>
  </w:style>
  <w:style w:type="paragraph" w:customStyle="1" w:styleId="10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emf"/><Relationship Id="rId50" Type="http://schemas.openxmlformats.org/officeDocument/2006/relationships/oleObject" Target="embeddings/oleObject3.bin"/><Relationship Id="rId5" Type="http://schemas.openxmlformats.org/officeDocument/2006/relationships/header" Target="header1.xml"/><Relationship Id="rId49" Type="http://schemas.openxmlformats.org/officeDocument/2006/relationships/image" Target="media/image34.emf"/><Relationship Id="rId48" Type="http://schemas.openxmlformats.org/officeDocument/2006/relationships/oleObject" Target="embeddings/oleObject2.bin"/><Relationship Id="rId47" Type="http://schemas.openxmlformats.org/officeDocument/2006/relationships/image" Target="media/image33.jpe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emf"/><Relationship Id="rId43" Type="http://schemas.openxmlformats.org/officeDocument/2006/relationships/oleObject" Target="embeddings/oleObject1.bin"/><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8DF95D-DFA2-466C-9C95-10EAB7C2DE9D}">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62959</Words>
  <Characters>67994</Characters>
  <Lines>573</Lines>
  <Paragraphs>161</Paragraphs>
  <TotalTime>12</TotalTime>
  <ScaleCrop>false</ScaleCrop>
  <LinksUpToDate>false</LinksUpToDate>
  <CharactersWithSpaces>69137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2022-07-06T01:32:00Z</dcterms:created>
  <dc:creator>Administrator.USER-20210203VE</dc:creator>
  <cp:lastModifiedBy>Administrator</cp:lastModifiedBy>
  <cp:lastPrinted>2024-04-22T01:19:00Z</cp:lastPrinted>
  <dcterms:modified xsi:type="dcterms:W3CDTF">2025-05-08T03:01:37Z</dcterms:modified>
  <cp:revision>702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D0498425AC8A495387619333F4B92DF5</vt:lpwstr>
  </property>
</Properties>
</file>