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0295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现场勘查记录</w:t>
      </w:r>
    </w:p>
    <w:p w14:paraId="63F21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157" w:afterLines="50"/>
        <w:jc w:val="center"/>
        <w:textAlignment w:val="auto"/>
        <w:rPr>
          <w:rFonts w:hint="eastAsia"/>
        </w:rPr>
      </w:pPr>
      <w:r>
        <w:rPr>
          <w:rFonts w:hint="eastAsia"/>
          <w:b/>
          <w:bCs/>
          <w:sz w:val="44"/>
          <w:szCs w:val="44"/>
        </w:rPr>
        <w:t>项目组长任命书</w:t>
      </w:r>
    </w:p>
    <w:p w14:paraId="34DB8932">
      <w:pPr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根据有关法律、法规及本项目服务《合同书》《委托书》及本机构过程控制手册的工作程序与授权办法，现对开展本项目工作的负责人进行任命及授权。</w:t>
      </w:r>
    </w:p>
    <w:p w14:paraId="0C396E87">
      <w:pPr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一、</w:t>
      </w:r>
      <w:r>
        <w:rPr>
          <w:rFonts w:hint="eastAsia" w:ascii="宋体" w:hAnsi="宋体" w:eastAsia="宋体" w:cs="宋体"/>
        </w:rPr>
        <w:t>任命</w:t>
      </w:r>
    </w:p>
    <w:p w14:paraId="2BA99A01">
      <w:pPr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现任命</w:t>
      </w:r>
      <w:r>
        <w:rPr>
          <w:rFonts w:hint="eastAsia" w:ascii="宋体" w:hAnsi="宋体" w:eastAsia="宋体" w:cs="宋体"/>
          <w:u w:val="single"/>
        </w:rPr>
        <w:t>李毅雄</w:t>
      </w:r>
      <w:r>
        <w:rPr>
          <w:rFonts w:hint="eastAsia" w:ascii="宋体" w:hAnsi="宋体" w:eastAsia="宋体" w:cs="宋体"/>
        </w:rPr>
        <w:t>同志，担任</w:t>
      </w:r>
      <w:r>
        <w:rPr>
          <w:rFonts w:hint="eastAsia" w:ascii="宋体" w:hAnsi="宋体" w:eastAsia="宋体" w:cs="宋体"/>
          <w:lang w:val="en-US" w:eastAsia="zh-CN"/>
        </w:rPr>
        <w:t>兰坪恒云工贸有限公司营盘镇商品混凝土分站建设项目</w:t>
      </w:r>
      <w:r>
        <w:rPr>
          <w:rFonts w:hint="eastAsia" w:ascii="宋体" w:hAnsi="宋体" w:eastAsia="宋体" w:cs="宋体"/>
        </w:rPr>
        <w:t>安全</w:t>
      </w:r>
      <w:r>
        <w:rPr>
          <w:rFonts w:hint="eastAsia" w:ascii="宋体" w:hAnsi="宋体" w:eastAsia="宋体" w:cs="宋体"/>
          <w:lang w:val="en-US" w:eastAsia="zh-CN"/>
        </w:rPr>
        <w:t>验收</w:t>
      </w:r>
      <w:r>
        <w:rPr>
          <w:rFonts w:hint="eastAsia" w:ascii="宋体" w:hAnsi="宋体" w:eastAsia="宋体" w:cs="宋体"/>
        </w:rPr>
        <w:t>评价报告项目组长。</w:t>
      </w:r>
    </w:p>
    <w:p w14:paraId="66F4A622">
      <w:pPr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二、授权范围</w:t>
      </w:r>
    </w:p>
    <w:p w14:paraId="141CC170">
      <w:pPr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1、负责主持该项目小组的组建及工作开展，行使组内人员配置:任务安排、资金使用、设备使用及管理权。</w:t>
      </w:r>
    </w:p>
    <w:p w14:paraId="7B3865F0">
      <w:pPr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2、负责制定项目工作计划，对服务项目作出开展、暂停、终止的意见。涉及重大隐患的及时向机构报告，并提出小组倾向意见。</w:t>
      </w:r>
    </w:p>
    <w:p w14:paraId="71BC774C">
      <w:pPr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3、负责安排对项目委托单位的意见交换、咨询、提供对策措施等服务工作。</w:t>
      </w:r>
    </w:p>
    <w:p w14:paraId="01C269E9">
      <w:pPr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4、负责对项目组提交的报告给出总体结论及对策措施与建议</w:t>
      </w:r>
      <w:r>
        <w:rPr>
          <w:rFonts w:hint="eastAsia" w:ascii="宋体" w:hAnsi="宋体" w:eastAsia="宋体" w:cs="宋体"/>
          <w:lang w:eastAsia="zh-CN"/>
        </w:rPr>
        <w:t>。</w:t>
      </w:r>
    </w:p>
    <w:p w14:paraId="47619436">
      <w:pPr>
        <w:ind w:firstLine="562" w:firstLineChars="200"/>
        <w:rPr>
          <w:rFonts w:hint="eastAsia" w:ascii="宋体" w:hAnsi="宋体" w:eastAsia="宋体" w:cs="宋体"/>
          <w:b/>
          <w:bCs/>
          <w:lang w:val="en-US" w:eastAsia="zh-CN"/>
        </w:rPr>
      </w:pPr>
    </w:p>
    <w:p w14:paraId="4BFDE53F">
      <w:pPr>
        <w:ind w:firstLine="560" w:firstLineChars="200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特</w:t>
      </w:r>
      <w:r>
        <w:rPr>
          <w:rFonts w:hint="eastAsia" w:ascii="宋体" w:hAnsi="宋体" w:eastAsia="宋体" w:cs="宋体"/>
          <w:b w:val="0"/>
          <w:bCs w:val="0"/>
        </w:rPr>
        <w:t>此任命</w:t>
      </w:r>
    </w:p>
    <w:p w14:paraId="52BD80A3">
      <w:pPr>
        <w:ind w:firstLine="5040" w:firstLineChars="1800"/>
        <w:rPr>
          <w:rFonts w:hint="eastAsia" w:ascii="宋体" w:hAnsi="宋体" w:eastAsia="宋体" w:cs="宋体"/>
          <w:b w:val="0"/>
          <w:bCs w:val="0"/>
        </w:rPr>
      </w:pPr>
    </w:p>
    <w:p w14:paraId="5F10BA9C">
      <w:pPr>
        <w:ind w:firstLine="5040" w:firstLineChars="1800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</w:rPr>
        <w:t>202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</w:rPr>
        <w:t>年</w:t>
      </w:r>
      <w:r>
        <w:rPr>
          <w:rFonts w:hint="eastAsia" w:ascii="宋体" w:hAnsi="宋体" w:cs="宋体"/>
          <w:b w:val="0"/>
          <w:bCs w:val="0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bCs w:val="0"/>
        </w:rPr>
        <w:t>月</w:t>
      </w:r>
      <w:r>
        <w:rPr>
          <w:rFonts w:hint="eastAsia" w:ascii="宋体" w:hAnsi="宋体" w:cs="宋体"/>
          <w:b w:val="0"/>
          <w:bCs w:val="0"/>
          <w:lang w:val="en-US" w:eastAsia="zh-CN"/>
        </w:rPr>
        <w:t>27</w:t>
      </w:r>
      <w:r>
        <w:rPr>
          <w:rFonts w:hint="eastAsia" w:ascii="宋体" w:hAnsi="宋体" w:eastAsia="宋体" w:cs="宋体"/>
          <w:b w:val="0"/>
          <w:bCs w:val="0"/>
        </w:rPr>
        <w:t>日</w:t>
      </w:r>
    </w:p>
    <w:p w14:paraId="7C1E53EB"/>
    <w:p w14:paraId="325AD71B">
      <w:pPr>
        <w:pStyle w:val="2"/>
      </w:pPr>
    </w:p>
    <w:p w14:paraId="58A10664"/>
    <w:p w14:paraId="45B3C201">
      <w:pPr>
        <w:pStyle w:val="2"/>
      </w:pPr>
    </w:p>
    <w:p w14:paraId="4912E044"/>
    <w:p w14:paraId="5BEA6CB1">
      <w:pPr>
        <w:pStyle w:val="2"/>
      </w:pPr>
    </w:p>
    <w:p w14:paraId="25A370F1"/>
    <w:p w14:paraId="77192698">
      <w:pPr>
        <w:pStyle w:val="2"/>
      </w:pPr>
    </w:p>
    <w:p w14:paraId="77311F70"/>
    <w:p w14:paraId="304F75DF">
      <w:pPr>
        <w:pStyle w:val="2"/>
      </w:pPr>
    </w:p>
    <w:p w14:paraId="4B752957">
      <w:pPr>
        <w:pStyle w:val="3"/>
        <w:numPr>
          <w:ilvl w:val="0"/>
          <w:numId w:val="0"/>
        </w:numPr>
        <w:bidi w:val="0"/>
        <w:spacing w:before="0" w:after="0" w:line="240" w:lineRule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公司平面分布</w:t>
      </w:r>
    </w:p>
    <w:p w14:paraId="78BCE9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szCs w:val="20"/>
        </w:rPr>
      </w:pPr>
      <w:r>
        <w:rPr>
          <w:rFonts w:hint="eastAsia" w:ascii="宋体" w:hAnsi="宋体" w:eastAsia="宋体" w:cs="宋体"/>
          <w:szCs w:val="20"/>
        </w:rPr>
        <w:t>项目总平面主要由生产区、办公区等组成。按功能划分为原料</w:t>
      </w:r>
      <w:r>
        <w:rPr>
          <w:rFonts w:hint="eastAsia" w:ascii="宋体" w:hAnsi="宋体" w:eastAsia="宋体" w:cs="宋体"/>
          <w:szCs w:val="20"/>
          <w:lang w:val="en-US" w:eastAsia="zh-CN"/>
        </w:rPr>
        <w:t>堆场</w:t>
      </w:r>
      <w:r>
        <w:rPr>
          <w:rFonts w:hint="eastAsia" w:ascii="宋体" w:hAnsi="宋体" w:eastAsia="宋体" w:cs="宋体"/>
          <w:szCs w:val="20"/>
        </w:rPr>
        <w:t>、</w:t>
      </w:r>
      <w:r>
        <w:rPr>
          <w:rFonts w:hint="eastAsia" w:ascii="宋体" w:hAnsi="宋体" w:cs="宋体"/>
          <w:szCs w:val="20"/>
          <w:lang w:val="en-US" w:eastAsia="zh-CN"/>
        </w:rPr>
        <w:t>生产车间（料斗、输送机、</w:t>
      </w:r>
      <w:r>
        <w:rPr>
          <w:rFonts w:hint="eastAsia" w:ascii="宋体" w:hAnsi="宋体" w:eastAsia="宋体" w:cs="宋体"/>
          <w:szCs w:val="20"/>
        </w:rPr>
        <w:t>搅拌楼</w:t>
      </w:r>
      <w:r>
        <w:rPr>
          <w:rFonts w:hint="eastAsia" w:ascii="宋体" w:hAnsi="宋体" w:cs="宋体"/>
          <w:szCs w:val="20"/>
          <w:lang w:eastAsia="zh-CN"/>
        </w:rPr>
        <w:t>）</w:t>
      </w:r>
      <w:r>
        <w:rPr>
          <w:rFonts w:hint="eastAsia" w:ascii="宋体" w:hAnsi="宋体" w:eastAsia="宋体" w:cs="宋体"/>
          <w:szCs w:val="20"/>
        </w:rPr>
        <w:t>、</w:t>
      </w:r>
      <w:r>
        <w:rPr>
          <w:rFonts w:hint="eastAsia" w:hAnsi="宋体" w:cs="宋体"/>
          <w:szCs w:val="20"/>
          <w:lang w:val="en-US" w:eastAsia="zh-CN"/>
        </w:rPr>
        <w:t>原料储罐</w:t>
      </w:r>
      <w:r>
        <w:rPr>
          <w:rFonts w:hint="eastAsia" w:ascii="宋体" w:hAnsi="宋体" w:eastAsia="宋体" w:cs="宋体"/>
          <w:szCs w:val="20"/>
          <w:lang w:val="en-US" w:eastAsia="zh-CN"/>
        </w:rPr>
        <w:t>、</w:t>
      </w:r>
      <w:r>
        <w:rPr>
          <w:rFonts w:hint="eastAsia" w:hAnsi="宋体" w:cs="宋体"/>
          <w:szCs w:val="20"/>
          <w:lang w:val="en-US" w:eastAsia="zh-CN"/>
        </w:rPr>
        <w:t>过磅房</w:t>
      </w:r>
      <w:r>
        <w:rPr>
          <w:rFonts w:hint="eastAsia" w:ascii="宋体" w:hAnsi="宋体" w:eastAsia="宋体" w:cs="宋体"/>
          <w:szCs w:val="20"/>
        </w:rPr>
        <w:t>、</w:t>
      </w:r>
      <w:r>
        <w:rPr>
          <w:rFonts w:hint="eastAsia" w:hAnsi="宋体" w:cs="宋体"/>
          <w:szCs w:val="20"/>
          <w:lang w:val="en-US" w:eastAsia="zh-CN"/>
        </w:rPr>
        <w:t>工具室、休息室、实验室、样品室、养护室、</w:t>
      </w:r>
      <w:r>
        <w:rPr>
          <w:rFonts w:hint="eastAsia" w:ascii="宋体" w:hAnsi="宋体" w:eastAsia="宋体" w:cs="宋体"/>
          <w:szCs w:val="20"/>
        </w:rPr>
        <w:t>停车场等组成。</w:t>
      </w:r>
    </w:p>
    <w:p w14:paraId="1D1B1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textAlignment w:val="baseline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整个厂区布局沿厂区</w:t>
      </w:r>
      <w:r>
        <w:rPr>
          <w:rFonts w:hint="eastAsia" w:ascii="宋体" w:hAnsi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主要道路</w:t>
      </w: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分为</w:t>
      </w:r>
      <w:r>
        <w:rPr>
          <w:rFonts w:hint="eastAsia" w:hAnsi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西</w:t>
      </w: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区及</w:t>
      </w:r>
      <w:r>
        <w:rPr>
          <w:rFonts w:hint="eastAsia" w:hAnsi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东</w:t>
      </w: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区，</w:t>
      </w:r>
      <w:r>
        <w:rPr>
          <w:rFonts w:hint="eastAsia" w:hAnsi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东</w:t>
      </w: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区从</w:t>
      </w:r>
      <w:r>
        <w:rPr>
          <w:rFonts w:hint="eastAsia" w:hAnsi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南</w:t>
      </w: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到</w:t>
      </w:r>
      <w:r>
        <w:rPr>
          <w:rFonts w:hint="eastAsia" w:hAnsi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北</w:t>
      </w: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依次为：</w:t>
      </w:r>
      <w:r>
        <w:rPr>
          <w:rFonts w:hint="eastAsia" w:hAnsi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标样室，现场试验室、驾驶员休息室、保安室、过磅房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vertAlign w:val="baseline"/>
          <w:lang w:val="en-US" w:eastAsia="zh-CN"/>
        </w:rPr>
        <w:t>；</w:t>
      </w:r>
      <w:r>
        <w:rPr>
          <w:rFonts w:hint="eastAsia" w:hAnsi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西</w:t>
      </w: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区从</w:t>
      </w:r>
      <w:r>
        <w:rPr>
          <w:rFonts w:hint="eastAsia" w:hAnsi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西</w:t>
      </w: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到</w:t>
      </w:r>
      <w:r>
        <w:rPr>
          <w:rFonts w:hint="eastAsia" w:hAnsi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东</w:t>
      </w: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依次为：</w:t>
      </w:r>
      <w:r>
        <w:rPr>
          <w:rFonts w:hint="eastAsia" w:hAnsi="宋体" w:cs="宋体"/>
          <w:b w:val="0"/>
          <w:bCs w:val="0"/>
          <w:snapToGrid w:val="0"/>
          <w:kern w:val="0"/>
          <w:sz w:val="28"/>
          <w:szCs w:val="28"/>
          <w:highlight w:val="none"/>
          <w:lang w:val="en-US" w:eastAsia="zh-CN"/>
        </w:rPr>
        <w:t>污水处理（三级沉淀池）、拌合材料输送装置、原料仓、搅拌主楼、筒仓</w:t>
      </w:r>
      <w:r>
        <w:rPr>
          <w:rFonts w:hint="eastAsia" w:hAnsi="宋体" w:cs="宋体"/>
          <w:snapToGrid w:val="0"/>
          <w:color w:val="auto"/>
          <w:kern w:val="0"/>
          <w:szCs w:val="28"/>
          <w:highlight w:val="none"/>
          <w:lang w:val="en-US" w:eastAsia="zh-CN"/>
        </w:rPr>
        <w:t>。</w:t>
      </w:r>
    </w:p>
    <w:p w14:paraId="5435AB50">
      <w:pP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本项目总平面布置见图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如下：</w:t>
      </w:r>
    </w:p>
    <w:p w14:paraId="66699BA8">
      <w:pPr>
        <w:rPr>
          <w:rFonts w:ascii="宋体" w:hAnsi="宋体" w:eastAsia="宋体" w:cs="宋体"/>
          <w:sz w:val="24"/>
          <w:szCs w:val="24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111125</wp:posOffset>
                </wp:positionV>
                <wp:extent cx="5441950" cy="3568700"/>
                <wp:effectExtent l="4445" t="4445" r="14605" b="8255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0" cy="3568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9351A">
                            <w:pPr>
                              <w:spacing w:line="360" w:lineRule="auto"/>
                            </w:pPr>
                            <w:r>
                              <w:drawing>
                                <wp:inline distT="0" distB="0" distL="114300" distR="114300">
                                  <wp:extent cx="5588000" cy="3587750"/>
                                  <wp:effectExtent l="0" t="0" r="0" b="6350"/>
                                  <wp:docPr id="85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8000" cy="358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1pt;margin-top:8.75pt;height:281pt;width:428.5pt;z-index:-251657216;mso-width-relative:page;mso-height-relative:page;" filled="f" stroked="t" coordsize="21600,21600" o:gfxdata="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I6AjV2gAAAAoB&#10;AAAPAAAAAAAAAAEAIAAAACIAAABkcnMvZG93bnJldi54bWxQSwECFAAUAAAACACHTuJASKem4VIC&#10;AACSBAAADgAAAAAAAAABACAAAAApAQAAZHJzL2Uyb0RvYy54bWxQSwUGAAAAAAYABgBZAQAA7QUA&#10;AAAA&#10;">
                <v:fill on="f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 w14:paraId="79F9351A">
                      <w:pPr>
                        <w:spacing w:line="360" w:lineRule="auto"/>
                      </w:pPr>
                      <w:r>
                        <w:drawing>
                          <wp:inline distT="0" distB="0" distL="114300" distR="114300">
                            <wp:extent cx="5588000" cy="3587750"/>
                            <wp:effectExtent l="0" t="0" r="0" b="6350"/>
                            <wp:docPr id="85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8000" cy="358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3B5F2F">
      <w:pPr>
        <w:bidi w:val="0"/>
        <w:rPr>
          <w:rFonts w:hint="eastAsia" w:ascii="Times New Roman" w:hAnsi="Times New Roman" w:eastAsia="宋体" w:cs="Times New Roman"/>
          <w:kern w:val="2"/>
          <w:sz w:val="28"/>
          <w:szCs w:val="24"/>
          <w:lang w:val="en-US" w:eastAsia="zh-CN" w:bidi="ar-SA"/>
        </w:rPr>
      </w:pPr>
    </w:p>
    <w:p w14:paraId="12ACC861">
      <w:pPr>
        <w:bidi w:val="0"/>
        <w:rPr>
          <w:rFonts w:hint="eastAsia"/>
          <w:lang w:val="en-US" w:eastAsia="zh-CN"/>
        </w:rPr>
      </w:pPr>
    </w:p>
    <w:p w14:paraId="16AC6461">
      <w:pPr>
        <w:bidi w:val="0"/>
        <w:rPr>
          <w:rFonts w:hint="eastAsia"/>
          <w:lang w:val="en-US" w:eastAsia="zh-CN"/>
        </w:rPr>
      </w:pPr>
    </w:p>
    <w:p w14:paraId="4F46AE06">
      <w:pPr>
        <w:bidi w:val="0"/>
        <w:rPr>
          <w:rFonts w:hint="eastAsia"/>
          <w:lang w:val="en-US" w:eastAsia="zh-CN"/>
        </w:rPr>
      </w:pPr>
    </w:p>
    <w:p w14:paraId="1E246092">
      <w:pPr>
        <w:bidi w:val="0"/>
        <w:rPr>
          <w:rFonts w:hint="eastAsia"/>
          <w:lang w:val="en-US" w:eastAsia="zh-CN"/>
        </w:rPr>
      </w:pPr>
    </w:p>
    <w:p w14:paraId="70CD3A1D">
      <w:pPr>
        <w:bidi w:val="0"/>
        <w:rPr>
          <w:rFonts w:hint="eastAsia"/>
          <w:lang w:val="en-US" w:eastAsia="zh-CN"/>
        </w:rPr>
      </w:pPr>
    </w:p>
    <w:p w14:paraId="21CC2AE8">
      <w:pPr>
        <w:bidi w:val="0"/>
        <w:rPr>
          <w:rFonts w:hint="eastAsia"/>
          <w:lang w:val="en-US" w:eastAsia="zh-CN"/>
        </w:rPr>
      </w:pPr>
    </w:p>
    <w:p w14:paraId="591E15B2">
      <w:pPr>
        <w:bidi w:val="0"/>
        <w:rPr>
          <w:rFonts w:hint="eastAsia"/>
          <w:lang w:val="en-US" w:eastAsia="zh-CN"/>
        </w:rPr>
      </w:pPr>
    </w:p>
    <w:p w14:paraId="371E1CF1">
      <w:pPr>
        <w:bidi w:val="0"/>
        <w:rPr>
          <w:rFonts w:hint="eastAsia"/>
          <w:lang w:val="en-US" w:eastAsia="zh-CN"/>
        </w:rPr>
      </w:pPr>
    </w:p>
    <w:p w14:paraId="6000CD94">
      <w:pPr>
        <w:bidi w:val="0"/>
        <w:rPr>
          <w:rFonts w:hint="eastAsia"/>
          <w:lang w:val="en-US" w:eastAsia="zh-CN"/>
        </w:rPr>
      </w:pPr>
    </w:p>
    <w:p w14:paraId="08472D8F">
      <w:pPr>
        <w:bidi w:val="0"/>
        <w:rPr>
          <w:rFonts w:hint="eastAsia"/>
          <w:lang w:val="en-US" w:eastAsia="zh-CN"/>
        </w:rPr>
      </w:pPr>
    </w:p>
    <w:p w14:paraId="3F0744ED">
      <w:pPr>
        <w:bidi w:val="0"/>
        <w:rPr>
          <w:rFonts w:hint="eastAsia"/>
          <w:lang w:val="en-US" w:eastAsia="zh-CN"/>
        </w:rPr>
      </w:pPr>
    </w:p>
    <w:p w14:paraId="7D6D69B9">
      <w:pPr>
        <w:bidi w:val="0"/>
        <w:rPr>
          <w:rFonts w:hint="eastAsia"/>
          <w:lang w:val="en-US" w:eastAsia="zh-CN"/>
        </w:rPr>
      </w:pPr>
    </w:p>
    <w:p w14:paraId="24A0B4EF">
      <w:pPr>
        <w:bidi w:val="0"/>
        <w:rPr>
          <w:rFonts w:hint="eastAsia"/>
          <w:lang w:val="en-US" w:eastAsia="zh-CN"/>
        </w:rPr>
      </w:pPr>
    </w:p>
    <w:p w14:paraId="40581F5B">
      <w:pPr>
        <w:bidi w:val="0"/>
        <w:rPr>
          <w:rFonts w:hint="eastAsia"/>
          <w:lang w:val="en-US" w:eastAsia="zh-CN"/>
        </w:rPr>
      </w:pPr>
    </w:p>
    <w:p w14:paraId="46D64974">
      <w:pPr>
        <w:bidi w:val="0"/>
        <w:rPr>
          <w:rFonts w:hint="eastAsia"/>
          <w:lang w:val="en-US" w:eastAsia="zh-CN"/>
        </w:rPr>
      </w:pPr>
    </w:p>
    <w:p w14:paraId="323DC14F">
      <w:pPr>
        <w:bidi w:val="0"/>
        <w:rPr>
          <w:rFonts w:hint="eastAsia"/>
          <w:lang w:val="en-US" w:eastAsia="zh-CN"/>
        </w:rPr>
      </w:pPr>
    </w:p>
    <w:p w14:paraId="425FC083">
      <w:pPr>
        <w:bidi w:val="0"/>
        <w:rPr>
          <w:rFonts w:hint="eastAsia"/>
          <w:lang w:val="en-US" w:eastAsia="zh-CN"/>
        </w:rPr>
      </w:pPr>
    </w:p>
    <w:p w14:paraId="27490E6F">
      <w:pPr>
        <w:bidi w:val="0"/>
        <w:jc w:val="left"/>
        <w:rPr>
          <w:rFonts w:hint="eastAsia"/>
          <w:lang w:val="en-US" w:eastAsia="zh-CN"/>
        </w:rPr>
      </w:pPr>
    </w:p>
    <w:p w14:paraId="59BBA416">
      <w:p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周边环境</w:t>
      </w:r>
    </w:p>
    <w:p w14:paraId="2B2427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jc w:val="left"/>
        <w:textAlignment w:val="auto"/>
        <w:rPr>
          <w:rFonts w:hint="eastAsia"/>
          <w:sz w:val="28"/>
          <w:szCs w:val="28"/>
          <w:highlight w:val="none"/>
          <w:lang w:val="en-US" w:eastAsia="zh-CN"/>
        </w:rPr>
      </w:pPr>
      <w:bookmarkStart w:id="0" w:name="_Hlk60669550"/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2301240</wp:posOffset>
            </wp:positionV>
            <wp:extent cx="5953125" cy="4655185"/>
            <wp:effectExtent l="0" t="0" r="3175" b="5715"/>
            <wp:wrapSquare wrapText="bothSides"/>
            <wp:docPr id="83" name="图片 7" descr="7bd5b7731212042656f2ae405b2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" descr="7bd5b7731212042656f2ae405b233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建设项目西侧为澜沧江，西南侧1000m处为梭鲁寨村，项目东侧紧邻S237省道路，项目东南侧900m处为营盘镇，项目附近有民房和营盘镇客运站，项目地交通便利，便于混凝土的出售运输，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color="auto" w:fill="FFFFFF"/>
          <w:lang w:val="en-US" w:eastAsia="zh-CN"/>
        </w:rPr>
        <w:t>其余周边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en-US" w:eastAsia="zh-CN"/>
        </w:rPr>
        <w:t>无医院、幼儿园、学校、敬老院、社会福利机构等环境敏感点，不涉及自然保护区、风景名胜区、名胜古迹、生活饮用水源地、生态环境敏感脆弱区等环境敏感区域，不在</w:t>
      </w:r>
      <w:r>
        <w:rPr>
          <w:rFonts w:hint="eastAsia" w:hAnsi="宋体" w:cs="宋体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en-US" w:eastAsia="zh-CN"/>
        </w:rPr>
        <w:t>兰坪白族普米族自治县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en-US" w:eastAsia="zh-CN"/>
        </w:rPr>
        <w:t>生态保护红线范围内</w:t>
      </w:r>
      <w:bookmarkEnd w:id="0"/>
      <w:r>
        <w:rPr>
          <w:rFonts w:hint="eastAsia"/>
          <w:sz w:val="28"/>
          <w:szCs w:val="28"/>
          <w:highlight w:val="none"/>
          <w:lang w:eastAsia="zh-CN"/>
        </w:rPr>
        <w:t>。</w:t>
      </w:r>
      <w:r>
        <w:rPr>
          <w:rFonts w:hint="eastAsia"/>
          <w:sz w:val="28"/>
          <w:szCs w:val="28"/>
          <w:highlight w:val="none"/>
          <w:lang w:val="en-US" w:eastAsia="zh-CN"/>
        </w:rPr>
        <w:t>周边环境位置关系图如下：</w:t>
      </w:r>
    </w:p>
    <w:p w14:paraId="065A9F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left"/>
        <w:textAlignment w:val="auto"/>
        <w:rPr>
          <w:rFonts w:hint="eastAsia" w:eastAsia="宋体"/>
          <w:sz w:val="28"/>
          <w:szCs w:val="28"/>
          <w:lang w:eastAsia="zh-CN"/>
        </w:rPr>
      </w:pPr>
    </w:p>
    <w:p w14:paraId="1C89A2C3">
      <w:pPr>
        <w:bidi w:val="0"/>
        <w:rPr>
          <w:rFonts w:hint="default" w:ascii="Times New Roman" w:hAnsi="Times New Roman" w:eastAsia="宋体" w:cs="Times New Roman"/>
          <w:kern w:val="2"/>
          <w:sz w:val="28"/>
          <w:szCs w:val="24"/>
          <w:lang w:val="en-US" w:eastAsia="zh-CN" w:bidi="ar-SA"/>
        </w:rPr>
      </w:pPr>
    </w:p>
    <w:p w14:paraId="7D82D497">
      <w:pPr>
        <w:bidi w:val="0"/>
        <w:rPr>
          <w:rFonts w:hint="default"/>
          <w:lang w:val="en-US" w:eastAsia="zh-CN"/>
        </w:rPr>
      </w:pPr>
    </w:p>
    <w:p w14:paraId="43BD5072">
      <w:pPr>
        <w:bidi w:val="0"/>
        <w:rPr>
          <w:rFonts w:hint="default"/>
          <w:lang w:val="en-US" w:eastAsia="zh-CN"/>
        </w:rPr>
      </w:pPr>
    </w:p>
    <w:p w14:paraId="38D23283">
      <w:pPr>
        <w:bidi w:val="0"/>
        <w:jc w:val="left"/>
        <w:rPr>
          <w:rFonts w:hint="default"/>
          <w:lang w:val="en-US" w:eastAsia="zh-CN"/>
        </w:rPr>
      </w:pPr>
    </w:p>
    <w:p w14:paraId="78B023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313" w:afterLines="10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昭通市鼎安科技有限公司</w:t>
      </w:r>
    </w:p>
    <w:p w14:paraId="3D57E9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7" w:afterLines="5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安全生产工程技术服务现场检查整改建议书</w:t>
      </w:r>
    </w:p>
    <w:p w14:paraId="306738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项目(单位):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 兰坪恒云工贸有限公司营盘镇商品混凝土分站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</w:p>
    <w:p w14:paraId="7219AE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项目类型: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/>
        </w:rPr>
        <w:t>安全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>验收</w:t>
      </w:r>
      <w:r>
        <w:rPr>
          <w:rFonts w:hint="eastAsia" w:ascii="宋体" w:hAnsi="宋体" w:eastAsia="宋体" w:cs="宋体"/>
          <w:sz w:val="28"/>
          <w:szCs w:val="28"/>
          <w:u w:val="single"/>
        </w:rPr>
        <w:t>评价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 </w:t>
      </w:r>
    </w:p>
    <w:p w14:paraId="3816D2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法定代</w:t>
      </w:r>
      <w:r>
        <w:rPr>
          <w:rFonts w:hint="eastAsia" w:ascii="宋体" w:hAnsi="宋体" w:eastAsia="宋体" w:cs="宋体"/>
          <w:sz w:val="28"/>
          <w:szCs w:val="28"/>
        </w:rPr>
        <w:t>表人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>张云兵</w:t>
      </w:r>
      <w:bookmarkStart w:id="1" w:name="_GoBack"/>
      <w:bookmarkEnd w:id="1"/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联系电话：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>13988851818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</w:p>
    <w:p w14:paraId="02DBFA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现场负责人：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>张建忠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联系电话：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15334424500 </w:t>
      </w:r>
    </w:p>
    <w:p w14:paraId="67AF8D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日期: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/>
        </w:rPr>
        <w:t>202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u w:val="single"/>
        </w:rPr>
        <w:t>.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eastAsia="宋体" w:cs="宋体"/>
          <w:sz w:val="28"/>
          <w:szCs w:val="28"/>
          <w:u w:val="single"/>
        </w:rPr>
        <w:t>.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>28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</w:t>
      </w:r>
    </w:p>
    <w:p w14:paraId="11DF95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现场发现的问题及建议:</w:t>
      </w:r>
    </w:p>
    <w:p w14:paraId="04A37D84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（1）</w:t>
      </w:r>
      <w:r>
        <w:rPr>
          <w:rFonts w:hint="eastAsia" w:ascii="宋体" w:hAnsi="宋体"/>
          <w:sz w:val="28"/>
          <w:szCs w:val="28"/>
          <w:lang w:val="en-US" w:eastAsia="zh-CN"/>
        </w:rPr>
        <w:t>部分平台护栏下方未设置踢脚板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。</w:t>
      </w:r>
    </w:p>
    <w:p w14:paraId="41F82624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整改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建议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：</w:t>
      </w:r>
      <w:r>
        <w:rPr>
          <w:rFonts w:hint="eastAsia" w:hAnsi="宋体" w:cs="宋体"/>
          <w:color w:val="auto"/>
          <w:sz w:val="28"/>
          <w:szCs w:val="28"/>
          <w:lang w:val="en-US" w:eastAsia="zh-CN"/>
        </w:rPr>
        <w:t>平台临边护栏下方安装踢脚板。</w:t>
      </w:r>
    </w:p>
    <w:p w14:paraId="35C23B8D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（2）</w:t>
      </w:r>
      <w:r>
        <w:rPr>
          <w:rFonts w:hint="eastAsia" w:ascii="宋体" w:hAnsi="宋体"/>
          <w:sz w:val="28"/>
          <w:szCs w:val="28"/>
          <w:lang w:val="en-US" w:eastAsia="zh-CN"/>
        </w:rPr>
        <w:t>料斗遮雨棚钢柱，料仓隔墙无防撞措施</w:t>
      </w:r>
      <w:r>
        <w:rPr>
          <w:rFonts w:hint="eastAsia" w:hAnsi="宋体" w:cs="宋体"/>
          <w:color w:val="auto"/>
          <w:sz w:val="28"/>
          <w:szCs w:val="28"/>
          <w:lang w:val="en-US" w:eastAsia="zh-CN"/>
        </w:rPr>
        <w:t>。</w:t>
      </w:r>
    </w:p>
    <w:p w14:paraId="603D40AC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整改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建议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：</w:t>
      </w:r>
      <w:r>
        <w:rPr>
          <w:rFonts w:hint="eastAsia" w:hAnsi="宋体" w:cs="宋体"/>
          <w:color w:val="auto"/>
          <w:sz w:val="28"/>
          <w:szCs w:val="28"/>
          <w:lang w:val="en-US" w:eastAsia="zh-CN"/>
        </w:rPr>
        <w:t>增加防撞反光条。</w:t>
      </w:r>
    </w:p>
    <w:p w14:paraId="0386FC24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（3）开关箱内的电器进出线通过穿线孔无防割伤措施，线孔未封堵严实，开关箱门未关闭。</w:t>
      </w:r>
    </w:p>
    <w:p w14:paraId="689815E7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整改建议：开关箱内的电器进出线通过穿线孔增加防割伤措施，线孔封堵严实，开关箱门常闭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。</w:t>
      </w:r>
    </w:p>
    <w:p w14:paraId="329035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440" w:lineRule="exact"/>
        <w:ind w:firstLine="280" w:firstLineChars="100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（4）部分平台临边未采取防止人员误坠落的措施。</w:t>
      </w:r>
    </w:p>
    <w:p w14:paraId="2A8D70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整改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建议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：增加护栏。</w:t>
      </w:r>
    </w:p>
    <w:p w14:paraId="5FF67D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440" w:lineRule="exact"/>
        <w:ind w:firstLine="280" w:firstLineChars="100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（5）未对水泥、粉煤灰、矿粉筒仓、外加剂罐、沉淀池、清水池、雨水收集池、混料机、搅拌机、泵车、混泥土搅拌车罐体做有限空间辨识和管理。</w:t>
      </w:r>
    </w:p>
    <w:p w14:paraId="3BD2D651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797560</wp:posOffset>
            </wp:positionV>
            <wp:extent cx="1628140" cy="1628140"/>
            <wp:effectExtent l="0" t="0" r="10160" b="1016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整改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建议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：对水泥、粉煤灰、矿粉筒仓、外加剂罐、沉淀池、清水池、雨水收集池、混料机、搅拌机、泵车、混泥土搅拌车罐体做有限空间辨识设置了安全警示标识，建立有限空间管理台账。</w:t>
      </w:r>
    </w:p>
    <w:p w14:paraId="03ADAE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委托方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 xml:space="preserve">                    </w:t>
      </w:r>
      <w:r>
        <w:rPr>
          <w:rFonts w:hint="eastAsia" w:ascii="宋体" w:hAnsi="宋体"/>
          <w:b/>
          <w:sz w:val="28"/>
          <w:szCs w:val="28"/>
        </w:rPr>
        <w:t xml:space="preserve">现场检查人员：  </w:t>
      </w:r>
      <w:r>
        <w:drawing>
          <wp:inline distT="0" distB="0" distL="114300" distR="114300">
            <wp:extent cx="746760" cy="270510"/>
            <wp:effectExtent l="0" t="0" r="254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drawing>
          <wp:inline distT="0" distB="0" distL="114300" distR="114300">
            <wp:extent cx="716280" cy="251460"/>
            <wp:effectExtent l="0" t="0" r="0" b="19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sz w:val="28"/>
          <w:szCs w:val="28"/>
        </w:rPr>
        <w:t xml:space="preserve">                                                </w:t>
      </w:r>
    </w:p>
    <w:p w14:paraId="6737CB92">
      <w:pPr>
        <w:jc w:val="right"/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昭通市鼎安科技有限公司 </w:t>
      </w:r>
    </w:p>
    <w:p w14:paraId="694C91F9">
      <w:pPr>
        <w:ind w:firstLine="5453" w:firstLineChars="1940"/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2024</w:t>
      </w:r>
      <w:r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</w:t>
      </w:r>
    </w:p>
    <w:p w14:paraId="79948C56">
      <w:pPr>
        <w:ind w:firstLine="5453" w:firstLineChars="1940"/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C3868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Chars="200"/>
        <w:jc w:val="left"/>
        <w:textAlignment w:val="auto"/>
        <w:rPr>
          <w:rFonts w:hint="default" w:ascii="宋体" w:hAnsi="宋体" w:cs="宋体"/>
          <w:b w:val="0"/>
          <w:bCs w:val="0"/>
          <w:sz w:val="28"/>
          <w:szCs w:val="28"/>
          <w:u w:val="none"/>
          <w:vertAlign w:val="baseli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585489"/>
    <w:rsid w:val="04C50C70"/>
    <w:rsid w:val="0A2F5262"/>
    <w:rsid w:val="0B0A682C"/>
    <w:rsid w:val="0B6E1DBA"/>
    <w:rsid w:val="169A7F07"/>
    <w:rsid w:val="183879D7"/>
    <w:rsid w:val="1B280A11"/>
    <w:rsid w:val="28585489"/>
    <w:rsid w:val="2A9E7B6E"/>
    <w:rsid w:val="2B08148B"/>
    <w:rsid w:val="3BA123F2"/>
    <w:rsid w:val="3BB23479"/>
    <w:rsid w:val="5B060C94"/>
    <w:rsid w:val="5B7025B1"/>
    <w:rsid w:val="5DD76917"/>
    <w:rsid w:val="66501C68"/>
    <w:rsid w:val="6A9A31A7"/>
    <w:rsid w:val="6B3E7FD6"/>
    <w:rsid w:val="6C006BC9"/>
    <w:rsid w:val="6E2A4350"/>
    <w:rsid w:val="6EEB2223"/>
    <w:rsid w:val="795F4D1F"/>
    <w:rsid w:val="7A0A5C53"/>
    <w:rsid w:val="7E68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480" w:lineRule="exact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2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4">
    <w:name w:val="Body Text"/>
    <w:basedOn w:val="1"/>
    <w:next w:val="1"/>
    <w:qFormat/>
    <w:uiPriority w:val="0"/>
    <w:rPr>
      <w:sz w:val="28"/>
    </w:r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  <w:rPr>
      <w:rFonts w:eastAsia="MingLiU"/>
    </w:rPr>
  </w:style>
  <w:style w:type="paragraph" w:styleId="6">
    <w:name w:val="Body Text First Indent 2"/>
    <w:basedOn w:val="5"/>
    <w:next w:val="1"/>
    <w:unhideWhenUsed/>
    <w:qFormat/>
    <w:uiPriority w:val="99"/>
    <w:pPr>
      <w:adjustRightInd/>
      <w:spacing w:after="120" w:line="240" w:lineRule="auto"/>
      <w:ind w:left="420" w:leftChars="200" w:firstLine="420" w:firstLineChars="200"/>
      <w:jc w:val="both"/>
      <w:textAlignment w:val="auto"/>
    </w:pPr>
    <w:rPr>
      <w:kern w:val="2"/>
      <w:sz w:val="21"/>
      <w:szCs w:val="22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1188</Words>
  <Characters>1238</Characters>
  <Lines>0</Lines>
  <Paragraphs>0</Paragraphs>
  <TotalTime>1</TotalTime>
  <ScaleCrop>false</ScaleCrop>
  <LinksUpToDate>false</LinksUpToDate>
  <CharactersWithSpaces>1337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2024-12-06T03:22:00Z</dcterms:created>
  <dc:creator>jjjyyy</dc:creator>
  <cp:lastModifiedBy>普兆菊</cp:lastModifiedBy>
  <dcterms:modified xsi:type="dcterms:W3CDTF">2025-04-16T08:52:30Z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9F30532520754145904FB4895B549202_11</vt:lpwstr>
  </property>
  <property fmtid="{D5CDD505-2E9C-101B-9397-08002B2CF9AE}" pid="4" name="KSOTemplateDocerSaveRecord">
    <vt:lpwstr>eyJoZGlkIjoiOGJhYjZlY2MxZmJlMzE4OTk1Y2I2MmFjNDM1ZTU5ODkiLCJ1c2VySWQiOiIzNTMxMjM3MDYifQ==</vt:lpwstr>
  </property>
</Properties>
</file>